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right" w:pos="9057"/>
        </w:tabs>
        <w:spacing w:before="240" w:after="240"/>
        <w:rPr>
          <w:rFonts w:cs="Arial"/>
          <w:b/>
          <w:sz w:val="28"/>
          <w:szCs w:val="28"/>
        </w:rPr>
      </w:pPr>
      <w:r>
        <w:rPr>
          <w:rFonts w:cs="Arial"/>
          <w:b/>
          <w:sz w:val="28"/>
          <w:szCs w:val="28"/>
        </w:rPr>
        <w:t>DOHODA o provedení rekvalifikace v rámci OPZ</w:t>
      </w:r>
      <w:r>
        <w:rPr>
          <w:rFonts w:cs="Arial"/>
          <w:b/>
          <w:sz w:val="28"/>
          <w:szCs w:val="28"/>
        </w:rPr>
        <w:tab/>
        <w:t xml:space="preserve"> č. LBA-BN-21/2019</w:t>
      </w:r>
    </w:p>
    <w:p>
      <w:pPr>
        <w:tabs>
          <w:tab w:val="left" w:pos="1985"/>
          <w:tab w:val="right" w:pos="9057"/>
        </w:tabs>
        <w:spacing w:before="240" w:after="120"/>
        <w:jc w:val="left"/>
        <w:rPr>
          <w:rFonts w:cs="Arial"/>
          <w:b/>
          <w:sz w:val="24"/>
        </w:rPr>
      </w:pPr>
      <w:r>
        <w:rPr>
          <w:rFonts w:cs="Arial"/>
          <w:b/>
          <w:sz w:val="24"/>
        </w:rPr>
        <w:t>č. projektu:</w:t>
      </w:r>
      <w:r>
        <w:rPr>
          <w:rFonts w:cs="Arial"/>
          <w:b/>
          <w:sz w:val="24"/>
        </w:rPr>
        <w:tab/>
      </w:r>
      <w:r>
        <w:rPr>
          <w:b/>
          <w:sz w:val="24"/>
        </w:rPr>
        <w:t> </w:t>
      </w:r>
      <w:r>
        <w:rPr>
          <w:b/>
          <w:bCs/>
          <w:sz w:val="24"/>
        </w:rPr>
        <w:t>CZ.03</w:t>
      </w:r>
      <w:r>
        <w:rPr>
          <w:szCs w:val="20"/>
        </w:rPr>
        <w:t>.1.48/0.0/0.0/15_121/0000597</w:t>
      </w:r>
    </w:p>
    <w:p>
      <w:pPr>
        <w:pBdr>
          <w:top w:val="single" w:sz="4" w:space="6" w:color="auto"/>
        </w:pBdr>
        <w:rPr>
          <w:rFonts w:cs="Arial"/>
          <w:szCs w:val="20"/>
        </w:rPr>
      </w:pPr>
    </w:p>
    <w:p>
      <w:pPr>
        <w:pBdr>
          <w:top w:val="single" w:sz="4" w:space="6" w:color="auto"/>
        </w:pBdr>
        <w:rPr>
          <w:rFonts w:cs="Arial"/>
          <w:szCs w:val="20"/>
        </w:rPr>
      </w:pPr>
    </w:p>
    <w:p>
      <w:pPr>
        <w:pBdr>
          <w:top w:val="single" w:sz="4" w:space="6" w:color="auto"/>
        </w:pBdr>
        <w:rPr>
          <w:rFonts w:cs="Arial"/>
          <w:szCs w:val="20"/>
        </w:rPr>
      </w:pPr>
    </w:p>
    <w:p>
      <w:pPr>
        <w:pBdr>
          <w:top w:val="single" w:sz="4" w:space="6" w:color="auto"/>
        </w:pBdr>
        <w:rPr>
          <w:rFonts w:cs="Arial"/>
          <w:szCs w:val="20"/>
        </w:rPr>
      </w:pPr>
      <w:r>
        <w:rPr>
          <w:rFonts w:cs="Arial"/>
          <w:szCs w:val="20"/>
        </w:rPr>
        <w:t>kterou uzavírá</w:t>
      </w:r>
    </w:p>
    <w:p>
      <w:pPr>
        <w:rPr>
          <w:rFonts w:cs="Arial"/>
          <w:szCs w:val="20"/>
        </w:rPr>
      </w:pPr>
      <w:r>
        <w:rPr>
          <w:rFonts w:cs="Arial"/>
          <w:szCs w:val="20"/>
        </w:rPr>
        <w:tab/>
      </w:r>
    </w:p>
    <w:p>
      <w:pPr>
        <w:tabs>
          <w:tab w:val="left" w:pos="2520"/>
        </w:tabs>
        <w:spacing w:after="120"/>
        <w:ind w:left="2517" w:hanging="2517"/>
        <w:rPr>
          <w:rFonts w:cs="Arial"/>
          <w:szCs w:val="20"/>
        </w:rPr>
      </w:pPr>
      <w:r>
        <w:rPr>
          <w:szCs w:val="20"/>
        </w:rPr>
        <w:t>Úřad práce České republiky</w:t>
      </w:r>
    </w:p>
    <w:p>
      <w:pPr>
        <w:tabs>
          <w:tab w:val="left" w:pos="2520"/>
        </w:tabs>
        <w:ind w:left="2520" w:hanging="2520"/>
      </w:pPr>
      <w:r>
        <w:rPr>
          <w:rFonts w:cs="Arial"/>
          <w:szCs w:val="20"/>
        </w:rPr>
        <w:t>sídlo:</w:t>
      </w:r>
      <w:r>
        <w:rPr>
          <w:rFonts w:cs="Arial"/>
          <w:szCs w:val="20"/>
        </w:rPr>
        <w:tab/>
      </w:r>
      <w:r>
        <w:t>Dobrovského 1278</w:t>
      </w:r>
      <w:r>
        <w:rPr>
          <w:szCs w:val="20"/>
        </w:rPr>
        <w:t>/25, 170 00 Praha 7</w:t>
      </w:r>
    </w:p>
    <w:p>
      <w:pPr>
        <w:tabs>
          <w:tab w:val="left" w:pos="2520"/>
        </w:tabs>
        <w:ind w:left="2520" w:hanging="2520"/>
        <w:rPr>
          <w:rFonts w:cs="Arial"/>
          <w:szCs w:val="20"/>
        </w:rPr>
      </w:pPr>
      <w:r>
        <w:rPr>
          <w:rFonts w:cs="Arial"/>
          <w:szCs w:val="20"/>
        </w:rPr>
        <w:t>zastupující osoba:</w:t>
      </w:r>
      <w:r>
        <w:rPr>
          <w:rFonts w:cs="Arial"/>
          <w:szCs w:val="20"/>
        </w:rPr>
        <w:tab/>
      </w:r>
      <w:r>
        <w:t xml:space="preserve">Mgr. </w:t>
      </w:r>
      <w:r>
        <w:rPr>
          <w:szCs w:val="20"/>
        </w:rPr>
        <w:t>Pavel Dymokurský</w:t>
      </w:r>
      <w:r>
        <w:rPr>
          <w:rFonts w:cs="Arial"/>
          <w:szCs w:val="20"/>
        </w:rPr>
        <w:t xml:space="preserve">, </w:t>
      </w:r>
      <w:r>
        <w:t>pověřený řízením</w:t>
      </w:r>
      <w:r>
        <w:rPr>
          <w:szCs w:val="20"/>
        </w:rPr>
        <w:t xml:space="preserve"> Krajské pobočky Úřadu práce ČR v Liberci</w:t>
      </w:r>
    </w:p>
    <w:p>
      <w:pPr>
        <w:tabs>
          <w:tab w:val="left" w:pos="2520"/>
        </w:tabs>
        <w:ind w:left="2520" w:hanging="2520"/>
        <w:rPr>
          <w:rFonts w:cs="Arial"/>
          <w:szCs w:val="20"/>
        </w:rPr>
      </w:pPr>
      <w:r>
        <w:rPr>
          <w:rFonts w:cs="Arial"/>
          <w:szCs w:val="20"/>
        </w:rPr>
        <w:t>kontaktní adresa:</w:t>
      </w:r>
      <w:r>
        <w:rPr>
          <w:rFonts w:cs="Arial"/>
          <w:szCs w:val="20"/>
        </w:rPr>
        <w:tab/>
      </w:r>
      <w:r>
        <w:t>Úřad práce</w:t>
      </w:r>
      <w:r>
        <w:rPr>
          <w:szCs w:val="20"/>
        </w:rPr>
        <w:t xml:space="preserve"> České republiky - krajská pobočka v Liberci, Dr. Milady Horákové </w:t>
      </w:r>
      <w:proofErr w:type="gramStart"/>
      <w:r>
        <w:rPr>
          <w:szCs w:val="20"/>
        </w:rPr>
        <w:t>č.p.</w:t>
      </w:r>
      <w:proofErr w:type="gramEnd"/>
      <w:r>
        <w:rPr>
          <w:szCs w:val="20"/>
        </w:rPr>
        <w:t> 580/7, Liberec IV-Perštýn, 460 01 Liberec 1</w:t>
      </w:r>
    </w:p>
    <w:p>
      <w:pPr>
        <w:tabs>
          <w:tab w:val="left" w:pos="2520"/>
        </w:tabs>
        <w:ind w:left="2520" w:hanging="2520"/>
        <w:rPr>
          <w:rFonts w:cs="Arial"/>
          <w:szCs w:val="20"/>
        </w:rPr>
      </w:pPr>
      <w:r>
        <w:rPr>
          <w:rFonts w:cs="Arial"/>
          <w:szCs w:val="20"/>
        </w:rPr>
        <w:t>identifikační číslo:</w:t>
      </w:r>
      <w:r>
        <w:rPr>
          <w:rFonts w:cs="Arial"/>
          <w:szCs w:val="20"/>
        </w:rPr>
        <w:tab/>
      </w:r>
      <w:r>
        <w:t>72496991</w:t>
      </w:r>
    </w:p>
    <w:p>
      <w:pPr>
        <w:tabs>
          <w:tab w:val="left" w:pos="2520"/>
        </w:tabs>
        <w:spacing w:before="60"/>
        <w:ind w:left="2520" w:hanging="2520"/>
        <w:rPr>
          <w:rFonts w:cs="Arial"/>
          <w:szCs w:val="20"/>
        </w:rPr>
      </w:pPr>
      <w:r>
        <w:rPr>
          <w:rFonts w:cs="Arial"/>
          <w:szCs w:val="20"/>
        </w:rPr>
        <w:t xml:space="preserve"> (dále jen „Úřad práce“) na straně jedné</w:t>
      </w:r>
    </w:p>
    <w:p>
      <w:pPr>
        <w:tabs>
          <w:tab w:val="left" w:pos="2520"/>
        </w:tabs>
        <w:spacing w:before="120" w:after="120"/>
        <w:ind w:left="2517" w:hanging="2517"/>
        <w:rPr>
          <w:rFonts w:cs="Arial"/>
          <w:szCs w:val="20"/>
        </w:rPr>
      </w:pPr>
      <w:r>
        <w:rPr>
          <w:rFonts w:cs="Arial"/>
          <w:szCs w:val="20"/>
        </w:rPr>
        <w:t>a</w:t>
      </w:r>
    </w:p>
    <w:p>
      <w:pPr>
        <w:tabs>
          <w:tab w:val="left" w:pos="2520"/>
        </w:tabs>
        <w:ind w:left="2520" w:hanging="2520"/>
        <w:rPr>
          <w:rFonts w:cs="Arial"/>
          <w:noProof/>
          <w:szCs w:val="20"/>
        </w:rPr>
      </w:pPr>
      <w:r>
        <w:rPr>
          <w:rFonts w:cs="Arial"/>
          <w:szCs w:val="20"/>
        </w:rPr>
        <w:t>rekvalifikační zařízení:</w:t>
      </w:r>
      <w:r>
        <w:rPr>
          <w:rFonts w:cs="Arial"/>
          <w:szCs w:val="20"/>
        </w:rPr>
        <w:tab/>
      </w:r>
      <w:proofErr w:type="spellStart"/>
      <w:r>
        <w:t>bfz</w:t>
      </w:r>
      <w:proofErr w:type="spellEnd"/>
      <w:r>
        <w:t xml:space="preserve"> o</w:t>
      </w:r>
      <w:r>
        <w:rPr>
          <w:szCs w:val="20"/>
        </w:rPr>
        <w:t>.p.s.</w:t>
      </w:r>
    </w:p>
    <w:p>
      <w:pPr>
        <w:tabs>
          <w:tab w:val="left" w:pos="2520"/>
        </w:tabs>
        <w:ind w:left="2520" w:hanging="2520"/>
        <w:rPr>
          <w:rFonts w:cs="Arial"/>
          <w:szCs w:val="20"/>
        </w:rPr>
      </w:pPr>
      <w:r>
        <w:rPr>
          <w:rFonts w:cs="Arial"/>
          <w:noProof/>
          <w:szCs w:val="20"/>
        </w:rPr>
        <w:t>zastupující osoba:</w:t>
      </w:r>
      <w:r>
        <w:rPr>
          <w:rFonts w:cs="Arial"/>
          <w:noProof/>
          <w:szCs w:val="20"/>
        </w:rPr>
        <w:tab/>
      </w:r>
      <w:r>
        <w:rPr>
          <w:noProof/>
        </w:rPr>
        <w:t>Steinke Steffen</w:t>
      </w:r>
      <w:r>
        <w:rPr>
          <w:noProof/>
          <w:szCs w:val="20"/>
        </w:rPr>
        <w:t>, ředitel</w:t>
      </w:r>
    </w:p>
    <w:p>
      <w:pPr>
        <w:tabs>
          <w:tab w:val="left" w:pos="2520"/>
        </w:tabs>
        <w:ind w:left="2520" w:hanging="2520"/>
        <w:rPr>
          <w:rFonts w:cs="Arial"/>
          <w:szCs w:val="20"/>
        </w:rPr>
      </w:pPr>
      <w:r>
        <w:rPr>
          <w:rFonts w:cs="Arial"/>
          <w:noProof/>
          <w:szCs w:val="20"/>
        </w:rPr>
        <w:t>sídlo:</w:t>
      </w:r>
      <w:r>
        <w:rPr>
          <w:rFonts w:cs="Arial"/>
          <w:szCs w:val="20"/>
        </w:rPr>
        <w:tab/>
      </w:r>
      <w:r>
        <w:t xml:space="preserve">Provaznická </w:t>
      </w:r>
      <w:proofErr w:type="gramStart"/>
      <w:r>
        <w:t>č</w:t>
      </w:r>
      <w:r>
        <w:rPr>
          <w:szCs w:val="20"/>
        </w:rPr>
        <w:t>.p.</w:t>
      </w:r>
      <w:proofErr w:type="gramEnd"/>
      <w:r>
        <w:rPr>
          <w:szCs w:val="20"/>
        </w:rPr>
        <w:t> 425/16, 350 02 Cheb 2</w:t>
      </w:r>
    </w:p>
    <w:p>
      <w:pPr>
        <w:tabs>
          <w:tab w:val="left" w:pos="2520"/>
        </w:tabs>
        <w:ind w:left="2520" w:hanging="2520"/>
        <w:rPr>
          <w:rFonts w:cs="Arial"/>
          <w:szCs w:val="20"/>
        </w:rPr>
      </w:pPr>
      <w:r>
        <w:rPr>
          <w:rFonts w:cs="Arial"/>
          <w:szCs w:val="20"/>
        </w:rPr>
        <w:t>identifikační číslo:</w:t>
      </w:r>
      <w:r>
        <w:rPr>
          <w:rFonts w:cs="Arial"/>
          <w:szCs w:val="20"/>
        </w:rPr>
        <w:tab/>
      </w:r>
      <w:r>
        <w:t>27966119</w:t>
      </w:r>
    </w:p>
    <w:p>
      <w:pPr>
        <w:tabs>
          <w:tab w:val="left" w:pos="2520"/>
        </w:tabs>
        <w:spacing w:before="60"/>
        <w:rPr>
          <w:rFonts w:cs="Arial"/>
          <w:szCs w:val="20"/>
        </w:rPr>
      </w:pPr>
      <w:r>
        <w:rPr>
          <w:rFonts w:cs="Arial"/>
          <w:szCs w:val="20"/>
        </w:rPr>
        <w:t xml:space="preserve"> (dále jen „rekvalifikační zařízení“) na straně druhé.</w:t>
      </w:r>
    </w:p>
    <w:p/>
    <w:p>
      <w:pPr>
        <w:pStyle w:val="lnek"/>
        <w:rPr>
          <w:szCs w:val="20"/>
        </w:rPr>
      </w:pPr>
      <w:r>
        <w:rPr>
          <w:szCs w:val="20"/>
        </w:rPr>
        <w:t>Článek I</w:t>
      </w:r>
    </w:p>
    <w:p>
      <w:pPr>
        <w:pStyle w:val="Nadpislnku"/>
      </w:pPr>
      <w:r>
        <w:t>Účel dohody</w:t>
      </w:r>
    </w:p>
    <w:p>
      <w:pPr>
        <w:rPr>
          <w:i/>
          <w:iCs/>
        </w:rPr>
      </w:pPr>
      <w:r>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národního projektu č. CZ.03</w:t>
      </w:r>
      <w:r>
        <w:rPr>
          <w:szCs w:val="20"/>
        </w:rPr>
        <w:t>.1.48/0.0/0.0/15_121/0000597</w:t>
      </w:r>
      <w:r>
        <w:t xml:space="preserve"> -</w:t>
      </w:r>
      <w:r>
        <w:rPr>
          <w:i/>
          <w:iCs/>
        </w:rPr>
        <w:t xml:space="preserve"> </w:t>
      </w:r>
      <w:r>
        <w:t>Vzdělávání a</w:t>
      </w:r>
      <w:r>
        <w:rPr>
          <w:szCs w:val="20"/>
        </w:rPr>
        <w:t xml:space="preserve"> dovednosti pro trh práce II (VDTP II)</w:t>
      </w:r>
      <w:r>
        <w:rPr>
          <w:iCs/>
        </w:rPr>
        <w:t>, a to 82,38% z Evropského sociálního fondu a 17,62% ze státního rozpočtu ČR.</w:t>
      </w:r>
    </w:p>
    <w:p>
      <w:pPr>
        <w:pStyle w:val="lnek"/>
        <w:rPr>
          <w:szCs w:val="20"/>
        </w:rPr>
      </w:pPr>
      <w:r>
        <w:rPr>
          <w:szCs w:val="20"/>
        </w:rPr>
        <w:t>Článek II</w:t>
      </w:r>
    </w:p>
    <w:p>
      <w:pPr>
        <w:pStyle w:val="Nadpislnku"/>
      </w:pPr>
      <w:r>
        <w:t>Předmět dohody</w:t>
      </w:r>
    </w:p>
    <w:p>
      <w:pPr>
        <w:pStyle w:val="BoddohodyII"/>
      </w:pPr>
      <w:r>
        <w:t xml:space="preserve">Předmětem dohody je zabezpečení rekvalifikace na pracovní činnost: </w:t>
      </w:r>
      <w:r>
        <w:tab/>
      </w:r>
      <w:r>
        <w:br/>
        <w:t>Personalista (</w:t>
      </w:r>
      <w:r>
        <w:rPr>
          <w:szCs w:val="20"/>
        </w:rPr>
        <w:t>PK, v rozsahu 120 hodin teoretické výuky)</w:t>
      </w:r>
    </w:p>
    <w:p>
      <w:pPr>
        <w:pStyle w:val="BoddohodyII"/>
      </w:pPr>
      <w:r>
        <w:t xml:space="preserve">Rekvalifikace se uskuteční ve vzdělávacím programu: </w:t>
      </w:r>
      <w:r>
        <w:tab/>
      </w:r>
      <w:r>
        <w:br/>
      </w:r>
      <w:r>
        <w:rPr>
          <w:b/>
        </w:rPr>
        <w:t>19BN021 Personalista</w:t>
      </w:r>
    </w:p>
    <w:p>
      <w:pPr>
        <w:pStyle w:val="BoddohodyII"/>
      </w:pPr>
      <w:r>
        <w:t xml:space="preserve">Základní kvalifikační předpoklady potřebné pro zařazení do rekvalifikace, tj. minimální stupeň vzdělání, popřípadě další požadavky: </w:t>
      </w:r>
      <w:r>
        <w:tab/>
      </w:r>
      <w:r>
        <w:br/>
        <w:t>ÚSO s maturitou</w:t>
      </w:r>
      <w:r>
        <w:rPr>
          <w:szCs w:val="20"/>
        </w:rPr>
        <w:t xml:space="preserve"> (bez vyučení)</w:t>
      </w:r>
      <w:r>
        <w:t>, základní</w:t>
      </w:r>
      <w:r>
        <w:rPr>
          <w:szCs w:val="20"/>
        </w:rPr>
        <w:t xml:space="preserve"> znalost obsluhy osobního počítače</w:t>
      </w:r>
    </w:p>
    <w:p>
      <w:pPr>
        <w:pStyle w:val="BoddohodyII"/>
        <w:tabs>
          <w:tab w:val="left" w:pos="1440"/>
          <w:tab w:val="right" w:pos="7740"/>
          <w:tab w:val="left" w:pos="7853"/>
        </w:tabs>
      </w:pPr>
      <w:r>
        <w:t>Celkový rozsah rekvalifikace:</w:t>
      </w:r>
      <w:r>
        <w:tab/>
      </w:r>
      <w:r>
        <w:rPr>
          <w:b/>
        </w:rPr>
        <w:t xml:space="preserve">123,00 </w:t>
      </w:r>
      <w:r>
        <w:rPr>
          <w:b/>
        </w:rPr>
        <w:tab/>
        <w:t>hodin</w:t>
      </w:r>
      <w:r>
        <w:br/>
        <w:t>z toho:</w:t>
      </w:r>
      <w:r>
        <w:tab/>
        <w:t>- teoretická příprava:</w:t>
      </w:r>
      <w:r>
        <w:tab/>
        <w:t>120,00</w:t>
      </w:r>
      <w:r>
        <w:tab/>
        <w:t>hodin</w:t>
      </w:r>
      <w:r>
        <w:br/>
      </w:r>
      <w:r>
        <w:tab/>
        <w:t>- praktická příprava:</w:t>
      </w:r>
      <w:r>
        <w:tab/>
        <w:t>0,00</w:t>
      </w:r>
      <w:r>
        <w:tab/>
        <w:t>hodin</w:t>
      </w:r>
      <w:r>
        <w:br/>
      </w:r>
      <w:r>
        <w:lastRenderedPageBreak/>
        <w:tab/>
        <w:t>- ověření získaných znalostí a dovedností:</w:t>
      </w:r>
      <w:r>
        <w:tab/>
        <w:t>3,00</w:t>
      </w:r>
      <w:r>
        <w:tab/>
        <w:t>hodin</w:t>
      </w:r>
      <w:r>
        <w:br/>
        <w:t>Forma konání přípravy: Denní výuka</w:t>
      </w:r>
      <w:r>
        <w:rPr>
          <w:szCs w:val="20"/>
        </w:rPr>
        <w:t xml:space="preserve"> dopoledne i odpoledne</w:t>
      </w:r>
    </w:p>
    <w:p>
      <w:pPr>
        <w:pStyle w:val="BoddohodyII"/>
      </w:pPr>
      <w:r>
        <w:t xml:space="preserve">Místo konání rekvalifikace: </w:t>
      </w:r>
      <w:r>
        <w:tab/>
      </w:r>
      <w:r>
        <w:br/>
      </w:r>
      <w:proofErr w:type="spellStart"/>
      <w:r>
        <w:t>Bfz</w:t>
      </w:r>
      <w:proofErr w:type="spellEnd"/>
      <w:r>
        <w:t xml:space="preserve"> o</w:t>
      </w:r>
      <w:r>
        <w:rPr>
          <w:szCs w:val="20"/>
        </w:rPr>
        <w:t xml:space="preserve">.p.s.-003, nám. Soukenné </w:t>
      </w:r>
      <w:proofErr w:type="gramStart"/>
      <w:r>
        <w:rPr>
          <w:szCs w:val="20"/>
        </w:rPr>
        <w:t>č.p.</w:t>
      </w:r>
      <w:proofErr w:type="gramEnd"/>
      <w:r>
        <w:rPr>
          <w:szCs w:val="20"/>
        </w:rPr>
        <w:t> 115/6, Liberec III-Jeřáb, 460 07 Liberec 7</w:t>
      </w:r>
      <w:r>
        <w:t>, případně další místa určená rekvalifikačním zařízením.</w:t>
      </w:r>
    </w:p>
    <w:p>
      <w:pPr>
        <w:pStyle w:val="BoddohodyII"/>
        <w:tabs>
          <w:tab w:val="left" w:pos="2880"/>
          <w:tab w:val="right" w:pos="6120"/>
          <w:tab w:val="left" w:pos="6660"/>
        </w:tabs>
      </w:pPr>
      <w:r>
        <w:t>Doba rekvalifikace:</w:t>
      </w:r>
      <w:r>
        <w:tab/>
        <w:t>zahájení</w:t>
      </w:r>
      <w:r>
        <w:tab/>
      </w:r>
      <w:proofErr w:type="gramStart"/>
      <w:r>
        <w:rPr>
          <w:b/>
        </w:rPr>
        <w:t>1.7</w:t>
      </w:r>
      <w:r>
        <w:rPr>
          <w:szCs w:val="20"/>
        </w:rPr>
        <w:t>.2019</w:t>
      </w:r>
      <w:proofErr w:type="gramEnd"/>
      <w:r>
        <w:tab/>
      </w:r>
      <w:r>
        <w:rPr>
          <w:noProof/>
        </w:rPr>
        <w:t>v 8</w:t>
      </w:r>
      <w:r>
        <w:rPr>
          <w:noProof/>
          <w:szCs w:val="20"/>
        </w:rPr>
        <w:t>:00 hod.</w:t>
      </w:r>
      <w:r>
        <w:t xml:space="preserve"> </w:t>
      </w:r>
      <w:r>
        <w:br/>
      </w:r>
      <w:r>
        <w:tab/>
        <w:t>ukončení</w:t>
      </w:r>
      <w:r>
        <w:tab/>
      </w:r>
      <w:r>
        <w:rPr>
          <w:b/>
        </w:rPr>
        <w:t>31.7</w:t>
      </w:r>
      <w:r>
        <w:rPr>
          <w:szCs w:val="20"/>
        </w:rPr>
        <w:t>.2019</w:t>
      </w:r>
    </w:p>
    <w:p>
      <w:pPr>
        <w:pStyle w:val="BoddohodyII"/>
      </w:pPr>
      <w:r>
        <w:t xml:space="preserve">Způsob ověření získaných znalostí a dovedností: </w:t>
      </w:r>
      <w:r>
        <w:tab/>
      </w:r>
      <w:r>
        <w:br/>
        <w:t>Závěrečná zkouška</w:t>
      </w:r>
      <w:r>
        <w:rPr>
          <w:szCs w:val="20"/>
        </w:rPr>
        <w:t>, zkouška před autorizovanou osobou</w:t>
      </w:r>
      <w:r>
        <w:tab/>
      </w:r>
      <w:r>
        <w:br/>
        <w:t>Výstupní doklad:</w:t>
      </w:r>
      <w:r>
        <w:tab/>
      </w:r>
      <w:r>
        <w:br/>
        <w:t>Osvědčení o získání</w:t>
      </w:r>
      <w:r>
        <w:rPr>
          <w:szCs w:val="20"/>
        </w:rPr>
        <w:t xml:space="preserve"> profesní kvalifikace, Potvrzení o účasti v akreditovaném </w:t>
      </w:r>
      <w:proofErr w:type="spellStart"/>
      <w:r>
        <w:rPr>
          <w:szCs w:val="20"/>
        </w:rPr>
        <w:t>vzdělávácím</w:t>
      </w:r>
      <w:proofErr w:type="spellEnd"/>
      <w:r>
        <w:rPr>
          <w:szCs w:val="20"/>
        </w:rPr>
        <w:t xml:space="preserve"> programu</w:t>
      </w:r>
    </w:p>
    <w:p>
      <w:pPr>
        <w:pStyle w:val="BoddohodyII"/>
      </w:pPr>
      <w:r>
        <w:t>Účastníci rekvalifikace:</w:t>
      </w:r>
    </w:p>
    <w:p>
      <w:pPr>
        <w:numPr>
          <w:ilvl w:val="0"/>
          <w:numId w:val="9"/>
        </w:numPr>
        <w:tabs>
          <w:tab w:val="clear" w:pos="1429"/>
          <w:tab w:val="num" w:pos="1080"/>
          <w:tab w:val="left" w:pos="2520"/>
        </w:tabs>
        <w:ind w:left="1080" w:hanging="371"/>
      </w:pPr>
      <w:r>
        <w:t>počet celkem:</w:t>
      </w:r>
      <w:r>
        <w:tab/>
      </w:r>
      <w:r>
        <w:rPr>
          <w:b/>
        </w:rPr>
        <w:t>10</w:t>
      </w:r>
    </w:p>
    <w:p>
      <w:pPr>
        <w:numPr>
          <w:ilvl w:val="0"/>
          <w:numId w:val="9"/>
        </w:numPr>
        <w:tabs>
          <w:tab w:val="clear" w:pos="1429"/>
          <w:tab w:val="num" w:pos="1080"/>
          <w:tab w:val="left" w:pos="2340"/>
        </w:tabs>
        <w:ind w:left="1080" w:hanging="371"/>
      </w:pPr>
      <w:r>
        <w:t>jmenný seznam: viz příloha č. 1</w:t>
      </w:r>
    </w:p>
    <w:p>
      <w:pPr>
        <w:pStyle w:val="BoddohodyII"/>
      </w:pPr>
      <w:r>
        <w:t xml:space="preserve">Náklady rekvalifikace na jednoho účastníka rekvalifikace: </w:t>
      </w:r>
      <w:r>
        <w:tab/>
      </w:r>
      <w:r>
        <w:br/>
        <w:t>do výše 10 170</w:t>
      </w:r>
      <w:r>
        <w:tab/>
        <w:t>Kč</w:t>
      </w:r>
      <w:r>
        <w:tab/>
        <w:t xml:space="preserve">(slovy </w:t>
      </w:r>
      <w:proofErr w:type="spellStart"/>
      <w:r>
        <w:t>Desettisícstosedmdesát</w:t>
      </w:r>
      <w:proofErr w:type="spellEnd"/>
      <w:r>
        <w:t xml:space="preserve"> korun českých) </w:t>
      </w:r>
      <w:r>
        <w:tab/>
      </w:r>
      <w:r>
        <w:br/>
        <w:t xml:space="preserve">Celkové náklady rekvalifikace: </w:t>
      </w:r>
      <w:r>
        <w:tab/>
      </w:r>
      <w:r>
        <w:br/>
        <w:t>do výše</w:t>
      </w:r>
      <w:r>
        <w:rPr>
          <w:b/>
        </w:rPr>
        <w:tab/>
        <w:t xml:space="preserve"> 101 700</w:t>
      </w:r>
      <w:r>
        <w:tab/>
        <w:t>Kč</w:t>
      </w:r>
      <w:r>
        <w:tab/>
        <w:t xml:space="preserve">(slovy </w:t>
      </w:r>
      <w:proofErr w:type="spellStart"/>
      <w:r>
        <w:t>Stojedentisícsedmset</w:t>
      </w:r>
      <w:proofErr w:type="spellEnd"/>
      <w:r>
        <w:t xml:space="preserve"> korun českých)</w:t>
      </w:r>
    </w:p>
    <w:p>
      <w:pPr>
        <w:pStyle w:val="lnek"/>
        <w:rPr>
          <w:szCs w:val="20"/>
        </w:rPr>
      </w:pPr>
      <w:r>
        <w:rPr>
          <w:szCs w:val="20"/>
        </w:rPr>
        <w:t>Článek III</w:t>
      </w:r>
    </w:p>
    <w:p>
      <w:pPr>
        <w:pStyle w:val="Nadpislnku"/>
      </w:pPr>
      <w:r>
        <w:t>Rekvalifikační zařízení se zavazuje</w:t>
      </w:r>
    </w:p>
    <w:p>
      <w:pPr>
        <w:pStyle w:val="BoddohodyIII"/>
      </w:pPr>
      <w:r>
        <w:t>Provést rekvalifikaci v plném rozsahu podle článku II. dohody.</w:t>
      </w:r>
    </w:p>
    <w:p>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III"/>
      </w:pPr>
      <w:r>
        <w:t>Uzavřít pojištění pro případ své odpovědnosti za škodu na zdraví účastníků rekvalifikace způsobenou při rekvalifikaci.</w:t>
      </w:r>
    </w:p>
    <w:p>
      <w:pPr>
        <w:pStyle w:val="BoddohodyIII"/>
      </w:pPr>
      <w:r>
        <w:t xml:space="preserve">V průběhu rekvalifikace vést a po ukončení rekvalifikace, nejpozději do 14 kalendářních dnů předat Úřadu práce prezenční listinu opatřenou povinnými prvky vizuální identity dle platných pravidel pro informování, komunikaci a vizuální identitu OPZ specifikovanou v Obecné části pravidel pro žadatele a příjemce v rámci Operačního programu zaměstnanost (k dispozici na </w:t>
      </w:r>
      <w:hyperlink r:id="rId9" w:history="1">
        <w:r>
          <w:rPr>
            <w:rStyle w:val="Hypertextovodkaz"/>
          </w:rPr>
          <w:t>www.esfcr.cz</w:t>
        </w:r>
      </w:hyperlink>
      <w:r>
        <w:t>) a obsahující alespoň:</w:t>
      </w:r>
    </w:p>
    <w:p>
      <w:pPr>
        <w:pStyle w:val="BoddohodyIII"/>
        <w:numPr>
          <w:ilvl w:val="1"/>
          <w:numId w:val="12"/>
        </w:numPr>
      </w:pPr>
      <w:r>
        <w:t>označení projektu</w:t>
      </w:r>
    </w:p>
    <w:p>
      <w:pPr>
        <w:pStyle w:val="BoddohodyIII"/>
        <w:numPr>
          <w:ilvl w:val="1"/>
          <w:numId w:val="12"/>
        </w:numPr>
      </w:pPr>
      <w:r>
        <w:t>označení rekvalifikačního zařízení</w:t>
      </w:r>
    </w:p>
    <w:p>
      <w:pPr>
        <w:pStyle w:val="BoddohodyIII"/>
        <w:numPr>
          <w:ilvl w:val="1"/>
          <w:numId w:val="12"/>
        </w:numPr>
      </w:pPr>
      <w:r>
        <w:t>označení rekvalifikace</w:t>
      </w:r>
    </w:p>
    <w:p>
      <w:pPr>
        <w:pStyle w:val="BoddohodyIII"/>
        <w:numPr>
          <w:ilvl w:val="1"/>
          <w:numId w:val="12"/>
        </w:numPr>
      </w:pPr>
      <w:r>
        <w:t>termín, téma a čas zahájení a ukončení rekvalifikace</w:t>
      </w:r>
    </w:p>
    <w:p>
      <w:pPr>
        <w:pStyle w:val="BoddohodyIII"/>
        <w:numPr>
          <w:ilvl w:val="1"/>
          <w:numId w:val="12"/>
        </w:numPr>
      </w:pPr>
      <w:r>
        <w:t>jméno lektora a jeho podpis</w:t>
      </w:r>
    </w:p>
    <w:p>
      <w:pPr>
        <w:pStyle w:val="BoddohodyIII"/>
        <w:numPr>
          <w:ilvl w:val="1"/>
          <w:numId w:val="12"/>
        </w:numPr>
      </w:pPr>
      <w:r>
        <w:t>jména a podpisy účastníků rekvalifikace stvrzující jejich účast</w:t>
      </w:r>
      <w:r>
        <w:rPr>
          <w:rStyle w:val="Znakapoznpodarou"/>
        </w:rPr>
        <w:footnoteReference w:id="2"/>
      </w:r>
    </w:p>
    <w:p>
      <w:pPr>
        <w:pStyle w:val="BoddohodyIII"/>
      </w:pPr>
      <w:r>
        <w:t>Neprodleně, nejpozději do 8 kalendářních dnů, písemně informovat Úřad práce, pokud:</w:t>
      </w:r>
    </w:p>
    <w:p>
      <w:pPr>
        <w:numPr>
          <w:ilvl w:val="1"/>
          <w:numId w:val="12"/>
        </w:numPr>
      </w:pPr>
      <w:r>
        <w:t>účastník rekvalifikace nenastoupí na rekvalifikaci,</w:t>
      </w:r>
    </w:p>
    <w:p>
      <w:pPr>
        <w:numPr>
          <w:ilvl w:val="1"/>
          <w:numId w:val="12"/>
        </w:numPr>
      </w:pPr>
      <w:r>
        <w:t>účastník rekvalifikace neplní stanovené studijní a výcvikové povinnosti,</w:t>
      </w:r>
    </w:p>
    <w:p>
      <w:pPr>
        <w:numPr>
          <w:ilvl w:val="1"/>
          <w:numId w:val="12"/>
        </w:numPr>
      </w:pPr>
      <w:r>
        <w:t>účastník rekvalifikace porušuje předpisy či řády rekvalifikačního zařízení,</w:t>
      </w:r>
    </w:p>
    <w:p>
      <w:pPr>
        <w:numPr>
          <w:ilvl w:val="1"/>
          <w:numId w:val="12"/>
        </w:numPr>
      </w:pPr>
      <w:r>
        <w:t>nastanou další závažné skutečnosti, zejména překážky v rekvalifikaci,</w:t>
      </w:r>
    </w:p>
    <w:p>
      <w:pPr>
        <w:numPr>
          <w:ilvl w:val="1"/>
          <w:numId w:val="12"/>
        </w:numPr>
      </w:pPr>
      <w:proofErr w:type="gramStart"/>
      <w:r>
        <w:t>se účastník</w:t>
      </w:r>
      <w:proofErr w:type="gramEnd"/>
      <w:r>
        <w:t xml:space="preserve"> rekvalifikace nepodrobí závěrečnému ověření získaných znalostí a dovedností.</w:t>
      </w:r>
    </w:p>
    <w:p>
      <w:pPr>
        <w:pStyle w:val="BoddohodyIII"/>
        <w:numPr>
          <w:ilvl w:val="0"/>
          <w:numId w:val="0"/>
        </w:numPr>
        <w:ind w:left="709"/>
      </w:pPr>
      <w:r>
        <w:lastRenderedPageBreak/>
        <w:t>Poslední pracovní den kalendářního měsíce, pokud rekvalifikace probíhá, informovat Úřad práce o přítomnosti účastníků rekvalifikace.</w:t>
      </w:r>
    </w:p>
    <w:p>
      <w:pPr>
        <w:pStyle w:val="BoddohodyIII"/>
      </w:pPr>
      <w:r>
        <w:t>Neprodleně, nejpozději do 8 kalendářních dnů, písemně informovat Úřad práce, pokud vzniknou překážky, které znemožní pokračování rekvalifikace.</w:t>
      </w:r>
    </w:p>
    <w:p>
      <w:pPr>
        <w:pStyle w:val="BoddohodyIII"/>
      </w:pPr>
      <w:r>
        <w:t>Předložit Úřadu práce písemný návrh na vypovězení dohody o rekvalifikaci s účastníkem rekvalifikace, který neplní studijní a výcvikové povinnosti nebo porušuje předpisy a řády rekvalifikačního zařízení.</w:t>
      </w:r>
    </w:p>
    <w:p>
      <w:pPr>
        <w:pStyle w:val="BoddohodyIII"/>
      </w:pPr>
      <w:r>
        <w:t xml:space="preserve">Po ukončení rekvalifikace, nejpozději do 14 kalendářních dnů předat Úřadu práce závěrečný protokol opatřený povinnými prvky vizuální identity dle platných pravidel pro informování, komunikaci a vizuální identitu OPZ specifikovanou v Obecné části pravidel pro žadatele a příjemce v rámci Operačního programu zaměstnanost (k dispozici na </w:t>
      </w:r>
      <w:r>
        <w:rPr>
          <w:rStyle w:val="Hypertextovodkaz"/>
        </w:rPr>
        <w:t>www.esfcr.cz</w:t>
      </w:r>
      <w:r>
        <w:t>), který bude minimálně obsahovat:</w:t>
      </w:r>
    </w:p>
    <w:p>
      <w:pPr>
        <w:numPr>
          <w:ilvl w:val="1"/>
          <w:numId w:val="12"/>
        </w:numPr>
      </w:pPr>
      <w:r>
        <w:t>označení projektu</w:t>
      </w:r>
    </w:p>
    <w:p>
      <w:pPr>
        <w:numPr>
          <w:ilvl w:val="1"/>
          <w:numId w:val="12"/>
        </w:numPr>
      </w:pPr>
      <w:r>
        <w:t>označení rekvalifikačního zařízení</w:t>
      </w:r>
    </w:p>
    <w:p>
      <w:pPr>
        <w:numPr>
          <w:ilvl w:val="1"/>
          <w:numId w:val="12"/>
        </w:numPr>
      </w:pPr>
      <w:r>
        <w:t>označení rekvalifikace</w:t>
      </w:r>
    </w:p>
    <w:p>
      <w:pPr>
        <w:numPr>
          <w:ilvl w:val="1"/>
          <w:numId w:val="12"/>
        </w:numPr>
      </w:pPr>
      <w:r>
        <w:t>termín zahájení a ukončení rekvalifikace</w:t>
      </w:r>
    </w:p>
    <w:p>
      <w:pPr>
        <w:numPr>
          <w:ilvl w:val="1"/>
          <w:numId w:val="12"/>
        </w:numPr>
      </w:pPr>
      <w:r>
        <w:t>seznam účastníků rekvalifikace, kteří úspěšně ukončili rekvalifikaci a obdrželi doklad o jejím absolvování, a vzor dokladu,</w:t>
      </w:r>
    </w:p>
    <w:p>
      <w:pPr>
        <w:numPr>
          <w:ilvl w:val="1"/>
          <w:numId w:val="12"/>
        </w:numPr>
      </w:pPr>
      <w:r>
        <w:t>informaci o absolvované části rekvalifikace účastníky rekvalifikace, kteří rekvalifikaci nedokončili nebo ukončili neúspěšně, s uvedením důvodu.</w:t>
      </w:r>
    </w:p>
    <w:p>
      <w:pPr>
        <w:pStyle w:val="BoddohodyIII"/>
      </w:pPr>
      <w:r>
        <w:t>V souladu s body II.8 a </w:t>
      </w:r>
      <w:proofErr w:type="gramStart"/>
      <w:r>
        <w:t>II.9 dohody</w:t>
      </w:r>
      <w:proofErr w:type="gramEnd"/>
      <w:r>
        <w:t xml:space="preserve"> fakturovat Úřadu práce náklady na rekvalifikaci účastníků rekvalifikace, kteří do rekvalifikace skutečně nastoupili. V případě, že účastník rekvalifikace nedokončí rekvalifikaci, fakturovat Úřadu práce odpovídající část dohodnutých nákladů. </w:t>
      </w:r>
      <w:r>
        <w:tab/>
      </w:r>
      <w:r>
        <w:br/>
        <w:t>Fakturaci provést do 14 dnů</w:t>
      </w:r>
      <w:r>
        <w:rPr>
          <w:szCs w:val="20"/>
        </w:rPr>
        <w:t xml:space="preserve"> po ukončení rekvalifikace.</w:t>
      </w:r>
      <w:r>
        <w:t xml:space="preserve"> </w:t>
      </w:r>
      <w:r>
        <w:tab/>
      </w:r>
      <w:r>
        <w:br/>
        <w:t>Lhůta splatnosti faktur bude stanovena minimálně 30 kalendářních dnů.</w:t>
      </w:r>
    </w:p>
    <w:p>
      <w:pPr>
        <w:pStyle w:val="BoddohodyIII"/>
      </w:pPr>
      <w:r>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III"/>
      </w:pPr>
      <w:r>
        <w:t>Umožnit zaměstnancům Úřadu práce kontrolu dodržování sjednaných podmínek pro rekvalifikaci, včetně účasti na ověření získaných znalostí a dovedností. Náklady na rekvalifikaci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III"/>
      </w:pPr>
      <w:r>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III"/>
      </w:pPr>
      <w:r>
        <w:t>Používat údaje o účastnících rekvalifikace poskytnuté Úřadem práce v souladu se zákonem č. 101/2000 Sb., o ochraně osobních údajů, ve znění pozdějších předpisů.</w:t>
      </w:r>
    </w:p>
    <w:p>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w:t>
      </w:r>
      <w:proofErr w:type="gramStart"/>
      <w:r>
        <w:t>10ti</w:t>
      </w:r>
      <w:proofErr w:type="gramEnd"/>
      <w:r>
        <w:t xml:space="preserve"> let se počítá od 1. ledna  roku následujícího po roce, v němž byl projekt ukončen.</w:t>
      </w:r>
    </w:p>
    <w:p>
      <w:pPr>
        <w:pStyle w:val="lnek"/>
        <w:keepNext/>
        <w:rPr>
          <w:szCs w:val="20"/>
        </w:rPr>
      </w:pPr>
      <w:r>
        <w:rPr>
          <w:szCs w:val="20"/>
        </w:rPr>
        <w:lastRenderedPageBreak/>
        <w:t>Článek IV</w:t>
      </w:r>
    </w:p>
    <w:p>
      <w:pPr>
        <w:pStyle w:val="Nadpislnku"/>
        <w:keepNext/>
      </w:pPr>
      <w:r>
        <w:t>Úřad práce se zavazuje</w:t>
      </w:r>
    </w:p>
    <w:p>
      <w:pPr>
        <w:pStyle w:val="BoddohodyIV"/>
        <w:numPr>
          <w:ilvl w:val="0"/>
          <w:numId w:val="29"/>
        </w:numPr>
      </w:pPr>
      <w:r>
        <w:t>Provést výběr účastníků rekvalifikace v souladu se základními kvalifikačními předpoklady podle bodu </w:t>
      </w:r>
      <w:proofErr w:type="gramStart"/>
      <w:r>
        <w:t>II.3 dohody</w:t>
      </w:r>
      <w:proofErr w:type="gramEnd"/>
      <w:r>
        <w:t xml:space="preserve"> a předat přílohu č. 1 “Seznam účastníků rekvalifikace“, který je součástí této dohody rekvalifikačnímu zařízení nejpozději v den zahájení rekvalifikace.</w:t>
      </w:r>
    </w:p>
    <w:p>
      <w:pPr>
        <w:pStyle w:val="BoddohodyIV"/>
        <w:numPr>
          <w:ilvl w:val="0"/>
          <w:numId w:val="29"/>
        </w:numPr>
      </w:pPr>
      <w:r>
        <w:t>Uhradit na základě předložených faktur náklady rekvalifikace ve výši a způsobem dohodnutým v bodě </w:t>
      </w:r>
      <w:proofErr w:type="gramStart"/>
      <w:r>
        <w:t>III.9 dohody</w:t>
      </w:r>
      <w:proofErr w:type="gramEnd"/>
      <w:r>
        <w:t>. Konečnou fakturu uhradit po předložení závěrečného protokolu podle bodu </w:t>
      </w:r>
      <w:proofErr w:type="gramStart"/>
      <w:r>
        <w:t>III.8 dohody</w:t>
      </w:r>
      <w:proofErr w:type="gramEnd"/>
      <w:r>
        <w:t>. Úhradu provést na účet rekvalifikačního zařízení.</w:t>
      </w:r>
    </w:p>
    <w:p>
      <w:pPr>
        <w:pStyle w:val="lnek"/>
        <w:rPr>
          <w:szCs w:val="20"/>
        </w:rPr>
      </w:pPr>
      <w:r>
        <w:rPr>
          <w:szCs w:val="20"/>
        </w:rPr>
        <w:t>Článek V</w:t>
      </w:r>
    </w:p>
    <w:p>
      <w:pPr>
        <w:pStyle w:val="Nadpislnku"/>
      </w:pPr>
      <w:r>
        <w:t>Všeobecná ustanovení</w:t>
      </w:r>
    </w:p>
    <w:p>
      <w:pPr>
        <w:pStyle w:val="BoddohodyV"/>
        <w:numPr>
          <w:ilvl w:val="0"/>
          <w:numId w:val="18"/>
        </w:numPr>
      </w:pPr>
      <w:r>
        <w:t>Rekvalifikační zařízení je povinno spolupracovat s Úřadem práce na zajištění publicity ESF.</w:t>
      </w:r>
    </w:p>
    <w:p>
      <w:pPr>
        <w:pStyle w:val="BoddohodyV"/>
      </w:pPr>
      <w:r>
        <w:t>Rekvalifikační zařízení souhlasí s využíváním údajů v informačních systémech týkajících se příjemců příspěvku pro účely administrace prostředků z rozpočtu EU.</w:t>
      </w:r>
    </w:p>
    <w:p>
      <w:pPr>
        <w:pStyle w:val="BoddohodyV"/>
        <w:numPr>
          <w:ilvl w:val="0"/>
          <w:numId w:val="18"/>
        </w:numPr>
      </w:pPr>
      <w:r>
        <w:t>Rekvalifikační zařízení poskytne písemně Úřadu práce na jeho žádost jakékoliv doplňující informace související s poskytnutím příspěvku, a to ve lhůtě stanovené Úřadem práce.</w:t>
      </w:r>
    </w:p>
    <w:p>
      <w:pPr>
        <w:pStyle w:val="BoddohodyV"/>
        <w:numPr>
          <w:ilvl w:val="0"/>
          <w:numId w:val="18"/>
        </w:numPr>
      </w:pPr>
      <w:r>
        <w:t>Změny této dohody budou učiněny jen se souhlasem obou smluvních stran písemným dodatkem k dohodě.</w:t>
      </w:r>
    </w:p>
    <w:p>
      <w:pPr>
        <w:pStyle w:val="BoddohodyV"/>
        <w:numPr>
          <w:ilvl w:val="0"/>
          <w:numId w:val="18"/>
        </w:numPr>
      </w:pPr>
      <w:r>
        <w:t>V případě zániku některé ze smluvních stran přecházejí její práva a povinnosti vyplývající z dohody na jejího právního nástupce.</w:t>
      </w:r>
    </w:p>
    <w:p>
      <w:pPr>
        <w:pStyle w:val="BoddohodyV"/>
      </w:pPr>
      <w:r>
        <w:t>Smluvní strany mají informační povinnost podle platných pravidel pro informování, komunikaci a vizuální identitu OPZ specifikovanou v Obecné části pravidel pro žadatele a příjemce v rámci Operačního programu zaměstnanost.</w:t>
      </w:r>
    </w:p>
    <w:p>
      <w:pPr>
        <w:pStyle w:val="BoddohodyV"/>
      </w:pPr>
      <w:r>
        <w:t>Dohoda nabývá platnosti podpisem obou smluvních stran. Je sepsána ve dvou vyhotoveních, z nichž jedno obdrží rekvalifikační zařízení a jedno Úřad práce.</w:t>
      </w:r>
    </w:p>
    <w:p>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pPr>
        <w:pStyle w:val="lnek"/>
        <w:rPr>
          <w:szCs w:val="20"/>
        </w:rPr>
      </w:pPr>
      <w:r>
        <w:rPr>
          <w:szCs w:val="20"/>
        </w:rPr>
        <w:t>Článek VI</w:t>
      </w:r>
    </w:p>
    <w:p>
      <w:pPr>
        <w:pStyle w:val="Nadpislnku"/>
      </w:pPr>
      <w:r>
        <w:t>Další ujednání</w:t>
      </w:r>
    </w:p>
    <w:p>
      <w:r>
        <w:rPr>
          <w:b/>
        </w:rPr>
        <w:tab/>
      </w:r>
    </w:p>
    <w:p>
      <w:pPr>
        <w:rPr>
          <w:b/>
        </w:rPr>
      </w:pPr>
    </w:p>
    <w:p/>
    <w:p>
      <w:r>
        <w:t>Úřad práce</w:t>
      </w:r>
      <w:r>
        <w:rPr>
          <w:szCs w:val="20"/>
        </w:rPr>
        <w:t xml:space="preserve"> České republiky - kontaktní pracoviště Liberec</w:t>
      </w:r>
      <w:r>
        <w:t xml:space="preserve"> dne </w:t>
      </w:r>
      <w:proofErr w:type="gramStart"/>
      <w:r>
        <w:t>20.6.2019</w:t>
      </w:r>
      <w:bookmarkStart w:id="0" w:name="_GoBack"/>
      <w:bookmarkEnd w:id="0"/>
      <w:proofErr w:type="gramEnd"/>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jc w:val="center"/>
        <w:rPr>
          <w:rFonts w:cs="Arial"/>
          <w:szCs w:val="20"/>
        </w:rPr>
        <w:sectPr>
          <w:headerReference w:type="even" r:id="rId10"/>
          <w:headerReference w:type="default" r:id="rId11"/>
          <w:footerReference w:type="even" r:id="rId12"/>
          <w:footerReference w:type="default" r:id="rId13"/>
          <w:headerReference w:type="first" r:id="rId14"/>
          <w:footerReference w:type="first" r:id="rId15"/>
          <w:pgSz w:w="11906" w:h="16838"/>
          <w:pgMar w:top="1418" w:right="1191" w:bottom="1418" w:left="1191" w:header="709" w:footer="709" w:gutter="0"/>
          <w:cols w:space="708"/>
          <w:titlePg/>
          <w:docGrid w:linePitch="360"/>
        </w:sectPr>
      </w:pPr>
    </w:p>
    <w:p>
      <w:pPr>
        <w:keepNext/>
        <w:keepLines/>
        <w:jc w:val="center"/>
        <w:rPr>
          <w:rFonts w:cs="Arial"/>
          <w:szCs w:val="20"/>
        </w:rPr>
      </w:pPr>
      <w:r>
        <w:rPr>
          <w:rFonts w:cs="Arial"/>
          <w:szCs w:val="20"/>
        </w:rPr>
        <w:t>..................................................................</w:t>
      </w:r>
    </w:p>
    <w:p>
      <w:pPr>
        <w:keepNext/>
        <w:keepLines/>
        <w:jc w:val="center"/>
        <w:rPr>
          <w:rFonts w:cs="Arial"/>
          <w:szCs w:val="20"/>
        </w:rPr>
      </w:pPr>
      <w:r>
        <w:rPr>
          <w:rFonts w:cs="Arial"/>
          <w:szCs w:val="20"/>
        </w:rPr>
        <w:br w:type="column"/>
        <w:t>..................................................................</w:t>
      </w:r>
    </w:p>
    <w:p>
      <w:pPr>
        <w:keepNext/>
        <w:keepLines/>
        <w:jc w:val="center"/>
        <w:rPr>
          <w:rFonts w:cs="Arial"/>
          <w:szCs w:val="20"/>
        </w:rPr>
        <w:sectPr>
          <w:type w:val="continuous"/>
          <w:pgSz w:w="11906" w:h="16838"/>
          <w:pgMar w:top="1417" w:right="1417" w:bottom="1417" w:left="1417" w:header="708" w:footer="708" w:gutter="0"/>
          <w:cols w:num="2" w:space="708" w:equalWidth="0">
            <w:col w:w="4182" w:space="708"/>
            <w:col w:w="4182"/>
          </w:cols>
          <w:docGrid w:linePitch="360"/>
        </w:sectPr>
      </w:pPr>
    </w:p>
    <w:p>
      <w:pPr>
        <w:keepNext/>
        <w:keepLines/>
        <w:jc w:val="center"/>
        <w:rPr>
          <w:rFonts w:cs="Arial"/>
          <w:szCs w:val="20"/>
        </w:rPr>
      </w:pPr>
    </w:p>
    <w:p>
      <w:pPr>
        <w:keepNext/>
        <w:keepLines/>
        <w:rPr>
          <w:rFonts w:cs="Arial"/>
          <w:szCs w:val="20"/>
        </w:rPr>
      </w:pPr>
    </w:p>
    <w:p>
      <w:pPr>
        <w:keepNext/>
        <w:keepLines/>
        <w:rPr>
          <w:rFonts w:cs="Arial"/>
          <w:szCs w:val="20"/>
        </w:rPr>
      </w:pPr>
    </w:p>
    <w:p>
      <w:pPr>
        <w:keepNext/>
        <w:keepLines/>
        <w:tabs>
          <w:tab w:val="left" w:pos="2160"/>
        </w:tabs>
        <w:rPr>
          <w:rFonts w:cs="Arial"/>
          <w:szCs w:val="20"/>
        </w:rPr>
      </w:pPr>
      <w:r>
        <w:rPr>
          <w:rFonts w:cs="Arial"/>
          <w:szCs w:val="20"/>
        </w:rPr>
        <w:t>Za Úřad práce vyřizuje:</w:t>
      </w:r>
      <w:r>
        <w:rPr>
          <w:rFonts w:cs="Arial"/>
          <w:szCs w:val="20"/>
        </w:rPr>
        <w:tab/>
      </w:r>
    </w:p>
    <w:p>
      <w:pPr>
        <w:keepLines/>
        <w:tabs>
          <w:tab w:val="left" w:pos="2160"/>
        </w:tabs>
        <w:rPr>
          <w:rFonts w:cs="Arial"/>
          <w:szCs w:val="20"/>
        </w:rPr>
      </w:pPr>
      <w:r>
        <w:rPr>
          <w:rFonts w:cs="Arial"/>
          <w:szCs w:val="20"/>
        </w:rPr>
        <w:t>Telefon:</w:t>
      </w:r>
      <w:r>
        <w:rPr>
          <w:rFonts w:cs="Arial"/>
          <w:szCs w:val="20"/>
        </w:rPr>
        <w:tab/>
      </w:r>
    </w:p>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Bdr>
        <w:top w:val="single" w:sz="4" w:space="1" w:color="auto"/>
      </w:pBdr>
      <w:tabs>
        <w:tab w:val="clear" w:pos="4536"/>
      </w:tabs>
      <w:rPr>
        <w:i/>
      </w:rPr>
    </w:pPr>
    <w:r>
      <w:rPr>
        <w:i/>
      </w:rPr>
      <w:t>NIP - Dohoda o provedení rekvalifikace č. LBA-BN-21/2019</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Bdr>
        <w:top w:val="single" w:sz="4" w:space="1" w:color="auto"/>
      </w:pBdr>
      <w:tabs>
        <w:tab w:val="clear" w:pos="4536"/>
      </w:tabs>
      <w:rPr>
        <w:i/>
      </w:rPr>
    </w:pPr>
    <w:r>
      <w:rPr>
        <w:i/>
      </w:rPr>
      <w:t>NIP - Dohoda o provedení rekvalifikace č. LBA-BN-21/2019</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pPr>
      <w:pStyle w:val="Zpat"/>
      <w:rPr>
        <w:i/>
        <w:szCs w:val="20"/>
      </w:rPr>
    </w:pPr>
  </w:p>
  <w:p>
    <w:pPr>
      <w:pStyle w:val="Zpat"/>
      <w:rPr>
        <w:i/>
        <w:sz w:val="16"/>
        <w:szCs w:val="16"/>
      </w:rPr>
    </w:pPr>
    <w:r>
      <w:rPr>
        <w:i/>
        <w:sz w:val="16"/>
        <w:szCs w:val="16"/>
      </w:rPr>
      <w:t>MPSV – OSÚ</w:t>
    </w:r>
    <w:r>
      <w:rPr>
        <w:i/>
        <w:sz w:val="16"/>
        <w:szCs w:val="16"/>
      </w:rPr>
      <w:tab/>
    </w:r>
    <w:r>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20"/>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20"/>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9B359-09EA-4803-9230-A02CD5F1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4</TotalTime>
  <Pages>4</Pages>
  <Words>1438</Words>
  <Characters>9275</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10692</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Adamec</dc:creator>
  <cp:lastModifiedBy>Eva Friedrichová</cp:lastModifiedBy>
  <cp:revision>2</cp:revision>
  <dcterms:created xsi:type="dcterms:W3CDTF">2019-06-27T04:27:00Z</dcterms:created>
  <dcterms:modified xsi:type="dcterms:W3CDTF">2019-06-27T09:48:00Z</dcterms:modified>
</cp:coreProperties>
</file>