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E3" w:rsidRPr="00E40947" w:rsidRDefault="00E954E3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č. 1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E954E3" w:rsidRPr="001B40D1" w:rsidRDefault="00E954E3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0198/M4200/18/RS</w:t>
      </w:r>
      <w:r w:rsidRPr="001B40D1">
        <w:rPr>
          <w:i w:val="0"/>
          <w:caps w:val="0"/>
        </w:rPr>
        <w:t xml:space="preserve"> (objednatele)</w:t>
      </w:r>
    </w:p>
    <w:p w:rsidR="00E954E3" w:rsidRPr="0017301F" w:rsidRDefault="00E954E3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Pr="00D411C3">
        <w:t xml:space="preserve"> </w:t>
      </w:r>
      <w:r w:rsidRPr="009B383B">
        <w:rPr>
          <w:caps w:val="0"/>
          <w:sz w:val="22"/>
          <w:szCs w:val="22"/>
        </w:rPr>
        <w:t>MZ18K0587</w:t>
      </w:r>
      <w:r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E954E3" w:rsidRDefault="00E954E3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 20. 9. 2018</w:t>
      </w:r>
    </w:p>
    <w:p w:rsidR="00E954E3" w:rsidRDefault="00E954E3" w:rsidP="00336259">
      <w:pPr>
        <w:pStyle w:val="Titulnstranapomocn"/>
        <w:spacing w:after="0"/>
        <w:rPr>
          <w:b/>
          <w:i w:val="0"/>
          <w:caps w:val="0"/>
        </w:rPr>
      </w:pPr>
      <w:r w:rsidRPr="00974F73">
        <w:rPr>
          <w:i w:val="0"/>
          <w:caps w:val="0"/>
        </w:rPr>
        <w:t>na stavbu</w:t>
      </w:r>
      <w:r>
        <w:rPr>
          <w:b/>
          <w:i w:val="0"/>
          <w:caps w:val="0"/>
        </w:rPr>
        <w:t xml:space="preserve"> </w:t>
      </w:r>
      <w:r w:rsidRPr="0017301F">
        <w:rPr>
          <w:b/>
          <w:i w:val="0"/>
          <w:caps w:val="0"/>
        </w:rPr>
        <w:t>„</w:t>
      </w:r>
      <w:r w:rsidRPr="00336259">
        <w:rPr>
          <w:b/>
          <w:i w:val="0"/>
          <w:caps w:val="0"/>
        </w:rPr>
        <w:t>Rekonstrukce vodoměrných šachet, pásmo č.</w:t>
      </w:r>
      <w:r>
        <w:rPr>
          <w:b/>
          <w:i w:val="0"/>
          <w:caps w:val="0"/>
        </w:rPr>
        <w:t xml:space="preserve"> </w:t>
      </w:r>
      <w:smartTag w:uri="urn:schemas-microsoft-com:office:smarttags" w:element="metricconverter">
        <w:smartTagPr>
          <w:attr w:name="ProductID" w:val="136 a"/>
        </w:smartTagPr>
        <w:r w:rsidRPr="00336259">
          <w:rPr>
            <w:b/>
            <w:i w:val="0"/>
            <w:caps w:val="0"/>
          </w:rPr>
          <w:t>136 a</w:t>
        </w:r>
      </w:smartTag>
      <w:r w:rsidRPr="00336259">
        <w:rPr>
          <w:b/>
          <w:i w:val="0"/>
          <w:caps w:val="0"/>
        </w:rPr>
        <w:t xml:space="preserve"> č.</w:t>
      </w:r>
      <w:r>
        <w:rPr>
          <w:b/>
          <w:i w:val="0"/>
          <w:caps w:val="0"/>
        </w:rPr>
        <w:t xml:space="preserve"> </w:t>
      </w:r>
      <w:r w:rsidRPr="00336259">
        <w:rPr>
          <w:b/>
          <w:i w:val="0"/>
          <w:caps w:val="0"/>
        </w:rPr>
        <w:t xml:space="preserve">139, gravitace Ládví II, </w:t>
      </w:r>
    </w:p>
    <w:p w:rsidR="00E954E3" w:rsidRDefault="00E954E3" w:rsidP="00BC2077">
      <w:pPr>
        <w:pStyle w:val="Titulnstranapomocn"/>
        <w:rPr>
          <w:b/>
          <w:i w:val="0"/>
          <w:caps w:val="0"/>
        </w:rPr>
      </w:pPr>
      <w:r w:rsidRPr="00336259">
        <w:rPr>
          <w:b/>
          <w:i w:val="0"/>
          <w:caps w:val="0"/>
        </w:rPr>
        <w:t>P</w:t>
      </w:r>
      <w:r>
        <w:rPr>
          <w:b/>
          <w:i w:val="0"/>
          <w:caps w:val="0"/>
        </w:rPr>
        <w:t xml:space="preserve">raha </w:t>
      </w:r>
      <w:r w:rsidRPr="00336259">
        <w:rPr>
          <w:b/>
          <w:i w:val="0"/>
          <w:caps w:val="0"/>
        </w:rPr>
        <w:t>8</w:t>
      </w:r>
      <w:r>
        <w:rPr>
          <w:b/>
          <w:i w:val="0"/>
          <w:caps w:val="0"/>
        </w:rPr>
        <w:t>“</w:t>
      </w:r>
    </w:p>
    <w:p w:rsidR="00E954E3" w:rsidRDefault="00E954E3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:rsidR="00E954E3" w:rsidRPr="00940C94" w:rsidRDefault="00E954E3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E954E3" w:rsidRPr="0086129C" w:rsidRDefault="00E954E3" w:rsidP="00D411C3">
      <w:pPr>
        <w:pStyle w:val="Smluvnstrany123"/>
        <w:spacing w:after="0"/>
      </w:pPr>
      <w:r w:rsidRPr="0086129C">
        <w:rPr>
          <w:b/>
          <w:lang w:eastAsia="en-US"/>
        </w:rPr>
        <w:t xml:space="preserve">Pražská vodohospodářská společnost a.s., </w:t>
      </w:r>
      <w:r w:rsidRPr="0086129C">
        <w:rPr>
          <w:lang w:eastAsia="en-US"/>
        </w:rPr>
        <w:t>IČ: 256 56 112, DIČ: CZ25656112</w:t>
      </w:r>
    </w:p>
    <w:p w:rsidR="00E954E3" w:rsidRPr="0086129C" w:rsidRDefault="00E954E3" w:rsidP="00D411C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86129C">
        <w:rPr>
          <w:lang w:eastAsia="en-US"/>
        </w:rPr>
        <w:t>se sídlem Praha 1 - Staré Město, Žatecká 110/2, PSČ 110 00</w:t>
      </w:r>
    </w:p>
    <w:p w:rsidR="00E954E3" w:rsidRPr="0086129C" w:rsidRDefault="00E954E3" w:rsidP="00D411C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86129C">
        <w:rPr>
          <w:lang w:eastAsia="en-US"/>
        </w:rPr>
        <w:t>zapsaná v obchodním rejstříku vedeném Městským soudem v Praze, oddíl B, vložka 5290</w:t>
      </w:r>
    </w:p>
    <w:p w:rsidR="00E954E3" w:rsidRPr="0086129C" w:rsidRDefault="00E954E3" w:rsidP="00D411C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86129C">
        <w:rPr>
          <w:lang w:eastAsia="en-US"/>
        </w:rPr>
        <w:t>zastoupena:</w:t>
      </w:r>
      <w:r w:rsidRPr="0086129C">
        <w:rPr>
          <w:lang w:eastAsia="en-US"/>
        </w:rPr>
        <w:tab/>
      </w:r>
      <w:r>
        <w:rPr>
          <w:rStyle w:val="platne1"/>
        </w:rPr>
        <w:t>na základě plné moci</w:t>
      </w:r>
    </w:p>
    <w:p w:rsidR="00E954E3" w:rsidRPr="0086129C" w:rsidRDefault="00E954E3" w:rsidP="00D411C3">
      <w:pPr>
        <w:pStyle w:val="Smluvnstrany123"/>
        <w:numPr>
          <w:ilvl w:val="0"/>
          <w:numId w:val="0"/>
        </w:numPr>
        <w:ind w:left="567"/>
      </w:pPr>
      <w:r w:rsidRPr="0086129C">
        <w:t xml:space="preserve"> (dále jen „</w:t>
      </w:r>
      <w:r w:rsidRPr="0086129C">
        <w:rPr>
          <w:b/>
        </w:rPr>
        <w:t>Objednatel</w:t>
      </w:r>
      <w:r w:rsidRPr="0086129C">
        <w:t>“),</w:t>
      </w:r>
    </w:p>
    <w:p w:rsidR="00E954E3" w:rsidRPr="0086129C" w:rsidRDefault="00E954E3" w:rsidP="00D411C3">
      <w:pPr>
        <w:pStyle w:val="Smluvnstrany123"/>
        <w:numPr>
          <w:ilvl w:val="0"/>
          <w:numId w:val="0"/>
        </w:numPr>
        <w:ind w:left="567"/>
      </w:pPr>
      <w:r w:rsidRPr="0086129C">
        <w:t>a</w:t>
      </w:r>
    </w:p>
    <w:p w:rsidR="00E954E3" w:rsidRDefault="00E954E3" w:rsidP="0059358C">
      <w:pPr>
        <w:pStyle w:val="Smluvnstrany123"/>
        <w:spacing w:after="0"/>
        <w:rPr>
          <w:lang w:eastAsia="en-US"/>
        </w:rPr>
      </w:pPr>
      <w:r w:rsidRPr="002E3D12">
        <w:rPr>
          <w:b/>
          <w:bCs/>
          <w:lang w:eastAsia="en-US"/>
        </w:rPr>
        <w:t>KSB</w:t>
      </w:r>
      <w:r>
        <w:rPr>
          <w:b/>
          <w:bCs/>
          <w:lang w:eastAsia="en-US"/>
        </w:rPr>
        <w:t xml:space="preserve"> – </w:t>
      </w:r>
      <w:r w:rsidRPr="002E3D12">
        <w:rPr>
          <w:b/>
          <w:bCs/>
          <w:lang w:eastAsia="en-US"/>
        </w:rPr>
        <w:t>PUMPY</w:t>
      </w:r>
      <w:r>
        <w:rPr>
          <w:b/>
          <w:bCs/>
          <w:lang w:eastAsia="en-US"/>
        </w:rPr>
        <w:t xml:space="preserve"> </w:t>
      </w:r>
      <w:r w:rsidRPr="002E3D12">
        <w:rPr>
          <w:b/>
          <w:bCs/>
          <w:lang w:eastAsia="en-US"/>
        </w:rPr>
        <w:t>+</w:t>
      </w:r>
      <w:r>
        <w:rPr>
          <w:b/>
          <w:bCs/>
          <w:lang w:eastAsia="en-US"/>
        </w:rPr>
        <w:t xml:space="preserve"> </w:t>
      </w:r>
      <w:r w:rsidRPr="002E3D12">
        <w:rPr>
          <w:b/>
          <w:bCs/>
          <w:lang w:eastAsia="en-US"/>
        </w:rPr>
        <w:t>ARMATURY s.r.o., koncern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  <w:r w:rsidRPr="00E14E1C">
        <w:rPr>
          <w:lang w:eastAsia="en-US"/>
        </w:rPr>
        <w:t xml:space="preserve"> </w:t>
      </w:r>
    </w:p>
    <w:p w:rsidR="00E954E3" w:rsidRDefault="00E954E3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1D68A1">
        <w:rPr>
          <w:lang w:eastAsia="en-US"/>
        </w:rPr>
        <w:t>Praha 4</w:t>
      </w:r>
      <w:r>
        <w:rPr>
          <w:lang w:eastAsia="en-US"/>
        </w:rPr>
        <w:t xml:space="preserve"> </w:t>
      </w:r>
      <w:r w:rsidRPr="001D68A1">
        <w:rPr>
          <w:lang w:eastAsia="en-US"/>
        </w:rPr>
        <w:t>-</w:t>
      </w:r>
      <w:r>
        <w:rPr>
          <w:lang w:eastAsia="en-US"/>
        </w:rPr>
        <w:t xml:space="preserve"> </w:t>
      </w:r>
      <w:r w:rsidRPr="001D68A1">
        <w:rPr>
          <w:lang w:eastAsia="en-US"/>
        </w:rPr>
        <w:t>Chodov</w:t>
      </w:r>
      <w:r>
        <w:rPr>
          <w:lang w:eastAsia="en-US"/>
        </w:rPr>
        <w:t>,</w:t>
      </w:r>
      <w:r w:rsidRPr="001D68A1">
        <w:rPr>
          <w:lang w:eastAsia="en-US"/>
        </w:rPr>
        <w:t xml:space="preserve"> Klíčova 2300/6, </w:t>
      </w:r>
      <w:r>
        <w:rPr>
          <w:lang w:eastAsia="en-US"/>
        </w:rPr>
        <w:t xml:space="preserve">PSČ </w:t>
      </w:r>
      <w:r w:rsidRPr="001D68A1">
        <w:rPr>
          <w:lang w:eastAsia="en-US"/>
        </w:rPr>
        <w:t xml:space="preserve">149 00 </w:t>
      </w:r>
      <w:r w:rsidRPr="00E14E1C">
        <w:rPr>
          <w:lang w:eastAsia="en-US"/>
        </w:rPr>
        <w:t xml:space="preserve"> </w:t>
      </w:r>
    </w:p>
    <w:p w:rsidR="00E954E3" w:rsidRDefault="00E954E3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 w:rsidRPr="007E7C4B">
        <w:t xml:space="preserve"> </w:t>
      </w:r>
      <w:r>
        <w:t>C</w:t>
      </w:r>
      <w:r w:rsidRPr="007E7C4B">
        <w:t xml:space="preserve">, vložka </w:t>
      </w:r>
      <w:r>
        <w:t>3275</w:t>
      </w:r>
    </w:p>
    <w:p w:rsidR="00E954E3" w:rsidRDefault="00E954E3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zastoupená:  </w:t>
      </w:r>
    </w:p>
    <w:p w:rsidR="00E954E3" w:rsidRPr="0086129C" w:rsidRDefault="00E954E3" w:rsidP="0059358C">
      <w:pPr>
        <w:pStyle w:val="Smluvnstrany123"/>
        <w:numPr>
          <w:ilvl w:val="0"/>
          <w:numId w:val="0"/>
        </w:numPr>
        <w:ind w:left="567"/>
      </w:pPr>
      <w:r w:rsidRPr="0086129C">
        <w:t>(dále jen „</w:t>
      </w:r>
      <w:r w:rsidRPr="0086129C">
        <w:rPr>
          <w:b/>
        </w:rPr>
        <w:t>Zhotovitel</w:t>
      </w:r>
      <w:r w:rsidRPr="0086129C">
        <w:t>“),</w:t>
      </w:r>
    </w:p>
    <w:p w:rsidR="00E954E3" w:rsidRPr="0086129C" w:rsidRDefault="00E954E3" w:rsidP="00D411C3">
      <w:pPr>
        <w:pStyle w:val="Smluvnstrany123"/>
        <w:numPr>
          <w:ilvl w:val="0"/>
          <w:numId w:val="0"/>
        </w:numPr>
        <w:ind w:left="567"/>
      </w:pPr>
      <w:r w:rsidRPr="0086129C">
        <w:t>(Objednatel a Zhotovitel dále společně jen „</w:t>
      </w:r>
      <w:r w:rsidRPr="0086129C">
        <w:rPr>
          <w:b/>
        </w:rPr>
        <w:t>Smluvní strany</w:t>
      </w:r>
      <w:r w:rsidRPr="0086129C">
        <w:t>“ a jednotlivě jen „</w:t>
      </w:r>
      <w:r w:rsidRPr="0086129C">
        <w:rPr>
          <w:b/>
        </w:rPr>
        <w:t>Smluvní strana</w:t>
      </w:r>
      <w:r w:rsidRPr="0086129C">
        <w:t>“).</w:t>
      </w:r>
    </w:p>
    <w:p w:rsidR="00E954E3" w:rsidRPr="0086129C" w:rsidRDefault="00E954E3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86129C">
        <w:rPr>
          <w:b/>
          <w:caps/>
        </w:rPr>
        <w:t>Preambule</w:t>
      </w:r>
    </w:p>
    <w:p w:rsidR="00E954E3" w:rsidRDefault="00E954E3" w:rsidP="00274835">
      <w:pPr>
        <w:ind w:firstLine="0"/>
        <w:rPr>
          <w:iCs/>
        </w:rPr>
      </w:pPr>
      <w:r w:rsidRPr="0086129C">
        <w:t>Smluvní strany se dohodly</w:t>
      </w:r>
      <w:r>
        <w:t xml:space="preserve"> na </w:t>
      </w:r>
      <w:r w:rsidRPr="003340F1">
        <w:t>sepsání tohoto</w:t>
      </w:r>
      <w:r w:rsidRPr="0086129C">
        <w:t xml:space="preserve"> dodatku č. 1. </w:t>
      </w:r>
      <w:r>
        <w:t>Předmětem tohoto dodatku č. 1 jsou dodatečné a neprovedené stavební práce a prodloužení termínu díla. Dodatečné stavební práce vznikly během provádění díla na základě požadavků objednatele a provozovatele (Pražských vodovodů a kanalizací, a.s.) – viz příloha č. 1.</w:t>
      </w:r>
    </w:p>
    <w:p w:rsidR="00E954E3" w:rsidRPr="0086129C" w:rsidRDefault="00E954E3" w:rsidP="00FE5198">
      <w:pPr>
        <w:pStyle w:val="BodyText"/>
        <w:tabs>
          <w:tab w:val="left" w:pos="0"/>
        </w:tabs>
        <w:spacing w:after="120"/>
        <w:ind w:firstLine="0"/>
      </w:pPr>
      <w:r w:rsidRPr="0086129C">
        <w:t>Dodatečné stavební páce jsou nezbytné pro uvedení díla do užívání a provozování vodohospodářské infrastruktury.</w:t>
      </w:r>
    </w:p>
    <w:p w:rsidR="00E954E3" w:rsidRPr="0086129C" w:rsidRDefault="00E954E3" w:rsidP="00F95F29">
      <w:pPr>
        <w:pStyle w:val="PrvnrovesmlouvyNadpis"/>
        <w:numPr>
          <w:ilvl w:val="0"/>
          <w:numId w:val="0"/>
        </w:numPr>
        <w:jc w:val="center"/>
      </w:pPr>
      <w:r w:rsidRPr="0086129C">
        <w:t>Článek I.</w:t>
      </w:r>
    </w:p>
    <w:p w:rsidR="00E954E3" w:rsidRPr="00221580" w:rsidRDefault="00E954E3" w:rsidP="008337E0">
      <w:pPr>
        <w:pStyle w:val="Druhrove1"/>
        <w:numPr>
          <w:ilvl w:val="3"/>
          <w:numId w:val="11"/>
        </w:numPr>
        <w:spacing w:after="0"/>
        <w:ind w:left="284" w:hanging="284"/>
        <w:rPr>
          <w:szCs w:val="22"/>
        </w:rPr>
      </w:pPr>
      <w:r w:rsidRPr="00221580">
        <w:rPr>
          <w:szCs w:val="22"/>
        </w:rPr>
        <w:t xml:space="preserve">Ustanovení </w:t>
      </w:r>
      <w:r w:rsidRPr="00221580">
        <w:rPr>
          <w:b/>
          <w:szCs w:val="22"/>
        </w:rPr>
        <w:t>čl. 2. Předmět smlouvy</w:t>
      </w:r>
      <w:r w:rsidRPr="00221580">
        <w:rPr>
          <w:szCs w:val="22"/>
        </w:rPr>
        <w:t xml:space="preserve"> se rozšiřuje o nové odstavce 2.1.1 a 2.1.2, které znějí::</w:t>
      </w:r>
    </w:p>
    <w:p w:rsidR="00E954E3" w:rsidRPr="00221580" w:rsidRDefault="00E954E3" w:rsidP="00E52342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E954E3" w:rsidRDefault="00E954E3" w:rsidP="00E52342">
      <w:pPr>
        <w:pStyle w:val="Druhrove1"/>
        <w:numPr>
          <w:ilvl w:val="0"/>
          <w:numId w:val="0"/>
        </w:numPr>
        <w:spacing w:after="0"/>
        <w:ind w:left="567" w:hanging="207"/>
      </w:pPr>
      <w:r>
        <w:t>„2.1.1 zhotovitel provede tyto dodatečné stavební práce:</w:t>
      </w:r>
    </w:p>
    <w:p w:rsidR="00E954E3" w:rsidRDefault="00E954E3" w:rsidP="002B3985">
      <w:pPr>
        <w:pStyle w:val="Seznam123"/>
        <w:numPr>
          <w:ilvl w:val="0"/>
          <w:numId w:val="42"/>
        </w:numPr>
        <w:spacing w:after="0"/>
      </w:pPr>
      <w:r>
        <w:t>odbourání části stropu šachty pásma č. 139, nad potrubím a armaturami DN 800</w:t>
      </w:r>
    </w:p>
    <w:p w:rsidR="00E954E3" w:rsidRPr="006D124B" w:rsidRDefault="00E954E3" w:rsidP="002B3985">
      <w:pPr>
        <w:pStyle w:val="Seznam123"/>
        <w:numPr>
          <w:ilvl w:val="0"/>
          <w:numId w:val="42"/>
        </w:numPr>
        <w:spacing w:after="0"/>
      </w:pPr>
      <w:r>
        <w:t>osazení nerezových armatur, nakluznění spojovacího materiálů přírub, šachta č. 139“</w:t>
      </w:r>
    </w:p>
    <w:p w:rsidR="00E954E3" w:rsidRDefault="00E954E3" w:rsidP="00E52342">
      <w:pPr>
        <w:pStyle w:val="Druhrove1"/>
        <w:numPr>
          <w:ilvl w:val="0"/>
          <w:numId w:val="0"/>
        </w:numPr>
        <w:spacing w:after="0"/>
        <w:ind w:left="567" w:hanging="567"/>
      </w:pPr>
    </w:p>
    <w:p w:rsidR="00E954E3" w:rsidRDefault="00E954E3" w:rsidP="001A1F64">
      <w:pPr>
        <w:pStyle w:val="Druhrove1"/>
        <w:numPr>
          <w:ilvl w:val="0"/>
          <w:numId w:val="0"/>
        </w:numPr>
        <w:spacing w:after="0"/>
        <w:ind w:left="1080" w:hanging="654"/>
      </w:pPr>
      <w:r>
        <w:t>„ 2.1.2 zhotovitel neprovede tyto stavební práce:</w:t>
      </w:r>
    </w:p>
    <w:p w:rsidR="00E954E3" w:rsidRPr="00253AD2" w:rsidRDefault="00E954E3" w:rsidP="002B3985">
      <w:pPr>
        <w:pStyle w:val="BodyText"/>
        <w:numPr>
          <w:ilvl w:val="0"/>
          <w:numId w:val="42"/>
        </w:numPr>
        <w:spacing w:after="0"/>
      </w:pPr>
      <w:r>
        <w:rPr>
          <w:bCs/>
        </w:rPr>
        <w:t>dodávku a montáž litinových armatur</w:t>
      </w:r>
      <w:r>
        <w:t>, šachta č. 136“</w:t>
      </w:r>
      <w:r w:rsidRPr="00253AD2">
        <w:t xml:space="preserve"> </w:t>
      </w:r>
    </w:p>
    <w:p w:rsidR="00E954E3" w:rsidRDefault="00E954E3" w:rsidP="00E52342">
      <w:pPr>
        <w:pStyle w:val="Druhrove1"/>
        <w:numPr>
          <w:ilvl w:val="0"/>
          <w:numId w:val="0"/>
        </w:numPr>
        <w:spacing w:after="0"/>
        <w:ind w:left="567" w:hanging="567"/>
      </w:pPr>
    </w:p>
    <w:p w:rsidR="00E954E3" w:rsidRDefault="00E954E3" w:rsidP="002B3985">
      <w:pPr>
        <w:pStyle w:val="Druhrove1"/>
        <w:numPr>
          <w:ilvl w:val="0"/>
          <w:numId w:val="0"/>
        </w:numPr>
        <w:spacing w:after="0"/>
        <w:ind w:left="426" w:hanging="426"/>
        <w:rPr>
          <w:b/>
        </w:rPr>
      </w:pPr>
    </w:p>
    <w:p w:rsidR="00E954E3" w:rsidRDefault="00E954E3" w:rsidP="00E52342">
      <w:pPr>
        <w:pStyle w:val="Druhrove1"/>
        <w:numPr>
          <w:ilvl w:val="0"/>
          <w:numId w:val="0"/>
        </w:numPr>
        <w:ind w:left="426" w:hanging="426"/>
      </w:pPr>
      <w:r>
        <w:t xml:space="preserve">2. Ustanovení </w:t>
      </w:r>
      <w:r>
        <w:rPr>
          <w:b/>
        </w:rPr>
        <w:t>čl. 5. Cena za provedení díla</w:t>
      </w:r>
      <w:r>
        <w:t xml:space="preserve"> se rozšiřuje o nový odstavec 5.1.1, který zní:</w:t>
      </w:r>
    </w:p>
    <w:p w:rsidR="00E954E3" w:rsidRDefault="00E954E3" w:rsidP="00E52342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  <w:rPr>
          <w:szCs w:val="22"/>
        </w:rPr>
      </w:pPr>
      <w:r>
        <w:t xml:space="preserve">„5.1.1 </w:t>
      </w:r>
      <w:r>
        <w:rPr>
          <w:sz w:val="24"/>
          <w:szCs w:val="24"/>
        </w:rPr>
        <w:t>Cena díla dle ustanovení čl. 2.1.1 a 2.1.2 činí bez DPH</w:t>
      </w:r>
      <w:r>
        <w:rPr>
          <w:szCs w:val="22"/>
        </w:rPr>
        <w:tab/>
      </w:r>
      <w:r>
        <w:rPr>
          <w:b/>
          <w:bCs/>
        </w:rPr>
        <w:t>1.150.597,00</w:t>
      </w:r>
      <w:r w:rsidRPr="006D124B">
        <w:rPr>
          <w:b/>
          <w:bCs/>
        </w:rPr>
        <w:t xml:space="preserve"> Kč</w:t>
      </w:r>
      <w:r>
        <w:rPr>
          <w:szCs w:val="22"/>
        </w:rPr>
        <w:t>“</w:t>
      </w:r>
    </w:p>
    <w:p w:rsidR="00E954E3" w:rsidRDefault="00E954E3" w:rsidP="00E52342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/>
      </w:pPr>
      <w:r>
        <w:t>z toho cena dle čl. 2.1.1</w:t>
      </w:r>
      <w:r>
        <w:tab/>
        <w:t>1.747.691,00 Kč</w:t>
      </w:r>
    </w:p>
    <w:p w:rsidR="00E954E3" w:rsidRDefault="00E954E3" w:rsidP="00511699">
      <w:pPr>
        <w:pStyle w:val="Druhrove1"/>
        <w:numPr>
          <w:ilvl w:val="0"/>
          <w:numId w:val="0"/>
        </w:numPr>
        <w:spacing w:after="0"/>
        <w:ind w:left="425" w:right="141"/>
      </w:pPr>
      <w:r>
        <w:t>a cena dle čl. 2.1.2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-597.094,00</w:t>
      </w:r>
      <w:r>
        <w:rPr>
          <w:bCs/>
        </w:rPr>
        <w:t xml:space="preserve"> </w:t>
      </w:r>
      <w:r>
        <w:t>Kč</w:t>
      </w:r>
    </w:p>
    <w:p w:rsidR="00E954E3" w:rsidRDefault="00E954E3" w:rsidP="00E52342">
      <w:pPr>
        <w:pStyle w:val="Druhrove1"/>
        <w:numPr>
          <w:ilvl w:val="0"/>
          <w:numId w:val="0"/>
        </w:numPr>
        <w:spacing w:after="0"/>
        <w:ind w:left="425"/>
      </w:pPr>
      <w:r>
        <w:t>Soupis dodatečných a neprovedených stavebních prací a dodávek – viz příloha č. 1.</w:t>
      </w:r>
      <w:r>
        <w:tab/>
      </w:r>
    </w:p>
    <w:p w:rsidR="00E954E3" w:rsidRDefault="00E954E3" w:rsidP="00E52342">
      <w:pPr>
        <w:pStyle w:val="Druhrove1"/>
        <w:numPr>
          <w:ilvl w:val="0"/>
          <w:numId w:val="0"/>
        </w:numPr>
        <w:spacing w:after="0"/>
        <w:ind w:left="425" w:hanging="425"/>
      </w:pPr>
    </w:p>
    <w:p w:rsidR="00E954E3" w:rsidRDefault="00E954E3" w:rsidP="00E52342">
      <w:pPr>
        <w:pStyle w:val="Druhrove1"/>
        <w:numPr>
          <w:ilvl w:val="0"/>
          <w:numId w:val="0"/>
        </w:numPr>
        <w:spacing w:after="0"/>
        <w:ind w:left="425" w:firstLine="1"/>
      </w:pPr>
      <w:r>
        <w:t>Celková cena díla ve znění SoD a dodatku č. 1 pak činí</w:t>
      </w:r>
    </w:p>
    <w:p w:rsidR="00E954E3" w:rsidRDefault="00E954E3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</w:pPr>
      <w:r>
        <w:t>Původní cena za dílo bez DPH</w:t>
      </w:r>
      <w:r>
        <w:tab/>
        <w:t xml:space="preserve">          7.990.890,00 Kč</w:t>
      </w:r>
    </w:p>
    <w:p w:rsidR="00E954E3" w:rsidRDefault="00E954E3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</w:pPr>
      <w:r>
        <w:t>Cena dle dodatku č. 1. bez DPH</w:t>
      </w:r>
      <w:r>
        <w:tab/>
        <w:t>1.150.597,00 Kč</w:t>
      </w:r>
    </w:p>
    <w:p w:rsidR="00E954E3" w:rsidRDefault="00E954E3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</w:rPr>
      </w:pPr>
      <w:r>
        <w:t>Celková cena bez DPH</w:t>
      </w:r>
      <w:r>
        <w:tab/>
        <w:t xml:space="preserve">       9.141.487,00 Kč</w:t>
      </w:r>
    </w:p>
    <w:p w:rsidR="00E954E3" w:rsidRDefault="00E954E3" w:rsidP="00E52342">
      <w:pPr>
        <w:pStyle w:val="Druhrove1"/>
        <w:numPr>
          <w:ilvl w:val="0"/>
          <w:numId w:val="0"/>
        </w:numPr>
        <w:spacing w:after="0"/>
        <w:ind w:left="425" w:firstLine="1"/>
      </w:pPr>
      <w:r>
        <w:t>DPH 21%</w:t>
      </w:r>
    </w:p>
    <w:p w:rsidR="00E954E3" w:rsidRDefault="00E954E3" w:rsidP="00A55851">
      <w:pPr>
        <w:pStyle w:val="Druhrove1"/>
        <w:numPr>
          <w:ilvl w:val="0"/>
          <w:numId w:val="0"/>
        </w:numPr>
        <w:spacing w:after="0"/>
        <w:ind w:left="425" w:hanging="425"/>
        <w:rPr>
          <w:szCs w:val="22"/>
        </w:rPr>
      </w:pPr>
    </w:p>
    <w:p w:rsidR="00E954E3" w:rsidRPr="0086129C" w:rsidRDefault="00E954E3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86129C">
        <w:rPr>
          <w:b/>
          <w:szCs w:val="22"/>
        </w:rPr>
        <w:t>ČLÁNEK II.</w:t>
      </w:r>
    </w:p>
    <w:p w:rsidR="00E954E3" w:rsidRPr="0086129C" w:rsidRDefault="00E954E3" w:rsidP="00D624D7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86129C">
        <w:rPr>
          <w:szCs w:val="22"/>
        </w:rPr>
        <w:t>Ostatní ustanovení Smlouvy o dílo se nemění.</w:t>
      </w:r>
    </w:p>
    <w:p w:rsidR="00E954E3" w:rsidRPr="0086129C" w:rsidRDefault="00E954E3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86129C">
        <w:rPr>
          <w:b/>
          <w:szCs w:val="22"/>
        </w:rPr>
        <w:t>ČLÁNEK III.</w:t>
      </w:r>
    </w:p>
    <w:p w:rsidR="00E954E3" w:rsidRPr="003475F7" w:rsidRDefault="00E954E3" w:rsidP="009761D1">
      <w:pPr>
        <w:pStyle w:val="Druhrovesmlouvy"/>
        <w:numPr>
          <w:ilvl w:val="0"/>
          <w:numId w:val="0"/>
        </w:numPr>
        <w:spacing w:after="0"/>
      </w:pPr>
      <w:r w:rsidRPr="0086129C">
        <w:t xml:space="preserve">1. </w:t>
      </w:r>
      <w:r w:rsidRPr="003475F7">
        <w:t xml:space="preserve">Tento Dodatek nabývá platnosti a účinnosti podpisem oběma Smluvními stranami. </w:t>
      </w:r>
    </w:p>
    <w:p w:rsidR="00E954E3" w:rsidRPr="003475F7" w:rsidRDefault="00E954E3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3475F7">
        <w:t>2. Tento Dodatek je vyhotoven ve dvou (2) vyhotoveních v českém jazyce. Každá ze Smluvních stran obdrží po jednom (1) vyhotovení.</w:t>
      </w:r>
    </w:p>
    <w:p w:rsidR="00E954E3" w:rsidRPr="003475F7" w:rsidRDefault="00E954E3" w:rsidP="007F5C35">
      <w:pPr>
        <w:pStyle w:val="Druhrovesmlouvy"/>
        <w:numPr>
          <w:ilvl w:val="0"/>
          <w:numId w:val="0"/>
        </w:numPr>
        <w:spacing w:after="0"/>
        <w:ind w:left="284" w:hanging="284"/>
      </w:pPr>
      <w:r w:rsidRPr="003475F7">
        <w:t>3. Nedílnou součástí tohoto Dodatku jsou přílohy:</w:t>
      </w:r>
    </w:p>
    <w:p w:rsidR="00E954E3" w:rsidRDefault="00E954E3" w:rsidP="006D124B">
      <w:pPr>
        <w:pStyle w:val="Druhrovesmlouvy"/>
        <w:numPr>
          <w:ilvl w:val="0"/>
          <w:numId w:val="0"/>
        </w:numPr>
        <w:spacing w:after="0"/>
        <w:ind w:left="284"/>
      </w:pPr>
      <w:r>
        <w:t>č. 1 – Zdůvodnění dodatečných a neprovedených prací a dodávek</w:t>
      </w:r>
    </w:p>
    <w:p w:rsidR="00E954E3" w:rsidRPr="003475F7" w:rsidRDefault="00E954E3" w:rsidP="006D124B">
      <w:pPr>
        <w:pStyle w:val="Druhrovesmlouvy"/>
        <w:numPr>
          <w:ilvl w:val="0"/>
          <w:numId w:val="0"/>
        </w:numPr>
        <w:spacing w:after="0"/>
        <w:ind w:left="284"/>
      </w:pPr>
      <w:r w:rsidRPr="003475F7">
        <w:t xml:space="preserve">č. </w:t>
      </w:r>
      <w:r>
        <w:t>2</w:t>
      </w:r>
      <w:r w:rsidRPr="003475F7">
        <w:t xml:space="preserve"> </w:t>
      </w:r>
      <w:r>
        <w:t>- S</w:t>
      </w:r>
      <w:r w:rsidRPr="003475F7">
        <w:t>oupis dodatečných a neprovedených stavebních prací</w:t>
      </w:r>
      <w:r>
        <w:t xml:space="preserve"> a dodávek</w:t>
      </w:r>
      <w:r w:rsidRPr="003475F7">
        <w:t xml:space="preserve"> </w:t>
      </w:r>
    </w:p>
    <w:p w:rsidR="00E954E3" w:rsidRDefault="00E954E3" w:rsidP="00F40140">
      <w:pPr>
        <w:pStyle w:val="Neodsazentext"/>
        <w:spacing w:after="0"/>
        <w:rPr>
          <w:b/>
        </w:rPr>
      </w:pPr>
    </w:p>
    <w:p w:rsidR="00E954E3" w:rsidRDefault="00E954E3" w:rsidP="00F40140">
      <w:pPr>
        <w:pStyle w:val="Neodsazentext"/>
        <w:spacing w:after="0"/>
        <w:rPr>
          <w:b/>
        </w:rPr>
      </w:pPr>
    </w:p>
    <w:tbl>
      <w:tblPr>
        <w:tblW w:w="8928" w:type="dxa"/>
        <w:tblLook w:val="00A0"/>
      </w:tblPr>
      <w:tblGrid>
        <w:gridCol w:w="8769"/>
        <w:gridCol w:w="235"/>
      </w:tblGrid>
      <w:tr w:rsidR="00E954E3" w:rsidTr="00D87542">
        <w:trPr>
          <w:trHeight w:val="2060"/>
        </w:trPr>
        <w:tc>
          <w:tcPr>
            <w:tcW w:w="4464" w:type="dxa"/>
          </w:tcPr>
          <w:tbl>
            <w:tblPr>
              <w:tblW w:w="9096" w:type="dxa"/>
              <w:tblLook w:val="00A0"/>
            </w:tblPr>
            <w:tblGrid>
              <w:gridCol w:w="4548"/>
              <w:gridCol w:w="4548"/>
            </w:tblGrid>
            <w:tr w:rsidR="00E954E3" w:rsidTr="00D87542">
              <w:trPr>
                <w:trHeight w:val="1307"/>
              </w:trPr>
              <w:tc>
                <w:tcPr>
                  <w:tcW w:w="4548" w:type="dxa"/>
                </w:tcPr>
                <w:p w:rsidR="00E954E3" w:rsidRPr="00D476A1" w:rsidRDefault="00E954E3" w:rsidP="00D87542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E954E3" w:rsidRPr="00D476A1" w:rsidRDefault="00E954E3" w:rsidP="00D87542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</w:p>
                <w:p w:rsidR="00E954E3" w:rsidRPr="00D476A1" w:rsidRDefault="00E954E3" w:rsidP="00D87542">
                  <w:pPr>
                    <w:pStyle w:val="BodyText"/>
                    <w:spacing w:after="0"/>
                    <w:ind w:firstLine="0"/>
                  </w:pPr>
                </w:p>
                <w:p w:rsidR="00E954E3" w:rsidRDefault="00E954E3" w:rsidP="00D87542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E954E3" w:rsidRDefault="00E954E3" w:rsidP="00D87542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E954E3" w:rsidRDefault="00E954E3" w:rsidP="00D87542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E954E3" w:rsidRPr="00D476A1" w:rsidRDefault="00E954E3" w:rsidP="00D87542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548" w:type="dxa"/>
                </w:tcPr>
                <w:p w:rsidR="00E954E3" w:rsidRDefault="00E954E3" w:rsidP="00D87542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E954E3" w:rsidRDefault="00E954E3" w:rsidP="00D87542">
                  <w:pPr>
                    <w:pStyle w:val="BodyText"/>
                    <w:spacing w:after="0"/>
                    <w:ind w:firstLine="0"/>
                  </w:pPr>
                  <w:r>
                    <w:t xml:space="preserve">v Praze, dne </w:t>
                  </w:r>
                </w:p>
                <w:p w:rsidR="00E954E3" w:rsidRDefault="00E954E3" w:rsidP="00D87542">
                  <w:pPr>
                    <w:pStyle w:val="BodyText"/>
                    <w:spacing w:after="0"/>
                    <w:ind w:firstLine="0"/>
                  </w:pPr>
                </w:p>
                <w:p w:rsidR="00E954E3" w:rsidRDefault="00E954E3" w:rsidP="00D87542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E954E3" w:rsidRDefault="00E954E3" w:rsidP="00D87542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E954E3" w:rsidRDefault="00E954E3" w:rsidP="00D87542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E954E3" w:rsidRDefault="00E954E3" w:rsidP="00D87542">
                  <w:pPr>
                    <w:pStyle w:val="BodyText"/>
                    <w:spacing w:after="0"/>
                    <w:ind w:firstLine="0"/>
                    <w:jc w:val="left"/>
                  </w:pPr>
                </w:p>
              </w:tc>
            </w:tr>
            <w:tr w:rsidR="00E954E3" w:rsidTr="00D87542">
              <w:trPr>
                <w:trHeight w:val="1307"/>
              </w:trPr>
              <w:tc>
                <w:tcPr>
                  <w:tcW w:w="4548" w:type="dxa"/>
                </w:tcPr>
                <w:p w:rsidR="00E954E3" w:rsidRPr="00D476A1" w:rsidRDefault="00E954E3" w:rsidP="00D87542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548" w:type="dxa"/>
                </w:tcPr>
                <w:p w:rsidR="00E954E3" w:rsidRDefault="00E954E3" w:rsidP="00D87542">
                  <w:pPr>
                    <w:pStyle w:val="BodyText"/>
                    <w:spacing w:after="0"/>
                    <w:ind w:firstLine="0"/>
                  </w:pPr>
                </w:p>
              </w:tc>
            </w:tr>
          </w:tbl>
          <w:p w:rsidR="00E954E3" w:rsidRPr="00D476A1" w:rsidRDefault="00E954E3" w:rsidP="00D87542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E954E3" w:rsidRDefault="00E954E3" w:rsidP="00D87542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9F284E">
      <w:pPr>
        <w:pStyle w:val="Neodsazentext"/>
        <w:spacing w:after="0"/>
        <w:rPr>
          <w:b/>
        </w:rPr>
      </w:pPr>
    </w:p>
    <w:p w:rsidR="00E954E3" w:rsidRDefault="00E954E3" w:rsidP="005D639F">
      <w:pPr>
        <w:pStyle w:val="Neodsazentext"/>
        <w:spacing w:after="0"/>
        <w:jc w:val="right"/>
        <w:rPr>
          <w:b/>
        </w:rPr>
      </w:pPr>
      <w:r>
        <w:rPr>
          <w:b/>
        </w:rPr>
        <w:t>Příloha č. 1</w:t>
      </w:r>
    </w:p>
    <w:p w:rsidR="00E954E3" w:rsidRPr="00A40784" w:rsidRDefault="00E954E3" w:rsidP="005D639F">
      <w:pPr>
        <w:pStyle w:val="Neodsazentext"/>
        <w:spacing w:after="0"/>
        <w:jc w:val="right"/>
        <w:rPr>
          <w:b/>
          <w:u w:val="single"/>
        </w:rPr>
      </w:pPr>
    </w:p>
    <w:p w:rsidR="00E954E3" w:rsidRPr="00A40784" w:rsidRDefault="00E954E3" w:rsidP="005D639F">
      <w:pPr>
        <w:pStyle w:val="Neodsazentext"/>
        <w:spacing w:after="0"/>
        <w:rPr>
          <w:b/>
          <w:u w:val="single"/>
        </w:rPr>
      </w:pPr>
      <w:r w:rsidRPr="00A40784">
        <w:rPr>
          <w:b/>
          <w:u w:val="single"/>
        </w:rPr>
        <w:t>Zdůvodnění dodatečných stavebních prací</w:t>
      </w:r>
      <w:r>
        <w:rPr>
          <w:b/>
          <w:u w:val="single"/>
        </w:rPr>
        <w:t xml:space="preserve"> a dodávek</w:t>
      </w:r>
    </w:p>
    <w:p w:rsidR="00E954E3" w:rsidRDefault="00E954E3" w:rsidP="005D639F">
      <w:pPr>
        <w:pStyle w:val="Neodsazentext"/>
        <w:spacing w:after="0"/>
      </w:pPr>
    </w:p>
    <w:p w:rsidR="00E954E3" w:rsidRDefault="00E954E3" w:rsidP="005D639F">
      <w:pPr>
        <w:pStyle w:val="Neodsazentext"/>
        <w:spacing w:after="0"/>
      </w:pPr>
      <w:r>
        <w:t>Provozovatel zjistil, že ve fázi přípravy jím odsouhlasená doba odstávky, pro postupnou montáž skrz montážní otvory 92 hod a rozsah a skladba odstavených odběratelů, není reálná. Proto v rámci předrealizačních výrobních výborů došlo k zreálnění odstávky na 15 hod. Z prodloužení odstávky vyplynula nutnost dodatečného dotlakování pásma úpravou na ČS VDJ Kobylisy (realizaci zajistil provozovatel).</w:t>
      </w:r>
    </w:p>
    <w:p w:rsidR="00E954E3" w:rsidRDefault="00E954E3" w:rsidP="005D639F">
      <w:pPr>
        <w:pStyle w:val="Neodsazentext"/>
        <w:spacing w:after="0"/>
      </w:pPr>
      <w:r>
        <w:t xml:space="preserve">Pro vlastní bezproblémovou realizaci osazení celého připraveného segmentu DN 800 bylo nutno ubourat třetinu stropní konstrukce a nahradit novým nosníkem a věncem pro uložení atypických prefabrikátů. V navrhované výměně technologie z litiny byla pro pospojování uzavíracích armatur odsouhlasena lehčí nerez i vzhledem k předpokládaným problémům v napojení na stávající příruby. Spojovací materiál přírubových spojen byl opatřen teflonovou vrstvou. </w:t>
      </w:r>
    </w:p>
    <w:p w:rsidR="00E954E3" w:rsidRDefault="00E954E3" w:rsidP="005D639F">
      <w:pPr>
        <w:pStyle w:val="Neodsazentext"/>
        <w:spacing w:after="0"/>
      </w:pPr>
      <w:r>
        <w:t>K úspěšné realizaci byl potřebný velký manipulační a montážní prostor, proto bylo zhotoviteli odsouhlaseno pronajmutí celého areálu od majitele pozemku, na kterém se šachta pásma 139 nachází.</w:t>
      </w:r>
    </w:p>
    <w:sectPr w:rsidR="00E954E3" w:rsidSect="001E1812">
      <w:headerReference w:type="default" r:id="rId7"/>
      <w:footerReference w:type="default" r:id="rId8"/>
      <w:pgSz w:w="11907" w:h="16839" w:code="9"/>
      <w:pgMar w:top="1418" w:right="1418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E3" w:rsidRDefault="00E954E3" w:rsidP="00FA7B21">
      <w:pPr>
        <w:spacing w:after="0"/>
      </w:pPr>
      <w:r>
        <w:separator/>
      </w:r>
    </w:p>
  </w:endnote>
  <w:endnote w:type="continuationSeparator" w:id="0">
    <w:p w:rsidR="00E954E3" w:rsidRDefault="00E954E3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E3" w:rsidRDefault="00E954E3" w:rsidP="00723B70">
    <w:pPr>
      <w:pStyle w:val="Footer"/>
      <w:jc w:val="right"/>
    </w:pPr>
    <w:fldSimple w:instr=" PAGE   \* MERGEFORMAT ">
      <w:r>
        <w:rPr>
          <w:noProof/>
        </w:rPr>
        <w:t>3</w:t>
      </w:r>
    </w:fldSimple>
    <w:r>
      <w:t>/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E3" w:rsidRDefault="00E954E3" w:rsidP="00FA7B21">
      <w:pPr>
        <w:spacing w:after="0"/>
      </w:pPr>
      <w:r>
        <w:separator/>
      </w:r>
    </w:p>
  </w:footnote>
  <w:footnote w:type="continuationSeparator" w:id="0">
    <w:p w:rsidR="00E954E3" w:rsidRDefault="00E954E3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E3" w:rsidRPr="001638F2" w:rsidRDefault="00E954E3" w:rsidP="001638F2">
    <w:pPr>
      <w:pStyle w:val="Header"/>
      <w:ind w:firstLine="0"/>
      <w:jc w:val="left"/>
      <w:rPr>
        <w:sz w:val="20"/>
        <w:szCs w:val="20"/>
      </w:rPr>
    </w:pPr>
    <w:r w:rsidRPr="001638F2">
      <w:rPr>
        <w:sz w:val="20"/>
        <w:szCs w:val="20"/>
      </w:rPr>
      <w:t>Rekonstrukce vodoměrných šachet, pásmo č.136 a č.139, gravitace Ládví II, P8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2367118"/>
    <w:multiLevelType w:val="hybridMultilevel"/>
    <w:tmpl w:val="DC0C4272"/>
    <w:lvl w:ilvl="0" w:tplc="675A5E1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7">
    <w:nsid w:val="2AF3705D"/>
    <w:multiLevelType w:val="hybridMultilevel"/>
    <w:tmpl w:val="290618EE"/>
    <w:lvl w:ilvl="0" w:tplc="23327B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3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0C9B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44B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D15F3"/>
    <w:multiLevelType w:val="multilevel"/>
    <w:tmpl w:val="CE923492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8">
    <w:nsid w:val="5988045A"/>
    <w:multiLevelType w:val="hybridMultilevel"/>
    <w:tmpl w:val="3994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cs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cs="Times New Roman"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1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6B36DF"/>
    <w:multiLevelType w:val="hybridMultilevel"/>
    <w:tmpl w:val="A6B27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cs="Times New Roman"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3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2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18"/>
  </w:num>
  <w:num w:numId="38">
    <w:abstractNumId w:val="23"/>
  </w:num>
  <w:num w:numId="39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5D29"/>
    <w:rsid w:val="00097E53"/>
    <w:rsid w:val="000A1562"/>
    <w:rsid w:val="000A2178"/>
    <w:rsid w:val="000B1EA1"/>
    <w:rsid w:val="000B50CD"/>
    <w:rsid w:val="000B71F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13342"/>
    <w:rsid w:val="00121434"/>
    <w:rsid w:val="00122C85"/>
    <w:rsid w:val="00132CB2"/>
    <w:rsid w:val="00134B21"/>
    <w:rsid w:val="001358D7"/>
    <w:rsid w:val="001367F7"/>
    <w:rsid w:val="00140D77"/>
    <w:rsid w:val="00152D71"/>
    <w:rsid w:val="001638F2"/>
    <w:rsid w:val="001656FB"/>
    <w:rsid w:val="0017301F"/>
    <w:rsid w:val="00182A92"/>
    <w:rsid w:val="00190F16"/>
    <w:rsid w:val="001A1F64"/>
    <w:rsid w:val="001A395D"/>
    <w:rsid w:val="001A665A"/>
    <w:rsid w:val="001B40D1"/>
    <w:rsid w:val="001C489C"/>
    <w:rsid w:val="001C7143"/>
    <w:rsid w:val="001D409B"/>
    <w:rsid w:val="001D68A1"/>
    <w:rsid w:val="001E1812"/>
    <w:rsid w:val="001E41F6"/>
    <w:rsid w:val="001F3432"/>
    <w:rsid w:val="001F522A"/>
    <w:rsid w:val="002149DC"/>
    <w:rsid w:val="00221580"/>
    <w:rsid w:val="002235BA"/>
    <w:rsid w:val="002247BB"/>
    <w:rsid w:val="00226B39"/>
    <w:rsid w:val="00237E67"/>
    <w:rsid w:val="002418B0"/>
    <w:rsid w:val="00253AD2"/>
    <w:rsid w:val="0026023A"/>
    <w:rsid w:val="00263959"/>
    <w:rsid w:val="0026709F"/>
    <w:rsid w:val="00272CC1"/>
    <w:rsid w:val="00274835"/>
    <w:rsid w:val="00274854"/>
    <w:rsid w:val="002871C9"/>
    <w:rsid w:val="00291A88"/>
    <w:rsid w:val="00296967"/>
    <w:rsid w:val="00297CC2"/>
    <w:rsid w:val="002A51F8"/>
    <w:rsid w:val="002B06C0"/>
    <w:rsid w:val="002B1B8F"/>
    <w:rsid w:val="002B387E"/>
    <w:rsid w:val="002B3985"/>
    <w:rsid w:val="002C10E0"/>
    <w:rsid w:val="002C2030"/>
    <w:rsid w:val="002D6E2D"/>
    <w:rsid w:val="002E3D12"/>
    <w:rsid w:val="002F3D07"/>
    <w:rsid w:val="002F6728"/>
    <w:rsid w:val="00303516"/>
    <w:rsid w:val="00303835"/>
    <w:rsid w:val="003044B2"/>
    <w:rsid w:val="00310CA5"/>
    <w:rsid w:val="0031479B"/>
    <w:rsid w:val="00317F17"/>
    <w:rsid w:val="003266FA"/>
    <w:rsid w:val="00327EE4"/>
    <w:rsid w:val="003340F1"/>
    <w:rsid w:val="00336259"/>
    <w:rsid w:val="00345BBC"/>
    <w:rsid w:val="003475F7"/>
    <w:rsid w:val="00352DF0"/>
    <w:rsid w:val="00354767"/>
    <w:rsid w:val="00360806"/>
    <w:rsid w:val="00367A38"/>
    <w:rsid w:val="0037429A"/>
    <w:rsid w:val="00387404"/>
    <w:rsid w:val="003874B1"/>
    <w:rsid w:val="00387DB4"/>
    <w:rsid w:val="00395FE5"/>
    <w:rsid w:val="003A0F8B"/>
    <w:rsid w:val="003A22B6"/>
    <w:rsid w:val="003A4B72"/>
    <w:rsid w:val="003A7D29"/>
    <w:rsid w:val="003B59B5"/>
    <w:rsid w:val="003B73A6"/>
    <w:rsid w:val="003C1BCC"/>
    <w:rsid w:val="003C36F5"/>
    <w:rsid w:val="003D2CD7"/>
    <w:rsid w:val="003D2E2E"/>
    <w:rsid w:val="003D7124"/>
    <w:rsid w:val="003E0C92"/>
    <w:rsid w:val="003E144A"/>
    <w:rsid w:val="003E6FEB"/>
    <w:rsid w:val="003F11EB"/>
    <w:rsid w:val="0041066B"/>
    <w:rsid w:val="00420546"/>
    <w:rsid w:val="00422F71"/>
    <w:rsid w:val="00436CB7"/>
    <w:rsid w:val="00442E01"/>
    <w:rsid w:val="00443723"/>
    <w:rsid w:val="00444303"/>
    <w:rsid w:val="00446F30"/>
    <w:rsid w:val="00447475"/>
    <w:rsid w:val="00450481"/>
    <w:rsid w:val="0045081A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B083A"/>
    <w:rsid w:val="004B79B2"/>
    <w:rsid w:val="004C0F08"/>
    <w:rsid w:val="004C1F3D"/>
    <w:rsid w:val="004C27DF"/>
    <w:rsid w:val="004C2FA8"/>
    <w:rsid w:val="004D2192"/>
    <w:rsid w:val="004D2DCA"/>
    <w:rsid w:val="004D425F"/>
    <w:rsid w:val="004E295E"/>
    <w:rsid w:val="005008B3"/>
    <w:rsid w:val="00501CA8"/>
    <w:rsid w:val="00502F83"/>
    <w:rsid w:val="00504AF4"/>
    <w:rsid w:val="005069BF"/>
    <w:rsid w:val="005101C3"/>
    <w:rsid w:val="00510467"/>
    <w:rsid w:val="00511699"/>
    <w:rsid w:val="005224D6"/>
    <w:rsid w:val="00523B56"/>
    <w:rsid w:val="00524047"/>
    <w:rsid w:val="0053096C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60C0F"/>
    <w:rsid w:val="00562631"/>
    <w:rsid w:val="005757CB"/>
    <w:rsid w:val="00576B56"/>
    <w:rsid w:val="00581D0C"/>
    <w:rsid w:val="0058220E"/>
    <w:rsid w:val="00582E3F"/>
    <w:rsid w:val="005861B7"/>
    <w:rsid w:val="00591984"/>
    <w:rsid w:val="00593488"/>
    <w:rsid w:val="0059358C"/>
    <w:rsid w:val="00593D96"/>
    <w:rsid w:val="0059677D"/>
    <w:rsid w:val="005A0B9B"/>
    <w:rsid w:val="005A6EF5"/>
    <w:rsid w:val="005A762B"/>
    <w:rsid w:val="005C283E"/>
    <w:rsid w:val="005D0885"/>
    <w:rsid w:val="005D3BB4"/>
    <w:rsid w:val="005D639F"/>
    <w:rsid w:val="005D76F6"/>
    <w:rsid w:val="005E097E"/>
    <w:rsid w:val="005E2EEC"/>
    <w:rsid w:val="005F07B1"/>
    <w:rsid w:val="005F7F11"/>
    <w:rsid w:val="00601923"/>
    <w:rsid w:val="0060337C"/>
    <w:rsid w:val="0061371C"/>
    <w:rsid w:val="00613DF6"/>
    <w:rsid w:val="006274DB"/>
    <w:rsid w:val="00631CF9"/>
    <w:rsid w:val="00633112"/>
    <w:rsid w:val="00640D4C"/>
    <w:rsid w:val="006435BC"/>
    <w:rsid w:val="00647472"/>
    <w:rsid w:val="00654353"/>
    <w:rsid w:val="0065578C"/>
    <w:rsid w:val="00660511"/>
    <w:rsid w:val="0066120F"/>
    <w:rsid w:val="0067404C"/>
    <w:rsid w:val="00682F05"/>
    <w:rsid w:val="00687BA2"/>
    <w:rsid w:val="00696745"/>
    <w:rsid w:val="006A6990"/>
    <w:rsid w:val="006B2039"/>
    <w:rsid w:val="006B659F"/>
    <w:rsid w:val="006C0464"/>
    <w:rsid w:val="006D124B"/>
    <w:rsid w:val="006D16BA"/>
    <w:rsid w:val="006D3922"/>
    <w:rsid w:val="006E1CC0"/>
    <w:rsid w:val="006F20C8"/>
    <w:rsid w:val="006F222F"/>
    <w:rsid w:val="006F495E"/>
    <w:rsid w:val="006F7DA8"/>
    <w:rsid w:val="007124BB"/>
    <w:rsid w:val="0071300B"/>
    <w:rsid w:val="007140EC"/>
    <w:rsid w:val="00721CEF"/>
    <w:rsid w:val="007234CA"/>
    <w:rsid w:val="00723B70"/>
    <w:rsid w:val="00726E2A"/>
    <w:rsid w:val="00734A59"/>
    <w:rsid w:val="00737FB8"/>
    <w:rsid w:val="007454E5"/>
    <w:rsid w:val="00754E0C"/>
    <w:rsid w:val="007555E7"/>
    <w:rsid w:val="007629AA"/>
    <w:rsid w:val="00775C78"/>
    <w:rsid w:val="007857DD"/>
    <w:rsid w:val="00792A52"/>
    <w:rsid w:val="00795463"/>
    <w:rsid w:val="007979E3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57CB"/>
    <w:rsid w:val="00827D41"/>
    <w:rsid w:val="008337E0"/>
    <w:rsid w:val="00834D52"/>
    <w:rsid w:val="0084607F"/>
    <w:rsid w:val="00846C33"/>
    <w:rsid w:val="00854C33"/>
    <w:rsid w:val="0085572C"/>
    <w:rsid w:val="0086129C"/>
    <w:rsid w:val="0086151F"/>
    <w:rsid w:val="00864D3E"/>
    <w:rsid w:val="00872F0E"/>
    <w:rsid w:val="00873BA0"/>
    <w:rsid w:val="00876293"/>
    <w:rsid w:val="008769EC"/>
    <w:rsid w:val="00877764"/>
    <w:rsid w:val="00881366"/>
    <w:rsid w:val="0088667D"/>
    <w:rsid w:val="00891BF1"/>
    <w:rsid w:val="00895AD1"/>
    <w:rsid w:val="00896191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1F60"/>
    <w:rsid w:val="00904C31"/>
    <w:rsid w:val="009101DC"/>
    <w:rsid w:val="00914AFE"/>
    <w:rsid w:val="00915750"/>
    <w:rsid w:val="00916970"/>
    <w:rsid w:val="00922DCE"/>
    <w:rsid w:val="009230C0"/>
    <w:rsid w:val="00924B07"/>
    <w:rsid w:val="00926AB1"/>
    <w:rsid w:val="009325C5"/>
    <w:rsid w:val="009352AC"/>
    <w:rsid w:val="00940C94"/>
    <w:rsid w:val="00941D2A"/>
    <w:rsid w:val="0094278A"/>
    <w:rsid w:val="009433B1"/>
    <w:rsid w:val="00944D29"/>
    <w:rsid w:val="00950491"/>
    <w:rsid w:val="00952CD4"/>
    <w:rsid w:val="00953C71"/>
    <w:rsid w:val="00963B92"/>
    <w:rsid w:val="00964380"/>
    <w:rsid w:val="009672EA"/>
    <w:rsid w:val="00973E57"/>
    <w:rsid w:val="00974F73"/>
    <w:rsid w:val="00975E0B"/>
    <w:rsid w:val="009761D1"/>
    <w:rsid w:val="009777B7"/>
    <w:rsid w:val="009815CF"/>
    <w:rsid w:val="00981C96"/>
    <w:rsid w:val="00990778"/>
    <w:rsid w:val="009B1677"/>
    <w:rsid w:val="009B383B"/>
    <w:rsid w:val="009B4537"/>
    <w:rsid w:val="009B52ED"/>
    <w:rsid w:val="009C2294"/>
    <w:rsid w:val="009C7C95"/>
    <w:rsid w:val="009D25AB"/>
    <w:rsid w:val="009E0915"/>
    <w:rsid w:val="009F1138"/>
    <w:rsid w:val="009F24A5"/>
    <w:rsid w:val="009F284E"/>
    <w:rsid w:val="009F501B"/>
    <w:rsid w:val="009F5267"/>
    <w:rsid w:val="009F694D"/>
    <w:rsid w:val="00A03AE0"/>
    <w:rsid w:val="00A03F9F"/>
    <w:rsid w:val="00A065D1"/>
    <w:rsid w:val="00A106AD"/>
    <w:rsid w:val="00A11480"/>
    <w:rsid w:val="00A229CC"/>
    <w:rsid w:val="00A24AA0"/>
    <w:rsid w:val="00A31079"/>
    <w:rsid w:val="00A364F8"/>
    <w:rsid w:val="00A40784"/>
    <w:rsid w:val="00A4327C"/>
    <w:rsid w:val="00A4403D"/>
    <w:rsid w:val="00A44174"/>
    <w:rsid w:val="00A503D5"/>
    <w:rsid w:val="00A55851"/>
    <w:rsid w:val="00A624A6"/>
    <w:rsid w:val="00A63BF7"/>
    <w:rsid w:val="00A7301C"/>
    <w:rsid w:val="00A73209"/>
    <w:rsid w:val="00A7326A"/>
    <w:rsid w:val="00A81FA8"/>
    <w:rsid w:val="00A82E10"/>
    <w:rsid w:val="00A840CA"/>
    <w:rsid w:val="00A90A90"/>
    <w:rsid w:val="00A92C09"/>
    <w:rsid w:val="00AA28B8"/>
    <w:rsid w:val="00AB0C71"/>
    <w:rsid w:val="00AB321B"/>
    <w:rsid w:val="00AB4A25"/>
    <w:rsid w:val="00AB53AC"/>
    <w:rsid w:val="00AB7677"/>
    <w:rsid w:val="00AB7B66"/>
    <w:rsid w:val="00AC77D1"/>
    <w:rsid w:val="00AD4C79"/>
    <w:rsid w:val="00AE3777"/>
    <w:rsid w:val="00AE55A1"/>
    <w:rsid w:val="00AE62F7"/>
    <w:rsid w:val="00AE7FD1"/>
    <w:rsid w:val="00AF1F89"/>
    <w:rsid w:val="00AF2015"/>
    <w:rsid w:val="00AF7AB5"/>
    <w:rsid w:val="00B070D1"/>
    <w:rsid w:val="00B07718"/>
    <w:rsid w:val="00B07CE9"/>
    <w:rsid w:val="00B13C03"/>
    <w:rsid w:val="00B13D5A"/>
    <w:rsid w:val="00B14778"/>
    <w:rsid w:val="00B14FFC"/>
    <w:rsid w:val="00B15A32"/>
    <w:rsid w:val="00B17C22"/>
    <w:rsid w:val="00B21AE9"/>
    <w:rsid w:val="00B27839"/>
    <w:rsid w:val="00B35462"/>
    <w:rsid w:val="00B35BA4"/>
    <w:rsid w:val="00B35F7C"/>
    <w:rsid w:val="00B41DED"/>
    <w:rsid w:val="00B443A8"/>
    <w:rsid w:val="00B471B4"/>
    <w:rsid w:val="00B51146"/>
    <w:rsid w:val="00B51673"/>
    <w:rsid w:val="00B55359"/>
    <w:rsid w:val="00B5680B"/>
    <w:rsid w:val="00B62354"/>
    <w:rsid w:val="00B7213B"/>
    <w:rsid w:val="00B7788E"/>
    <w:rsid w:val="00B81463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C001B8"/>
    <w:rsid w:val="00C0165B"/>
    <w:rsid w:val="00C05A99"/>
    <w:rsid w:val="00C12427"/>
    <w:rsid w:val="00C24903"/>
    <w:rsid w:val="00C418A4"/>
    <w:rsid w:val="00C47691"/>
    <w:rsid w:val="00C50794"/>
    <w:rsid w:val="00C51F67"/>
    <w:rsid w:val="00C613BD"/>
    <w:rsid w:val="00C6794B"/>
    <w:rsid w:val="00C75BF3"/>
    <w:rsid w:val="00C77B37"/>
    <w:rsid w:val="00C77F7F"/>
    <w:rsid w:val="00C97AB7"/>
    <w:rsid w:val="00CA2764"/>
    <w:rsid w:val="00CA4367"/>
    <w:rsid w:val="00CA4560"/>
    <w:rsid w:val="00CA4ADE"/>
    <w:rsid w:val="00CB0D8E"/>
    <w:rsid w:val="00CC06A9"/>
    <w:rsid w:val="00CC108A"/>
    <w:rsid w:val="00CC19E6"/>
    <w:rsid w:val="00CD292C"/>
    <w:rsid w:val="00CE3E04"/>
    <w:rsid w:val="00CE4221"/>
    <w:rsid w:val="00CF0429"/>
    <w:rsid w:val="00CF1F64"/>
    <w:rsid w:val="00D00E3C"/>
    <w:rsid w:val="00D018E1"/>
    <w:rsid w:val="00D0265B"/>
    <w:rsid w:val="00D106BC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11C3"/>
    <w:rsid w:val="00D46C44"/>
    <w:rsid w:val="00D476A1"/>
    <w:rsid w:val="00D47BA8"/>
    <w:rsid w:val="00D50BC9"/>
    <w:rsid w:val="00D51B0B"/>
    <w:rsid w:val="00D624D7"/>
    <w:rsid w:val="00D72279"/>
    <w:rsid w:val="00D74315"/>
    <w:rsid w:val="00D87542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C7CAE"/>
    <w:rsid w:val="00DD0CC1"/>
    <w:rsid w:val="00DD7327"/>
    <w:rsid w:val="00DE1B02"/>
    <w:rsid w:val="00DF38A2"/>
    <w:rsid w:val="00DF6CED"/>
    <w:rsid w:val="00DF7585"/>
    <w:rsid w:val="00E0073C"/>
    <w:rsid w:val="00E076D0"/>
    <w:rsid w:val="00E07C84"/>
    <w:rsid w:val="00E13159"/>
    <w:rsid w:val="00E14E1C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46597"/>
    <w:rsid w:val="00E52342"/>
    <w:rsid w:val="00E5471E"/>
    <w:rsid w:val="00E55ABD"/>
    <w:rsid w:val="00E61CBC"/>
    <w:rsid w:val="00E62A70"/>
    <w:rsid w:val="00E75BF7"/>
    <w:rsid w:val="00E76F7B"/>
    <w:rsid w:val="00E87295"/>
    <w:rsid w:val="00E91C48"/>
    <w:rsid w:val="00E94EA5"/>
    <w:rsid w:val="00E954E3"/>
    <w:rsid w:val="00EB0858"/>
    <w:rsid w:val="00EB4A47"/>
    <w:rsid w:val="00EB7D9C"/>
    <w:rsid w:val="00EC29D3"/>
    <w:rsid w:val="00ED6F71"/>
    <w:rsid w:val="00EE0626"/>
    <w:rsid w:val="00EE32D1"/>
    <w:rsid w:val="00EE6E58"/>
    <w:rsid w:val="00EE7598"/>
    <w:rsid w:val="00EE7A08"/>
    <w:rsid w:val="00F128F5"/>
    <w:rsid w:val="00F168E0"/>
    <w:rsid w:val="00F242E4"/>
    <w:rsid w:val="00F25C33"/>
    <w:rsid w:val="00F30B70"/>
    <w:rsid w:val="00F371B9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1935"/>
    <w:rsid w:val="00F83F82"/>
    <w:rsid w:val="00F91BFB"/>
    <w:rsid w:val="00F92821"/>
    <w:rsid w:val="00F95F29"/>
    <w:rsid w:val="00FA705D"/>
    <w:rsid w:val="00FA7B21"/>
    <w:rsid w:val="00FA7E10"/>
    <w:rsid w:val="00FB1148"/>
    <w:rsid w:val="00FB1F20"/>
    <w:rsid w:val="00FD7009"/>
    <w:rsid w:val="00FE0B70"/>
    <w:rsid w:val="00FE0FB9"/>
    <w:rsid w:val="00FE5198"/>
    <w:rsid w:val="00FE69C4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952CD4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styleId="PageNumber">
    <w:name w:val="page number"/>
    <w:basedOn w:val="DefaultParagraphFont"/>
    <w:uiPriority w:val="99"/>
    <w:rsid w:val="006D12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571</Words>
  <Characters>3374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2019-06-03T11:11:00Z</cp:lastPrinted>
  <dcterms:created xsi:type="dcterms:W3CDTF">2019-06-24T11:15:00Z</dcterms:created>
  <dcterms:modified xsi:type="dcterms:W3CDTF">2019-06-27T07:47:00Z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