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449" w:rsidRPr="000660EC" w:rsidRDefault="000660EC" w:rsidP="000660EC">
      <w:pPr>
        <w:spacing w:after="120"/>
        <w:ind w:left="0"/>
        <w:jc w:val="center"/>
        <w:rPr>
          <w:rFonts w:ascii="Verdana" w:hAnsi="Verdana" w:cs="Calibri"/>
          <w:b/>
          <w:szCs w:val="20"/>
        </w:rPr>
      </w:pPr>
      <w:r w:rsidRPr="000660EC">
        <w:rPr>
          <w:rFonts w:ascii="Verdana" w:hAnsi="Verdana" w:cs="Calibri"/>
          <w:b/>
          <w:szCs w:val="20"/>
        </w:rPr>
        <w:t>VYSVĚTLENÍ ZADÁVACÍ DOKUMENTACE</w:t>
      </w:r>
    </w:p>
    <w:p w:rsidR="008D7449" w:rsidRPr="00623EA4" w:rsidRDefault="008D7449" w:rsidP="008D7449">
      <w:pPr>
        <w:spacing w:after="0" w:line="276" w:lineRule="auto"/>
        <w:ind w:left="0"/>
        <w:jc w:val="center"/>
        <w:rPr>
          <w:rFonts w:eastAsia="Calibri"/>
          <w:b/>
          <w:lang w:val="cs-CZ" w:eastAsia="en-US"/>
        </w:rPr>
      </w:pPr>
    </w:p>
    <w:p w:rsidR="000660EC" w:rsidRDefault="000660EC" w:rsidP="000660EC">
      <w:pPr>
        <w:spacing w:after="0"/>
        <w:ind w:left="0"/>
        <w:rPr>
          <w:rFonts w:ascii="Verdana" w:hAnsi="Verdana" w:cs="Calibri"/>
          <w:sz w:val="20"/>
          <w:szCs w:val="20"/>
        </w:rPr>
      </w:pPr>
      <w:r w:rsidRPr="00FA723C">
        <w:rPr>
          <w:rFonts w:ascii="Verdana" w:hAnsi="Verdana" w:cs="Calibri"/>
          <w:sz w:val="20"/>
          <w:szCs w:val="20"/>
        </w:rPr>
        <w:t>Název veřejné zakázky malého rozsahu:</w:t>
      </w:r>
      <w:r>
        <w:rPr>
          <w:rFonts w:ascii="Verdana" w:hAnsi="Verdana" w:cs="Calibri"/>
          <w:sz w:val="20"/>
          <w:szCs w:val="20"/>
        </w:rPr>
        <w:t xml:space="preserve"> </w:t>
      </w:r>
    </w:p>
    <w:p w:rsidR="000660EC" w:rsidRPr="000660EC" w:rsidRDefault="000660EC" w:rsidP="000660EC">
      <w:pPr>
        <w:spacing w:after="120"/>
        <w:ind w:left="0"/>
        <w:rPr>
          <w:rFonts w:ascii="Verdana" w:hAnsi="Verdana" w:cs="Calibri"/>
          <w:b/>
          <w:sz w:val="20"/>
          <w:szCs w:val="20"/>
        </w:rPr>
      </w:pPr>
      <w:r w:rsidRPr="000660EC">
        <w:rPr>
          <w:rFonts w:ascii="Verdana" w:hAnsi="Verdana" w:cs="Calibri"/>
          <w:b/>
          <w:sz w:val="20"/>
          <w:szCs w:val="20"/>
        </w:rPr>
        <w:t>“TP19_523_Large Optical Tables for Laser Spectroscop</w:t>
      </w:r>
      <w:bookmarkStart w:id="0" w:name="_GoBack"/>
      <w:bookmarkEnd w:id="0"/>
      <w:r w:rsidRPr="000660EC">
        <w:rPr>
          <w:rFonts w:ascii="Verdana" w:hAnsi="Verdana" w:cs="Calibri"/>
          <w:b/>
          <w:sz w:val="20"/>
          <w:szCs w:val="20"/>
        </w:rPr>
        <w:t>y”</w:t>
      </w:r>
    </w:p>
    <w:p w:rsidR="000660EC" w:rsidRPr="00FA723C" w:rsidRDefault="000660EC" w:rsidP="000660EC">
      <w:pPr>
        <w:spacing w:after="0"/>
        <w:ind w:left="0"/>
        <w:rPr>
          <w:rFonts w:ascii="Verdana" w:hAnsi="Verdana" w:cs="Calibri"/>
          <w:sz w:val="20"/>
          <w:szCs w:val="20"/>
        </w:rPr>
      </w:pPr>
      <w:r>
        <w:rPr>
          <w:rFonts w:ascii="Verdana" w:hAnsi="Verdana" w:cs="Calibri"/>
          <w:sz w:val="20"/>
          <w:szCs w:val="20"/>
        </w:rPr>
        <w:t>Název z</w:t>
      </w:r>
      <w:r w:rsidRPr="004E5C7B">
        <w:rPr>
          <w:rFonts w:ascii="Verdana" w:hAnsi="Verdana" w:cs="Calibri"/>
          <w:sz w:val="20"/>
          <w:szCs w:val="20"/>
        </w:rPr>
        <w:t>adavatele</w:t>
      </w:r>
      <w:r w:rsidRPr="00FA723C">
        <w:rPr>
          <w:rFonts w:ascii="Verdana" w:hAnsi="Verdana" w:cs="Calibri"/>
          <w:sz w:val="20"/>
          <w:szCs w:val="20"/>
        </w:rPr>
        <w:t>:</w:t>
      </w:r>
      <w:r w:rsidRPr="00FA723C">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sidRPr="00FA723C">
        <w:rPr>
          <w:rFonts w:ascii="Verdana" w:hAnsi="Verdana" w:cs="Calibri"/>
          <w:sz w:val="20"/>
          <w:szCs w:val="20"/>
        </w:rPr>
        <w:t>Fyzikální ústav AV ČR, v. v. i.</w:t>
      </w:r>
    </w:p>
    <w:p w:rsidR="000660EC" w:rsidRPr="00FA723C" w:rsidRDefault="000660EC" w:rsidP="000660EC">
      <w:pPr>
        <w:spacing w:after="0"/>
        <w:ind w:left="0" w:hanging="3540"/>
        <w:rPr>
          <w:rFonts w:ascii="Verdana" w:hAnsi="Verdana" w:cs="Calibri"/>
          <w:sz w:val="20"/>
          <w:szCs w:val="20"/>
        </w:rPr>
      </w:pPr>
      <w:r w:rsidRPr="00FA723C">
        <w:rPr>
          <w:rFonts w:ascii="Verdana" w:hAnsi="Verdana" w:cs="Calibri"/>
          <w:sz w:val="20"/>
          <w:szCs w:val="20"/>
        </w:rPr>
        <w:t>Sídlo:</w:t>
      </w:r>
      <w:r w:rsidRPr="00FA723C">
        <w:rPr>
          <w:rFonts w:ascii="Verdana" w:hAnsi="Verdana" w:cs="Calibri"/>
          <w:sz w:val="20"/>
          <w:szCs w:val="20"/>
        </w:rPr>
        <w:tab/>
      </w:r>
      <w:r w:rsidRPr="00FA723C">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sidRPr="004E5C7B">
        <w:rPr>
          <w:rFonts w:ascii="Verdana" w:hAnsi="Verdana" w:cs="Calibri"/>
          <w:sz w:val="20"/>
          <w:szCs w:val="20"/>
        </w:rPr>
        <w:t>Na Slovance 2, Praha 8, PSČ: 182 21</w:t>
      </w:r>
    </w:p>
    <w:p w:rsidR="000660EC" w:rsidRPr="00FA723C" w:rsidRDefault="000660EC" w:rsidP="000660EC">
      <w:pPr>
        <w:spacing w:after="0"/>
        <w:ind w:left="0"/>
        <w:rPr>
          <w:rFonts w:ascii="Verdana" w:hAnsi="Verdana" w:cs="Calibri"/>
          <w:sz w:val="20"/>
          <w:szCs w:val="20"/>
        </w:rPr>
      </w:pPr>
      <w:r w:rsidRPr="004E5C7B">
        <w:rPr>
          <w:rFonts w:ascii="Verdana" w:hAnsi="Verdana" w:cs="Calibri"/>
          <w:sz w:val="20"/>
          <w:szCs w:val="20"/>
        </w:rPr>
        <w:t>IČO</w:t>
      </w:r>
      <w:r w:rsidRPr="00FA723C">
        <w:rPr>
          <w:rFonts w:ascii="Verdana" w:hAnsi="Verdana" w:cs="Calibri"/>
          <w:sz w:val="20"/>
          <w:szCs w:val="20"/>
        </w:rPr>
        <w:t>:</w:t>
      </w:r>
      <w:r w:rsidRPr="00FA723C">
        <w:rPr>
          <w:rFonts w:ascii="Verdana" w:hAnsi="Verdana" w:cs="Calibri"/>
          <w:sz w:val="20"/>
          <w:szCs w:val="20"/>
        </w:rPr>
        <w:tab/>
      </w:r>
      <w:r w:rsidRPr="00FA723C">
        <w:rPr>
          <w:rFonts w:ascii="Verdana" w:hAnsi="Verdana" w:cs="Calibri"/>
          <w:sz w:val="20"/>
          <w:szCs w:val="20"/>
        </w:rPr>
        <w:tab/>
      </w:r>
      <w:r w:rsidRPr="00FA723C">
        <w:rPr>
          <w:rFonts w:ascii="Verdana" w:hAnsi="Verdana" w:cs="Calibri"/>
          <w:sz w:val="20"/>
          <w:szCs w:val="20"/>
        </w:rPr>
        <w:tab/>
      </w:r>
      <w:r w:rsidRPr="00FA723C">
        <w:rPr>
          <w:rFonts w:ascii="Verdana" w:hAnsi="Verdana" w:cs="Calibri"/>
          <w:sz w:val="20"/>
          <w:szCs w:val="20"/>
        </w:rPr>
        <w:tab/>
      </w:r>
      <w:r w:rsidRPr="00FA723C">
        <w:rPr>
          <w:rFonts w:ascii="Verdana" w:hAnsi="Verdana" w:cs="Calibri"/>
          <w:sz w:val="20"/>
          <w:szCs w:val="20"/>
        </w:rPr>
        <w:tab/>
      </w:r>
      <w:r w:rsidRPr="00FA723C">
        <w:rPr>
          <w:rFonts w:ascii="Verdana" w:hAnsi="Verdana" w:cs="Calibri"/>
          <w:sz w:val="20"/>
          <w:szCs w:val="20"/>
        </w:rPr>
        <w:tab/>
        <w:t>68378271</w:t>
      </w:r>
    </w:p>
    <w:p w:rsidR="000660EC" w:rsidRDefault="000660EC" w:rsidP="000660EC">
      <w:pPr>
        <w:spacing w:after="0"/>
        <w:ind w:left="0"/>
        <w:rPr>
          <w:rFonts w:ascii="Verdana" w:hAnsi="Verdana" w:cs="Calibri"/>
          <w:sz w:val="20"/>
          <w:szCs w:val="20"/>
        </w:rPr>
      </w:pPr>
      <w:r w:rsidRPr="00FA723C">
        <w:rPr>
          <w:rFonts w:ascii="Verdana" w:hAnsi="Verdana" w:cs="Calibri"/>
          <w:sz w:val="20"/>
          <w:szCs w:val="20"/>
        </w:rPr>
        <w:t>Osoba oprávněná jednat za zadavatele</w:t>
      </w:r>
      <w:r>
        <w:rPr>
          <w:rFonts w:ascii="Verdana" w:hAnsi="Verdana" w:cs="Calibri"/>
          <w:sz w:val="20"/>
          <w:szCs w:val="20"/>
        </w:rPr>
        <w:t xml:space="preserve">: </w:t>
      </w:r>
      <w:r>
        <w:rPr>
          <w:rFonts w:ascii="Verdana" w:hAnsi="Verdana" w:cs="Calibri"/>
          <w:sz w:val="20"/>
          <w:szCs w:val="20"/>
        </w:rPr>
        <w:tab/>
      </w:r>
      <w:r w:rsidRPr="004E5C7B">
        <w:rPr>
          <w:rFonts w:ascii="Verdana" w:hAnsi="Verdana" w:cs="Calibri"/>
          <w:sz w:val="20"/>
          <w:szCs w:val="20"/>
        </w:rPr>
        <w:t>RNDr. Michael Prouza, Ph.D., ředitel</w:t>
      </w:r>
    </w:p>
    <w:p w:rsidR="000660EC" w:rsidRPr="000660EC" w:rsidRDefault="000660EC" w:rsidP="000660EC">
      <w:pPr>
        <w:spacing w:after="0"/>
        <w:ind w:left="0"/>
        <w:rPr>
          <w:rFonts w:ascii="Verdana" w:hAnsi="Verdana" w:cs="Calibri"/>
          <w:sz w:val="20"/>
          <w:szCs w:val="20"/>
        </w:rPr>
      </w:pPr>
      <w:r w:rsidRPr="000660EC">
        <w:rPr>
          <w:rFonts w:ascii="Verdana" w:hAnsi="Verdana" w:cs="Calibri"/>
          <w:sz w:val="20"/>
          <w:szCs w:val="20"/>
        </w:rPr>
        <w:t>Kontaktní osoba pro tuto zakázku:</w:t>
      </w:r>
      <w:r w:rsidRPr="000660EC">
        <w:rPr>
          <w:rFonts w:ascii="Verdana" w:hAnsi="Verdana" w:cs="Calibri"/>
          <w:sz w:val="20"/>
          <w:szCs w:val="20"/>
        </w:rPr>
        <w:tab/>
      </w:r>
      <w:r w:rsidRPr="000660EC">
        <w:rPr>
          <w:rFonts w:ascii="Verdana" w:hAnsi="Verdana" w:cs="Calibri"/>
          <w:sz w:val="20"/>
          <w:szCs w:val="20"/>
        </w:rPr>
        <w:tab/>
        <w:t>David Pokorný</w:t>
      </w:r>
    </w:p>
    <w:p w:rsidR="000660EC" w:rsidRPr="000660EC" w:rsidRDefault="000660EC" w:rsidP="000660EC">
      <w:pPr>
        <w:spacing w:after="0"/>
        <w:ind w:left="0"/>
        <w:rPr>
          <w:rFonts w:ascii="Verdana" w:hAnsi="Verdana" w:cs="Calibri"/>
          <w:sz w:val="20"/>
          <w:szCs w:val="20"/>
        </w:rPr>
      </w:pPr>
      <w:r>
        <w:rPr>
          <w:rFonts w:ascii="Verdana" w:hAnsi="Verdana" w:cs="Calibri"/>
          <w:sz w:val="20"/>
          <w:szCs w:val="20"/>
        </w:rPr>
        <w:t>Telefon:</w:t>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sidRPr="000660EC">
        <w:rPr>
          <w:rFonts w:ascii="Verdana" w:hAnsi="Verdana" w:cs="Calibri"/>
          <w:sz w:val="20"/>
          <w:szCs w:val="20"/>
        </w:rPr>
        <w:t>+420 601 555 056</w:t>
      </w:r>
    </w:p>
    <w:p w:rsidR="000660EC" w:rsidRPr="000660EC" w:rsidRDefault="000660EC" w:rsidP="000660EC">
      <w:pPr>
        <w:spacing w:after="0"/>
        <w:ind w:left="0"/>
        <w:rPr>
          <w:rFonts w:ascii="Verdana" w:hAnsi="Verdana" w:cs="Calibri"/>
          <w:sz w:val="20"/>
          <w:szCs w:val="20"/>
        </w:rPr>
      </w:pPr>
      <w:r>
        <w:rPr>
          <w:rFonts w:ascii="Verdana" w:hAnsi="Verdana" w:cs="Calibri"/>
          <w:sz w:val="20"/>
          <w:szCs w:val="20"/>
        </w:rPr>
        <w:t>E-mail:</w:t>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Pr>
          <w:rFonts w:ascii="Verdana" w:hAnsi="Verdana" w:cs="Calibri"/>
          <w:sz w:val="20"/>
          <w:szCs w:val="20"/>
        </w:rPr>
        <w:tab/>
      </w:r>
      <w:r w:rsidRPr="000660EC">
        <w:rPr>
          <w:rFonts w:ascii="Verdana" w:hAnsi="Verdana" w:cs="Calibri"/>
          <w:sz w:val="20"/>
          <w:szCs w:val="20"/>
        </w:rPr>
        <w:t>david.pokorny@eli-beams.eu</w:t>
      </w:r>
    </w:p>
    <w:p w:rsidR="000660EC" w:rsidRPr="00FA723C" w:rsidRDefault="000660EC" w:rsidP="000660EC">
      <w:pPr>
        <w:spacing w:after="0"/>
        <w:ind w:left="0"/>
        <w:rPr>
          <w:rFonts w:ascii="Verdana" w:hAnsi="Verdana" w:cs="Calibri"/>
          <w:sz w:val="20"/>
          <w:szCs w:val="20"/>
        </w:rPr>
      </w:pPr>
      <w:r w:rsidRPr="00FA723C">
        <w:rPr>
          <w:rFonts w:ascii="Verdana" w:hAnsi="Verdana" w:cs="Calibri"/>
          <w:sz w:val="20"/>
          <w:szCs w:val="20"/>
        </w:rPr>
        <w:t>(</w:t>
      </w:r>
      <w:r>
        <w:rPr>
          <w:rFonts w:ascii="Verdana" w:hAnsi="Verdana" w:cs="Calibri"/>
          <w:sz w:val="20"/>
          <w:szCs w:val="20"/>
        </w:rPr>
        <w:t>dá</w:t>
      </w:r>
      <w:r w:rsidRPr="00FA723C">
        <w:rPr>
          <w:rFonts w:ascii="Verdana" w:hAnsi="Verdana" w:cs="Calibri"/>
          <w:sz w:val="20"/>
          <w:szCs w:val="20"/>
        </w:rPr>
        <w:t>le jen “</w:t>
      </w:r>
      <w:r w:rsidRPr="00FA723C">
        <w:rPr>
          <w:rFonts w:ascii="Verdana" w:hAnsi="Verdana" w:cs="Calibri"/>
          <w:b/>
          <w:sz w:val="20"/>
          <w:szCs w:val="20"/>
        </w:rPr>
        <w:t>zadavatel</w:t>
      </w:r>
      <w:r w:rsidRPr="00FA723C">
        <w:rPr>
          <w:rFonts w:ascii="Verdana" w:hAnsi="Verdana" w:cs="Calibri"/>
          <w:sz w:val="20"/>
          <w:szCs w:val="20"/>
        </w:rPr>
        <w:t>”)</w:t>
      </w:r>
    </w:p>
    <w:p w:rsidR="000660EC" w:rsidRPr="00FA723C" w:rsidRDefault="000660EC" w:rsidP="000660EC">
      <w:pPr>
        <w:spacing w:after="0"/>
        <w:ind w:left="0"/>
        <w:rPr>
          <w:rFonts w:ascii="Verdana" w:hAnsi="Verdana" w:cs="Calibri"/>
          <w:sz w:val="20"/>
          <w:szCs w:val="20"/>
        </w:rPr>
      </w:pPr>
    </w:p>
    <w:p w:rsidR="000660EC" w:rsidRPr="008D4528" w:rsidRDefault="000660EC" w:rsidP="008D4528">
      <w:pPr>
        <w:pStyle w:val="Normlnweb"/>
        <w:spacing w:before="0" w:beforeAutospacing="0" w:after="0" w:afterAutospacing="0"/>
        <w:jc w:val="both"/>
        <w:rPr>
          <w:rFonts w:ascii="Verdana" w:hAnsi="Verdana"/>
          <w:sz w:val="20"/>
          <w:szCs w:val="20"/>
        </w:rPr>
      </w:pPr>
      <w:r w:rsidRPr="008D4528">
        <w:rPr>
          <w:rFonts w:ascii="Verdana" w:hAnsi="Verdana"/>
          <w:sz w:val="20"/>
          <w:szCs w:val="20"/>
        </w:rPr>
        <w:t>Zadavatel v rámci této veřejné zakázky malého roz</w:t>
      </w:r>
      <w:r w:rsidR="008D4528" w:rsidRPr="008D4528">
        <w:rPr>
          <w:rFonts w:ascii="Verdana" w:hAnsi="Verdana"/>
          <w:sz w:val="20"/>
          <w:szCs w:val="20"/>
        </w:rPr>
        <w:t xml:space="preserve">sahu nepostupuje dle zákona č. </w:t>
      </w:r>
      <w:r w:rsidRPr="008D4528">
        <w:rPr>
          <w:rFonts w:ascii="Verdana" w:hAnsi="Verdana"/>
          <w:sz w:val="20"/>
          <w:szCs w:val="20"/>
        </w:rPr>
        <w:t>134/2016 Sb., o zadávání veřejných zakázek, ale postupem obdobným. Zadavatel sděluje následující vysvětlení zadávacích podmínek vztahující se k této veřejné zakázce, a to v návaznosti na následující dotazy:</w:t>
      </w:r>
    </w:p>
    <w:p w:rsidR="005D7130" w:rsidRPr="005D7130" w:rsidRDefault="005D7130" w:rsidP="000660EC">
      <w:pPr>
        <w:spacing w:after="0"/>
        <w:ind w:left="0"/>
        <w:rPr>
          <w:rFonts w:ascii="Verdana" w:hAnsi="Verdana" w:cs="Calibri"/>
          <w:sz w:val="20"/>
          <w:szCs w:val="20"/>
        </w:rPr>
      </w:pPr>
    </w:p>
    <w:p w:rsidR="005D7130" w:rsidRPr="005D7130" w:rsidRDefault="005D7130" w:rsidP="005D7130">
      <w:pPr>
        <w:spacing w:after="0"/>
        <w:ind w:left="0"/>
        <w:rPr>
          <w:rFonts w:ascii="Verdana" w:hAnsi="Verdana" w:cs="Calibri"/>
          <w:b/>
          <w:szCs w:val="20"/>
        </w:rPr>
      </w:pPr>
      <w:r w:rsidRPr="005D7130">
        <w:rPr>
          <w:rFonts w:ascii="Verdana" w:hAnsi="Verdana" w:cs="Calibri"/>
          <w:b/>
          <w:szCs w:val="20"/>
        </w:rPr>
        <w:t>Dotaz č. 1 (OptiXs, s.r.o.)</w:t>
      </w:r>
    </w:p>
    <w:p w:rsidR="005D7130" w:rsidRPr="005D7130" w:rsidRDefault="005D7130" w:rsidP="005D7130">
      <w:pPr>
        <w:pStyle w:val="Normlnweb"/>
        <w:spacing w:before="0" w:beforeAutospacing="0" w:after="0" w:afterAutospacing="0"/>
        <w:jc w:val="both"/>
        <w:rPr>
          <w:rFonts w:ascii="Verdana" w:hAnsi="Verdana"/>
          <w:sz w:val="20"/>
          <w:szCs w:val="20"/>
        </w:rPr>
      </w:pPr>
      <w:r w:rsidRPr="005D7130">
        <w:rPr>
          <w:rFonts w:ascii="Verdana" w:hAnsi="Verdana"/>
          <w:sz w:val="20"/>
          <w:szCs w:val="20"/>
        </w:rPr>
        <w:t xml:space="preserve">V technických specifikacích </w:t>
      </w:r>
      <w:r w:rsidRPr="005D7130">
        <w:rPr>
          <w:rFonts w:ascii="Verdana" w:hAnsi="Verdana"/>
          <w:b/>
          <w:bCs/>
          <w:sz w:val="20"/>
          <w:szCs w:val="20"/>
        </w:rPr>
        <w:t>2.3 General Requirements for Optical Table for Microscopy Lab</w:t>
      </w:r>
      <w:r w:rsidRPr="005D7130">
        <w:rPr>
          <w:rFonts w:ascii="Verdana" w:hAnsi="Verdana"/>
          <w:sz w:val="20"/>
          <w:szCs w:val="20"/>
        </w:rPr>
        <w:t xml:space="preserve"> uvádíte požadavek na optickou desku o tloušťce pouze 100 mm. Tato hodnota má vliv na ostatní požadované parametry, které není obecně možné splnit technologií ocelové konstrukce desek s voštinovým jádrem. Uvedené parametry by odpovídali deskám s voštinovým jádrem o tloušťce cca 300 mm, tak jak požadujete v první části specifikací. Konkrétně jsou touto hodnotou ovlivněny parametry:</w:t>
      </w:r>
    </w:p>
    <w:p w:rsidR="005D7130" w:rsidRPr="005D7130" w:rsidRDefault="005D7130" w:rsidP="005D7130">
      <w:pPr>
        <w:pStyle w:val="Normlnweb"/>
        <w:numPr>
          <w:ilvl w:val="0"/>
          <w:numId w:val="28"/>
        </w:numPr>
        <w:rPr>
          <w:rFonts w:ascii="Verdana" w:hAnsi="Verdana"/>
          <w:sz w:val="20"/>
          <w:szCs w:val="20"/>
        </w:rPr>
      </w:pPr>
      <w:r w:rsidRPr="005D7130">
        <w:rPr>
          <w:rFonts w:ascii="Verdana" w:hAnsi="Verdana"/>
          <w:b/>
          <w:bCs/>
          <w:sz w:val="20"/>
          <w:szCs w:val="20"/>
        </w:rPr>
        <w:t>1.3. Dynamic deflection above 100 Hz (Compliance) - 2400 mm length: max 3x10-5 mm/N</w:t>
      </w:r>
      <w:r w:rsidRPr="005D7130">
        <w:rPr>
          <w:rFonts w:ascii="Verdana" w:hAnsi="Verdana"/>
          <w:sz w:val="20"/>
          <w:szCs w:val="20"/>
        </w:rPr>
        <w:t xml:space="preserve"> - při tloušťce 100 mm bude hodnota cca 8x10-5 m/N</w:t>
      </w:r>
    </w:p>
    <w:p w:rsidR="005D7130" w:rsidRPr="005D7130" w:rsidRDefault="005D7130" w:rsidP="005D7130">
      <w:pPr>
        <w:pStyle w:val="Normlnweb"/>
        <w:numPr>
          <w:ilvl w:val="0"/>
          <w:numId w:val="28"/>
        </w:numPr>
        <w:rPr>
          <w:rFonts w:ascii="Verdana" w:hAnsi="Verdana"/>
          <w:sz w:val="20"/>
          <w:szCs w:val="20"/>
        </w:rPr>
      </w:pPr>
      <w:r w:rsidRPr="005D7130">
        <w:rPr>
          <w:rFonts w:ascii="Verdana" w:hAnsi="Verdana"/>
          <w:b/>
          <w:bCs/>
          <w:sz w:val="20"/>
          <w:szCs w:val="20"/>
        </w:rPr>
        <w:t>1.4. Static deflection - Max. 2x10-5 mm/N</w:t>
      </w:r>
      <w:r w:rsidRPr="005D7130">
        <w:rPr>
          <w:rFonts w:ascii="Verdana" w:hAnsi="Verdana"/>
          <w:sz w:val="20"/>
          <w:szCs w:val="20"/>
        </w:rPr>
        <w:t xml:space="preserve"> - při tloušťce 100 mm bude hodnota cca 8x10-5 m/N</w:t>
      </w:r>
    </w:p>
    <w:p w:rsidR="005D7130" w:rsidRPr="005D7130" w:rsidRDefault="005D7130" w:rsidP="005D7130">
      <w:pPr>
        <w:pStyle w:val="Normlnweb"/>
        <w:numPr>
          <w:ilvl w:val="0"/>
          <w:numId w:val="28"/>
        </w:numPr>
        <w:rPr>
          <w:rFonts w:ascii="Verdana" w:hAnsi="Verdana"/>
          <w:sz w:val="20"/>
          <w:szCs w:val="20"/>
        </w:rPr>
      </w:pPr>
      <w:r w:rsidRPr="005D7130">
        <w:rPr>
          <w:rFonts w:ascii="Verdana" w:hAnsi="Verdana"/>
          <w:b/>
          <w:bCs/>
          <w:sz w:val="20"/>
          <w:szCs w:val="20"/>
        </w:rPr>
        <w:t>1.17 First resonance frequency of the tabletop &gt; 160 Hz for all lengths specified</w:t>
      </w:r>
      <w:r w:rsidRPr="005D7130">
        <w:rPr>
          <w:rFonts w:ascii="Verdana" w:hAnsi="Verdana"/>
          <w:sz w:val="20"/>
          <w:szCs w:val="20"/>
        </w:rPr>
        <w:t xml:space="preserve"> - při tloušťce 100 mm bude rezonanční frekvence cca 100 Hz.</w:t>
      </w:r>
    </w:p>
    <w:p w:rsidR="005D7130" w:rsidRPr="005D7130" w:rsidRDefault="005D7130" w:rsidP="008D4528">
      <w:pPr>
        <w:pStyle w:val="Normlnweb"/>
        <w:jc w:val="both"/>
        <w:rPr>
          <w:rFonts w:ascii="Verdana" w:hAnsi="Verdana"/>
          <w:sz w:val="20"/>
          <w:szCs w:val="20"/>
        </w:rPr>
      </w:pPr>
      <w:r w:rsidRPr="005D7130">
        <w:rPr>
          <w:rFonts w:ascii="Verdana" w:hAnsi="Verdana"/>
          <w:sz w:val="20"/>
          <w:szCs w:val="20"/>
        </w:rPr>
        <w:t>Prosíme o informaci, jestli se nejedná u požadavku na tloušťku 100 mm o překlep. Pokud ne, tak prosím o reflexi změny dalších technických parametrů, tak aby je bylo možné splnit technologií ocelové konstrukce s voštinovým jádrem.</w:t>
      </w:r>
    </w:p>
    <w:p w:rsidR="002D1183" w:rsidRPr="005D7130" w:rsidRDefault="002D1183" w:rsidP="002D1183">
      <w:pPr>
        <w:spacing w:after="0"/>
        <w:ind w:left="0"/>
        <w:rPr>
          <w:rFonts w:ascii="Verdana" w:hAnsi="Verdana" w:cs="Calibri"/>
          <w:b/>
          <w:szCs w:val="20"/>
        </w:rPr>
      </w:pPr>
      <w:r>
        <w:rPr>
          <w:rFonts w:ascii="Verdana" w:hAnsi="Verdana" w:cs="Calibri"/>
          <w:b/>
          <w:szCs w:val="20"/>
        </w:rPr>
        <w:t>Dotaz č. 2</w:t>
      </w:r>
      <w:r w:rsidRPr="005D7130">
        <w:rPr>
          <w:rFonts w:ascii="Verdana" w:hAnsi="Verdana" w:cs="Calibri"/>
          <w:b/>
          <w:szCs w:val="20"/>
        </w:rPr>
        <w:t xml:space="preserve"> (</w:t>
      </w:r>
      <w:r>
        <w:rPr>
          <w:rFonts w:ascii="Verdana" w:hAnsi="Verdana" w:cs="Calibri"/>
          <w:b/>
          <w:szCs w:val="20"/>
        </w:rPr>
        <w:t xml:space="preserve">MIT, spol. s </w:t>
      </w:r>
      <w:r w:rsidRPr="005D7130">
        <w:rPr>
          <w:rFonts w:ascii="Verdana" w:hAnsi="Verdana" w:cs="Calibri"/>
          <w:b/>
          <w:szCs w:val="20"/>
        </w:rPr>
        <w:t>r.o.)</w:t>
      </w:r>
    </w:p>
    <w:p w:rsidR="00F37DFD" w:rsidRPr="00F37DFD" w:rsidRDefault="00F37DFD" w:rsidP="00F37DFD">
      <w:pPr>
        <w:spacing w:after="0" w:line="240" w:lineRule="auto"/>
        <w:ind w:left="0"/>
        <w:rPr>
          <w:rFonts w:ascii="Verdana" w:eastAsiaTheme="minorHAnsi" w:hAnsi="Verdana"/>
          <w:color w:val="000000"/>
          <w:sz w:val="20"/>
          <w:szCs w:val="20"/>
          <w:lang w:val="cs-CZ" w:eastAsia="cs-CZ"/>
        </w:rPr>
      </w:pPr>
      <w:r w:rsidRPr="00F37DFD">
        <w:rPr>
          <w:rFonts w:ascii="Verdana" w:eastAsiaTheme="minorHAnsi" w:hAnsi="Verdana"/>
          <w:color w:val="000000"/>
          <w:sz w:val="20"/>
          <w:szCs w:val="20"/>
          <w:lang w:val="cs-CZ" w:eastAsia="cs-CZ"/>
        </w:rPr>
        <w:t>Question - REQ-026393/A Table 1 and REQ-026397/A Table 3:</w:t>
      </w:r>
    </w:p>
    <w:p w:rsidR="00F37DFD" w:rsidRP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The requirements given in table 1 and table 3 of the RSD define parameters, which, according to our knowledge, cannot be met by any manufacturer of optical tables. In particular, it concerns the following parameters:</w:t>
      </w:r>
    </w:p>
    <w:p w:rsidR="00F37DFD" w:rsidRPr="00F37DFD" w:rsidRDefault="00F37DFD" w:rsidP="00F37DFD">
      <w:pPr>
        <w:spacing w:after="40" w:line="240" w:lineRule="atLeast"/>
        <w:ind w:left="0"/>
        <w:rPr>
          <w:rFonts w:ascii="Verdana" w:hAnsi="Verdana"/>
          <w:b/>
          <w:sz w:val="20"/>
          <w:szCs w:val="20"/>
          <w:lang w:val="en-US"/>
        </w:rPr>
      </w:pPr>
      <w:r w:rsidRPr="00F37DFD">
        <w:rPr>
          <w:rFonts w:ascii="Verdana" w:hAnsi="Verdana"/>
          <w:b/>
          <w:sz w:val="20"/>
          <w:szCs w:val="20"/>
          <w:lang w:val="en-US"/>
        </w:rPr>
        <w:t>Tuned damper (1.6):</w:t>
      </w:r>
    </w:p>
    <w:p w:rsidR="00F37DFD" w:rsidRP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 xml:space="preserve">Parameter 1.6 requires an optical table using an anti-vibration system with tuned dampers. Tuned damping is the most effective method among all known passive damping methods, as it concentrates damping efforts where it's needed at the frequencies of dominant resonance modes. The latest version of the design </w:t>
      </w:r>
      <w:r w:rsidRPr="00F37DFD">
        <w:rPr>
          <w:rFonts w:ascii="Verdana" w:hAnsi="Verdana"/>
          <w:sz w:val="20"/>
          <w:szCs w:val="20"/>
          <w:lang w:val="en-US"/>
        </w:rPr>
        <w:lastRenderedPageBreak/>
        <w:t>eliminates the use of oil, and use a proprietary mass-spring mechanism to allow for better damping performance, and more precise and easier tuning to the exact frequency needed to damp the resonance. This damping technology is exclusively used and patented by the company Newport, which is officially and exclusively represented in the Czech Republic by our company MIT, spol. s r. o. Since this technology is patented, no other manufacturer can use it in the construction of his optical tables.</w:t>
      </w:r>
    </w:p>
    <w:p w:rsidR="00F37DFD" w:rsidRPr="00F37DFD" w:rsidRDefault="00F37DFD" w:rsidP="00F37DFD">
      <w:pPr>
        <w:spacing w:after="40" w:line="240" w:lineRule="atLeast"/>
        <w:ind w:left="0"/>
        <w:rPr>
          <w:rFonts w:ascii="Verdana" w:hAnsi="Verdana"/>
          <w:b/>
          <w:sz w:val="20"/>
          <w:szCs w:val="20"/>
          <w:lang w:val="en-US"/>
        </w:rPr>
      </w:pPr>
      <w:r w:rsidRPr="00F37DFD">
        <w:rPr>
          <w:rFonts w:ascii="Verdana" w:hAnsi="Verdana"/>
          <w:b/>
          <w:sz w:val="20"/>
          <w:szCs w:val="20"/>
          <w:lang w:val="en-US"/>
        </w:rPr>
        <w:t>Honeycomb structure cell size &lt; 3.3 cm</w:t>
      </w:r>
      <w:r w:rsidRPr="00F37DFD">
        <w:rPr>
          <w:rFonts w:ascii="Verdana" w:hAnsi="Verdana"/>
          <w:b/>
          <w:sz w:val="20"/>
          <w:szCs w:val="20"/>
          <w:vertAlign w:val="superscript"/>
          <w:lang w:val="en-US"/>
        </w:rPr>
        <w:t>2</w:t>
      </w:r>
      <w:r w:rsidRPr="00F37DFD">
        <w:rPr>
          <w:rFonts w:ascii="Verdana" w:hAnsi="Verdana"/>
          <w:b/>
          <w:sz w:val="20"/>
          <w:szCs w:val="20"/>
          <w:lang w:val="en-US"/>
        </w:rPr>
        <w:t xml:space="preserve"> (1.9):</w:t>
      </w:r>
    </w:p>
    <w:p w:rsidR="00F37DFD" w:rsidRP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On the other side, parameter 1.9 requires an internal vertical honeycomb structure with a cell size of &lt; 3.3 cm</w:t>
      </w:r>
      <w:r w:rsidRPr="00F37DFD">
        <w:rPr>
          <w:rFonts w:ascii="Verdana" w:hAnsi="Verdana"/>
          <w:sz w:val="20"/>
          <w:szCs w:val="20"/>
          <w:vertAlign w:val="superscript"/>
          <w:lang w:val="en-US"/>
        </w:rPr>
        <w:t>2</w:t>
      </w:r>
      <w:r w:rsidRPr="00F37DFD">
        <w:rPr>
          <w:rFonts w:ascii="Verdana" w:hAnsi="Verdana"/>
          <w:sz w:val="20"/>
          <w:szCs w:val="20"/>
          <w:lang w:val="en-US"/>
        </w:rPr>
        <w:t xml:space="preserve"> with an internal core density of &gt; 220 kg/m</w:t>
      </w:r>
      <w:r w:rsidRPr="00F37DFD">
        <w:rPr>
          <w:rFonts w:ascii="Verdana" w:hAnsi="Verdana"/>
          <w:sz w:val="20"/>
          <w:szCs w:val="20"/>
          <w:vertAlign w:val="superscript"/>
          <w:lang w:val="en-US"/>
        </w:rPr>
        <w:t>2</w:t>
      </w:r>
      <w:r w:rsidRPr="00F37DFD">
        <w:rPr>
          <w:rFonts w:ascii="Verdana" w:hAnsi="Verdana"/>
          <w:sz w:val="20"/>
          <w:szCs w:val="20"/>
          <w:lang w:val="en-US"/>
        </w:rPr>
        <w:t>. Newport uses a honeycomb structure with a slightly larger cell size and thus a lower internal core density than required. To achieve an even higher rigidity of the optical table, Newport uses a different approach, the so called trussed core design, incorporating an additional steel sheet layer. To further improve the rigidity of the construction, the layers are bonded together along the height of the honeycomb core. These two construction details offer a 50% increase in local rigidity. Thus, Newport optical tables easily meet the required compliance and deflection specifications and all other parameters, but, as explained, cannot meet the requirement 1.9.</w:t>
      </w:r>
    </w:p>
    <w:p w:rsidR="00F37DFD" w:rsidRP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According to our knowledge, the required cell size is an exclusive design of the company TMC.</w:t>
      </w:r>
    </w:p>
    <w:p w:rsidR="00F37DFD" w:rsidRP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 xml:space="preserve">From the above it is clear that there is no company, which can offer an optical table meeting all requirements. To ensure a true competition, it is desirable that the CA will get at least two bids. </w:t>
      </w:r>
    </w:p>
    <w:p w:rsidR="00F37DFD" w:rsidRPr="00F37DFD" w:rsidRDefault="00F37DFD" w:rsidP="00F37DFD">
      <w:pPr>
        <w:spacing w:after="40" w:line="240" w:lineRule="atLeast"/>
        <w:ind w:left="0"/>
        <w:rPr>
          <w:rFonts w:ascii="Verdana" w:hAnsi="Verdana"/>
          <w:b/>
          <w:sz w:val="20"/>
          <w:szCs w:val="20"/>
          <w:lang w:val="en-US"/>
        </w:rPr>
      </w:pPr>
      <w:r w:rsidRPr="00F37DFD">
        <w:rPr>
          <w:rFonts w:ascii="Verdana" w:hAnsi="Verdana"/>
          <w:b/>
          <w:sz w:val="20"/>
          <w:szCs w:val="20"/>
          <w:lang w:val="en-US"/>
        </w:rPr>
        <w:t>Question:</w:t>
      </w:r>
    </w:p>
    <w:p w:rsidR="00F37DFD" w:rsidRPr="00F37DFD" w:rsidRDefault="00F37DFD" w:rsidP="00F37DFD">
      <w:pPr>
        <w:spacing w:after="40" w:line="240" w:lineRule="atLeast"/>
        <w:ind w:left="0"/>
        <w:rPr>
          <w:rFonts w:ascii="Verdana" w:hAnsi="Verdana"/>
          <w:b/>
          <w:sz w:val="20"/>
          <w:szCs w:val="20"/>
          <w:lang w:val="en-US"/>
        </w:rPr>
      </w:pPr>
      <w:r w:rsidRPr="00F37DFD">
        <w:rPr>
          <w:rFonts w:ascii="Verdana" w:hAnsi="Verdana"/>
          <w:b/>
          <w:sz w:val="20"/>
          <w:szCs w:val="20"/>
          <w:lang w:val="en-US"/>
        </w:rPr>
        <w:t>Wouldn't it be better to cancel the requirements 1.6 and 1.9 in Table 1 and Table 3, so that at least two companies can place a bid?</w:t>
      </w:r>
    </w:p>
    <w:p w:rsidR="005D7130" w:rsidRDefault="005D7130" w:rsidP="000660EC">
      <w:pPr>
        <w:spacing w:after="0"/>
        <w:ind w:left="0"/>
        <w:rPr>
          <w:rFonts w:ascii="Verdana" w:hAnsi="Verdana" w:cs="Calibri"/>
          <w:sz w:val="20"/>
          <w:szCs w:val="20"/>
        </w:rPr>
      </w:pPr>
    </w:p>
    <w:p w:rsidR="002D1183" w:rsidRPr="0053076B" w:rsidRDefault="00F37DFD" w:rsidP="000660EC">
      <w:pPr>
        <w:spacing w:after="0"/>
        <w:ind w:left="0"/>
        <w:rPr>
          <w:rFonts w:ascii="Verdana" w:hAnsi="Verdana" w:cs="Calibri"/>
          <w:b/>
          <w:sz w:val="20"/>
          <w:szCs w:val="20"/>
        </w:rPr>
      </w:pPr>
      <w:r w:rsidRPr="0053076B">
        <w:rPr>
          <w:rFonts w:ascii="Verdana" w:hAnsi="Verdana" w:cs="Calibri"/>
          <w:b/>
          <w:sz w:val="20"/>
          <w:szCs w:val="20"/>
        </w:rPr>
        <w:t>Překlad:</w:t>
      </w:r>
    </w:p>
    <w:p w:rsidR="00F37DFD" w:rsidRDefault="00F37DFD" w:rsidP="00F37DFD">
      <w:pPr>
        <w:spacing w:after="40" w:line="240" w:lineRule="atLeast"/>
        <w:ind w:left="0"/>
        <w:rPr>
          <w:rFonts w:ascii="Verdana" w:hAnsi="Verdana"/>
          <w:sz w:val="20"/>
          <w:szCs w:val="20"/>
          <w:lang w:val="en-US"/>
        </w:rPr>
      </w:pPr>
      <w:r w:rsidRPr="00F37DFD">
        <w:rPr>
          <w:rFonts w:ascii="Verdana" w:hAnsi="Verdana"/>
          <w:sz w:val="20"/>
          <w:szCs w:val="20"/>
          <w:lang w:val="en-US"/>
        </w:rPr>
        <w:t>Otázka - REQ-026393 / A Tabulka 1 a REQ-026397 / A Tabulka 3:</w:t>
      </w:r>
      <w:r w:rsidRPr="00F37DFD">
        <w:rPr>
          <w:rFonts w:ascii="Verdana" w:hAnsi="Verdana"/>
          <w:sz w:val="20"/>
          <w:szCs w:val="20"/>
          <w:lang w:val="en-US"/>
        </w:rPr>
        <w:br/>
        <w:t xml:space="preserve">Požadavky uvedené v tabulce 1 a tabulce 3 RSD definují parametry, které podle našich znalostí nemůže splnit žádný výrobce optických </w:t>
      </w:r>
      <w:r w:rsidR="0053076B">
        <w:rPr>
          <w:rFonts w:ascii="Verdana" w:hAnsi="Verdana"/>
          <w:sz w:val="20"/>
          <w:szCs w:val="20"/>
          <w:lang w:val="en-US"/>
        </w:rPr>
        <w:t>stolů</w:t>
      </w:r>
      <w:r w:rsidRPr="00F37DFD">
        <w:rPr>
          <w:rFonts w:ascii="Verdana" w:hAnsi="Verdana"/>
          <w:sz w:val="20"/>
          <w:szCs w:val="20"/>
          <w:lang w:val="en-US"/>
        </w:rPr>
        <w:t>. Jedná se zejména o následující parametry:</w:t>
      </w:r>
    </w:p>
    <w:p w:rsidR="0053076B" w:rsidRPr="0053076B" w:rsidRDefault="00E3399B" w:rsidP="00F37DFD">
      <w:pPr>
        <w:spacing w:after="40" w:line="240" w:lineRule="atLeast"/>
        <w:ind w:left="0"/>
        <w:rPr>
          <w:rFonts w:ascii="Verdana" w:hAnsi="Verdana"/>
          <w:b/>
          <w:sz w:val="20"/>
          <w:szCs w:val="20"/>
          <w:lang w:val="en-US"/>
        </w:rPr>
      </w:pPr>
      <w:r w:rsidRPr="0053076B">
        <w:rPr>
          <w:rFonts w:ascii="Verdana" w:hAnsi="Verdana"/>
          <w:b/>
          <w:sz w:val="20"/>
          <w:szCs w:val="20"/>
          <w:lang w:val="en-US"/>
        </w:rPr>
        <w:t>Laděn</w:t>
      </w:r>
      <w:r>
        <w:rPr>
          <w:rFonts w:ascii="Verdana" w:hAnsi="Verdana"/>
          <w:b/>
          <w:sz w:val="20"/>
          <w:szCs w:val="20"/>
          <w:lang w:val="cs-CZ"/>
        </w:rPr>
        <w:t>ý tlumič</w:t>
      </w:r>
      <w:r w:rsidRPr="0053076B">
        <w:rPr>
          <w:rFonts w:ascii="Verdana" w:hAnsi="Verdana"/>
          <w:b/>
          <w:sz w:val="20"/>
          <w:szCs w:val="20"/>
          <w:lang w:val="en-US"/>
        </w:rPr>
        <w:t xml:space="preserve"> </w:t>
      </w:r>
      <w:r w:rsidR="0053076B" w:rsidRPr="0053076B">
        <w:rPr>
          <w:rFonts w:ascii="Verdana" w:hAnsi="Verdana"/>
          <w:b/>
          <w:sz w:val="20"/>
          <w:szCs w:val="20"/>
          <w:lang w:val="en-US"/>
        </w:rPr>
        <w:t>(1.6):</w:t>
      </w:r>
    </w:p>
    <w:p w:rsidR="0053076B" w:rsidRDefault="0053076B" w:rsidP="00F37DFD">
      <w:pPr>
        <w:spacing w:after="40" w:line="240" w:lineRule="atLeast"/>
        <w:ind w:left="0"/>
        <w:rPr>
          <w:rFonts w:ascii="Verdana" w:hAnsi="Verdana"/>
          <w:sz w:val="20"/>
          <w:szCs w:val="20"/>
          <w:lang w:val="en-US"/>
        </w:rPr>
      </w:pPr>
      <w:r>
        <w:rPr>
          <w:rFonts w:ascii="Verdana" w:hAnsi="Verdana"/>
          <w:sz w:val="20"/>
          <w:szCs w:val="20"/>
          <w:lang w:val="en-US"/>
        </w:rPr>
        <w:t xml:space="preserve">Parametr 1.6 vyžaduje optický stůl </w:t>
      </w:r>
      <w:r w:rsidRPr="0053076B">
        <w:rPr>
          <w:rFonts w:ascii="Verdana" w:hAnsi="Verdana"/>
          <w:sz w:val="20"/>
          <w:szCs w:val="20"/>
          <w:lang w:val="en-US"/>
        </w:rPr>
        <w:t xml:space="preserve">používající antivibrační systém s laděnými tlumiči. Laděné tlumení je nejúčinnější metodou ze všech známých metod pasivního tlumení, protože soustředí tlumící úsilí tam, kde je to potřeba, na frekvencích dominantních rezonančních </w:t>
      </w:r>
      <w:r w:rsidR="00BB3D52">
        <w:rPr>
          <w:rFonts w:ascii="Verdana" w:hAnsi="Verdana"/>
          <w:sz w:val="20"/>
          <w:szCs w:val="20"/>
          <w:lang w:val="en-US"/>
        </w:rPr>
        <w:t>m</w:t>
      </w:r>
      <w:r w:rsidR="00BB3D52">
        <w:rPr>
          <w:rFonts w:ascii="Verdana" w:hAnsi="Verdana"/>
          <w:sz w:val="20"/>
          <w:szCs w:val="20"/>
          <w:lang w:val="cs-CZ"/>
        </w:rPr>
        <w:t>ódů</w:t>
      </w:r>
      <w:r w:rsidRPr="0053076B">
        <w:rPr>
          <w:rFonts w:ascii="Verdana" w:hAnsi="Verdana"/>
          <w:sz w:val="20"/>
          <w:szCs w:val="20"/>
          <w:lang w:val="en-US"/>
        </w:rPr>
        <w:t xml:space="preserve">. Nejnovější verze eliminuje použití oleje a používá proprietární mechanismus hmotnostních pružin, který umožňuje lepší tlumící výkon a přesnější a snazší vyladění </w:t>
      </w:r>
      <w:r>
        <w:rPr>
          <w:rFonts w:ascii="Verdana" w:hAnsi="Verdana"/>
          <w:sz w:val="20"/>
          <w:szCs w:val="20"/>
          <w:lang w:val="en-US"/>
        </w:rPr>
        <w:t>přesné frekvencé potřebné</w:t>
      </w:r>
      <w:r w:rsidRPr="0053076B">
        <w:rPr>
          <w:rFonts w:ascii="Verdana" w:hAnsi="Verdana"/>
          <w:sz w:val="20"/>
          <w:szCs w:val="20"/>
          <w:lang w:val="en-US"/>
        </w:rPr>
        <w:t xml:space="preserve"> k tlumení rezonance. Tato tlumící technologie je exkluzivně využívána a patentována společností Newport, která je oficiálně a výlučně zastoupena v České republice naší společností MIT, spol. s r.</w:t>
      </w:r>
      <w:r w:rsidR="00BB3D52">
        <w:rPr>
          <w:rFonts w:ascii="Verdana" w:hAnsi="Verdana"/>
          <w:sz w:val="20"/>
          <w:szCs w:val="20"/>
          <w:lang w:val="en-US"/>
        </w:rPr>
        <w:t>o</w:t>
      </w:r>
      <w:r w:rsidRPr="0053076B">
        <w:rPr>
          <w:rFonts w:ascii="Verdana" w:hAnsi="Verdana"/>
          <w:sz w:val="20"/>
          <w:szCs w:val="20"/>
          <w:lang w:val="en-US"/>
        </w:rPr>
        <w:t>. Vzhledem k tomu, že tato technologie je patentována, žádný jiný výrobce ji nemůže použít při konstrukci svých optických stolů.</w:t>
      </w:r>
    </w:p>
    <w:p w:rsidR="005D4614" w:rsidRPr="00F37DFD" w:rsidRDefault="00BB3D52" w:rsidP="005D4614">
      <w:pPr>
        <w:spacing w:after="40" w:line="240" w:lineRule="atLeast"/>
        <w:ind w:left="0"/>
        <w:rPr>
          <w:rFonts w:ascii="Verdana" w:hAnsi="Verdana"/>
          <w:b/>
          <w:sz w:val="20"/>
          <w:szCs w:val="20"/>
          <w:lang w:val="en-US"/>
        </w:rPr>
      </w:pPr>
      <w:r>
        <w:rPr>
          <w:rFonts w:ascii="Verdana" w:hAnsi="Verdana"/>
          <w:b/>
          <w:sz w:val="20"/>
          <w:szCs w:val="20"/>
          <w:highlight w:val="yellow"/>
          <w:lang w:val="en-US"/>
        </w:rPr>
        <w:t>Velikost buňky šestihranné trámčiny</w:t>
      </w:r>
      <w:r w:rsidR="005D4614" w:rsidRPr="005D4614">
        <w:rPr>
          <w:rFonts w:ascii="Verdana" w:hAnsi="Verdana"/>
          <w:b/>
          <w:sz w:val="20"/>
          <w:szCs w:val="20"/>
          <w:highlight w:val="yellow"/>
          <w:lang w:val="en-US"/>
        </w:rPr>
        <w:t xml:space="preserve"> &lt; 3.3 cm</w:t>
      </w:r>
      <w:r w:rsidR="005D4614" w:rsidRPr="005D4614">
        <w:rPr>
          <w:rFonts w:ascii="Verdana" w:hAnsi="Verdana"/>
          <w:b/>
          <w:sz w:val="20"/>
          <w:szCs w:val="20"/>
          <w:highlight w:val="yellow"/>
          <w:vertAlign w:val="superscript"/>
          <w:lang w:val="en-US"/>
        </w:rPr>
        <w:t>2</w:t>
      </w:r>
      <w:r w:rsidR="005D4614" w:rsidRPr="005D4614">
        <w:rPr>
          <w:rFonts w:ascii="Verdana" w:hAnsi="Verdana"/>
          <w:b/>
          <w:sz w:val="20"/>
          <w:szCs w:val="20"/>
          <w:highlight w:val="yellow"/>
          <w:lang w:val="en-US"/>
        </w:rPr>
        <w:t xml:space="preserve"> (1.9):</w:t>
      </w:r>
    </w:p>
    <w:p w:rsidR="0053076B" w:rsidRPr="00F37DFD" w:rsidRDefault="0053076B" w:rsidP="0053076B">
      <w:pPr>
        <w:spacing w:after="40" w:line="240" w:lineRule="atLeast"/>
        <w:ind w:left="0"/>
        <w:rPr>
          <w:rFonts w:ascii="Verdana" w:hAnsi="Verdana"/>
          <w:sz w:val="20"/>
          <w:szCs w:val="20"/>
          <w:lang w:val="en-US"/>
        </w:rPr>
      </w:pPr>
      <w:r w:rsidRPr="0053076B">
        <w:rPr>
          <w:rFonts w:ascii="Verdana" w:hAnsi="Verdana"/>
          <w:sz w:val="20"/>
          <w:szCs w:val="20"/>
          <w:lang w:val="en-US"/>
        </w:rPr>
        <w:t xml:space="preserve">Na druhé straně parametr 1.9 vyžaduje vnitřní vertikální voštinovou strukturu s velikostí článku &lt;3,3 cm2 s vnitřní hustotou jádra&gt; 220 kg / m2. Newport používá voštinovou strukturu s poněkud větší velikostí buněk a tedy nižší vnitřní hustotou jádra, než je požadováno. Pro dosažení ještě vyšší tuhosti optického stolu používá Newport odlišný přístup, tzv. </w:t>
      </w:r>
      <w:r w:rsidR="00BB3D52">
        <w:rPr>
          <w:rFonts w:ascii="Verdana" w:hAnsi="Verdana"/>
          <w:sz w:val="20"/>
          <w:szCs w:val="20"/>
          <w:lang w:val="en-US"/>
        </w:rPr>
        <w:t>“</w:t>
      </w:r>
      <w:r w:rsidRPr="0053076B">
        <w:rPr>
          <w:rFonts w:ascii="Verdana" w:hAnsi="Verdana"/>
          <w:sz w:val="20"/>
          <w:szCs w:val="20"/>
          <w:lang w:val="en-US"/>
        </w:rPr>
        <w:t>Design trussed core</w:t>
      </w:r>
      <w:r w:rsidR="00BB3D52">
        <w:rPr>
          <w:rFonts w:ascii="Verdana" w:hAnsi="Verdana"/>
          <w:sz w:val="20"/>
          <w:szCs w:val="20"/>
          <w:lang w:val="en-US"/>
        </w:rPr>
        <w:t>”</w:t>
      </w:r>
      <w:r w:rsidRPr="0053076B">
        <w:rPr>
          <w:rFonts w:ascii="Verdana" w:hAnsi="Verdana"/>
          <w:sz w:val="20"/>
          <w:szCs w:val="20"/>
          <w:lang w:val="en-US"/>
        </w:rPr>
        <w:t xml:space="preserve">, který obsahuje další vrstvu ocelového plechu. Pro další zlepšení tuhosti konstrukce jsou vrstvy spojeny dohromady podél výšky voštinového jádra. Tyto dva konstrukční detaily nabízejí 50% zvýšení lokální tuhosti. Optické stoly Newport tak snadno splňují požadované specifikace shody a průhybu a všechny ostatní parametry, ale, jak bylo vysvětleno, </w:t>
      </w:r>
      <w:r w:rsidRPr="0053076B">
        <w:rPr>
          <w:rFonts w:ascii="Verdana" w:hAnsi="Verdana"/>
          <w:sz w:val="20"/>
          <w:szCs w:val="20"/>
          <w:lang w:val="en-US"/>
        </w:rPr>
        <w:lastRenderedPageBreak/>
        <w:t>nemohou splňovat požadavek 1.9.</w:t>
      </w:r>
      <w:r w:rsidR="005D4614">
        <w:rPr>
          <w:rFonts w:ascii="Verdana" w:hAnsi="Verdana"/>
          <w:sz w:val="20"/>
          <w:szCs w:val="20"/>
          <w:lang w:val="en-US"/>
        </w:rPr>
        <w:t xml:space="preserve"> </w:t>
      </w:r>
      <w:r w:rsidRPr="0053076B">
        <w:rPr>
          <w:rFonts w:ascii="Verdana" w:hAnsi="Verdana"/>
          <w:sz w:val="20"/>
          <w:szCs w:val="20"/>
          <w:lang w:val="en-US"/>
        </w:rPr>
        <w:t xml:space="preserve">Podle našich </w:t>
      </w:r>
      <w:r w:rsidR="005D4614">
        <w:rPr>
          <w:rFonts w:ascii="Verdana" w:hAnsi="Verdana"/>
          <w:sz w:val="20"/>
          <w:szCs w:val="20"/>
          <w:lang w:val="en-US"/>
        </w:rPr>
        <w:t>informací</w:t>
      </w:r>
      <w:r w:rsidRPr="0053076B">
        <w:rPr>
          <w:rFonts w:ascii="Verdana" w:hAnsi="Verdana"/>
          <w:sz w:val="20"/>
          <w:szCs w:val="20"/>
          <w:lang w:val="en-US"/>
        </w:rPr>
        <w:t xml:space="preserve"> je požadovaná velikost buňky exkluzivním designem společnosti TMC.</w:t>
      </w:r>
    </w:p>
    <w:p w:rsidR="002D1183" w:rsidRPr="005D4614" w:rsidRDefault="005D4614" w:rsidP="005D4614">
      <w:pPr>
        <w:spacing w:after="40" w:line="240" w:lineRule="atLeast"/>
        <w:ind w:left="0"/>
        <w:rPr>
          <w:rFonts w:ascii="Verdana" w:hAnsi="Verdana"/>
          <w:sz w:val="20"/>
          <w:szCs w:val="20"/>
          <w:lang w:val="en-US"/>
        </w:rPr>
      </w:pPr>
      <w:r w:rsidRPr="005D4614">
        <w:rPr>
          <w:rFonts w:ascii="Verdana" w:hAnsi="Verdana"/>
          <w:sz w:val="20"/>
          <w:szCs w:val="20"/>
          <w:lang w:val="en-US"/>
        </w:rPr>
        <w:t>Z výše uvedeného je zřejmé, že neexistuje žádná společnost, která by mohla nabídnout optický stůl splňující všechny požadavky. Pro zajištění skutečné konkurence je žádoucí, aby zadavatel obdržel alespoň dvě nabídky.</w:t>
      </w:r>
    </w:p>
    <w:p w:rsidR="002D1183" w:rsidRPr="005D4614" w:rsidRDefault="005D4614" w:rsidP="005D4614">
      <w:pPr>
        <w:spacing w:after="40" w:line="240" w:lineRule="atLeast"/>
        <w:ind w:left="0"/>
        <w:rPr>
          <w:rFonts w:ascii="Verdana" w:hAnsi="Verdana"/>
          <w:sz w:val="20"/>
          <w:szCs w:val="20"/>
          <w:lang w:val="en-US"/>
        </w:rPr>
      </w:pPr>
      <w:r w:rsidRPr="005D4614">
        <w:rPr>
          <w:rFonts w:ascii="Verdana" w:hAnsi="Verdana"/>
          <w:b/>
          <w:sz w:val="20"/>
          <w:szCs w:val="20"/>
          <w:lang w:val="en-US"/>
        </w:rPr>
        <w:t>Otázka:</w:t>
      </w:r>
      <w:r w:rsidRPr="005D4614">
        <w:rPr>
          <w:rFonts w:ascii="Verdana" w:hAnsi="Verdana"/>
          <w:b/>
          <w:sz w:val="20"/>
          <w:szCs w:val="20"/>
          <w:lang w:val="en-US"/>
        </w:rPr>
        <w:br/>
      </w:r>
      <w:r w:rsidRPr="005D4614">
        <w:rPr>
          <w:rFonts w:ascii="Verdana" w:hAnsi="Verdana"/>
          <w:sz w:val="20"/>
          <w:szCs w:val="20"/>
          <w:lang w:val="en-US"/>
        </w:rPr>
        <w:t>Nebylo by lepší zrušit požadavky 1.6 a 1.9 v tabulce 1 a tabulce 3, aby alespoň dvě společnosti mohly podat nabídku?</w:t>
      </w:r>
    </w:p>
    <w:p w:rsidR="002D1183" w:rsidRDefault="002D1183" w:rsidP="002D1183">
      <w:pPr>
        <w:spacing w:after="0"/>
        <w:ind w:left="0"/>
        <w:rPr>
          <w:rFonts w:ascii="Verdana" w:hAnsi="Verdana" w:cs="Calibri"/>
          <w:b/>
          <w:szCs w:val="20"/>
        </w:rPr>
      </w:pPr>
    </w:p>
    <w:p w:rsidR="0081214C" w:rsidRDefault="0081214C" w:rsidP="002D1183">
      <w:pPr>
        <w:spacing w:after="0"/>
        <w:ind w:left="0"/>
        <w:rPr>
          <w:rFonts w:ascii="Verdana" w:hAnsi="Verdana" w:cs="Calibri"/>
          <w:b/>
          <w:szCs w:val="20"/>
        </w:rPr>
      </w:pPr>
    </w:p>
    <w:p w:rsidR="002D1183" w:rsidRDefault="002D1183" w:rsidP="002D1183">
      <w:pPr>
        <w:spacing w:after="0"/>
        <w:ind w:left="0"/>
        <w:rPr>
          <w:rFonts w:ascii="Verdana" w:hAnsi="Verdana" w:cs="Calibri"/>
          <w:b/>
          <w:szCs w:val="20"/>
        </w:rPr>
      </w:pPr>
    </w:p>
    <w:p w:rsidR="002D1183" w:rsidRPr="005D7130" w:rsidRDefault="002D1183" w:rsidP="002D1183">
      <w:pPr>
        <w:spacing w:after="0"/>
        <w:ind w:left="0"/>
        <w:rPr>
          <w:rFonts w:ascii="Verdana" w:hAnsi="Verdana" w:cs="Calibri"/>
          <w:b/>
          <w:szCs w:val="20"/>
        </w:rPr>
      </w:pPr>
      <w:r>
        <w:rPr>
          <w:rFonts w:ascii="Verdana" w:hAnsi="Verdana" w:cs="Calibri"/>
          <w:b/>
          <w:szCs w:val="20"/>
        </w:rPr>
        <w:t xml:space="preserve">Odpověď na oba dotazy </w:t>
      </w:r>
    </w:p>
    <w:p w:rsidR="002D1183" w:rsidRDefault="002D1183" w:rsidP="000660EC">
      <w:pPr>
        <w:spacing w:after="0"/>
        <w:ind w:left="0"/>
        <w:rPr>
          <w:rFonts w:ascii="Verdana" w:hAnsi="Verdana" w:cs="Calibri"/>
          <w:sz w:val="20"/>
          <w:szCs w:val="20"/>
        </w:rPr>
      </w:pPr>
      <w:r>
        <w:rPr>
          <w:rFonts w:ascii="Verdana" w:hAnsi="Verdana" w:cs="Calibri"/>
          <w:sz w:val="20"/>
          <w:szCs w:val="20"/>
        </w:rPr>
        <w:t>Vzhledem k připomínkám se zadavatel rozhodl změnit parametry</w:t>
      </w:r>
      <w:r w:rsidR="005D4614">
        <w:rPr>
          <w:rFonts w:ascii="Verdana" w:hAnsi="Verdana" w:cs="Calibri"/>
          <w:sz w:val="20"/>
          <w:szCs w:val="20"/>
        </w:rPr>
        <w:t xml:space="preserve"> viz níže</w:t>
      </w:r>
    </w:p>
    <w:tbl>
      <w:tblPr>
        <w:tblStyle w:val="Mkatabulky"/>
        <w:tblW w:w="0" w:type="auto"/>
        <w:tblLook w:val="04A0" w:firstRow="1" w:lastRow="0" w:firstColumn="1" w:lastColumn="0" w:noHBand="0" w:noVBand="1"/>
      </w:tblPr>
      <w:tblGrid>
        <w:gridCol w:w="2943"/>
        <w:gridCol w:w="2552"/>
        <w:gridCol w:w="3225"/>
      </w:tblGrid>
      <w:tr w:rsidR="00F6602E" w:rsidTr="00F6602E">
        <w:tc>
          <w:tcPr>
            <w:tcW w:w="2943" w:type="dxa"/>
            <w:vAlign w:val="bottom"/>
          </w:tcPr>
          <w:p w:rsidR="00F6602E" w:rsidRPr="00F6602E" w:rsidRDefault="00F6602E" w:rsidP="00F6602E">
            <w:pPr>
              <w:spacing w:after="0"/>
              <w:ind w:left="0"/>
              <w:jc w:val="center"/>
              <w:rPr>
                <w:rFonts w:ascii="Verdana" w:hAnsi="Verdana"/>
                <w:b/>
                <w:sz w:val="20"/>
              </w:rPr>
            </w:pPr>
            <w:r>
              <w:rPr>
                <w:rFonts w:ascii="Verdana" w:hAnsi="Verdana"/>
                <w:b/>
                <w:sz w:val="20"/>
              </w:rPr>
              <w:t>L</w:t>
            </w:r>
            <w:r w:rsidRPr="00F6602E">
              <w:rPr>
                <w:rFonts w:ascii="Verdana" w:hAnsi="Verdana"/>
                <w:b/>
                <w:sz w:val="20"/>
              </w:rPr>
              <w:t>ocation</w:t>
            </w:r>
          </w:p>
        </w:tc>
        <w:tc>
          <w:tcPr>
            <w:tcW w:w="2552" w:type="dxa"/>
            <w:vAlign w:val="bottom"/>
          </w:tcPr>
          <w:p w:rsidR="00F6602E" w:rsidRPr="00F6602E" w:rsidRDefault="00F6602E" w:rsidP="00F6602E">
            <w:pPr>
              <w:spacing w:after="0"/>
              <w:ind w:left="-105"/>
              <w:jc w:val="center"/>
              <w:rPr>
                <w:rFonts w:ascii="Verdana" w:hAnsi="Verdana"/>
                <w:b/>
                <w:sz w:val="20"/>
              </w:rPr>
            </w:pPr>
            <w:r w:rsidRPr="00F6602E">
              <w:rPr>
                <w:rFonts w:ascii="Verdana" w:hAnsi="Verdana"/>
                <w:b/>
                <w:sz w:val="20"/>
              </w:rPr>
              <w:t>Original formulation</w:t>
            </w:r>
          </w:p>
        </w:tc>
        <w:tc>
          <w:tcPr>
            <w:tcW w:w="3225" w:type="dxa"/>
            <w:vAlign w:val="bottom"/>
          </w:tcPr>
          <w:p w:rsidR="00F6602E" w:rsidRPr="00F6602E" w:rsidRDefault="00F6602E" w:rsidP="00F6602E">
            <w:pPr>
              <w:spacing w:after="0"/>
              <w:ind w:left="-45"/>
              <w:jc w:val="center"/>
              <w:rPr>
                <w:rFonts w:ascii="Verdana" w:hAnsi="Verdana"/>
                <w:b/>
                <w:sz w:val="20"/>
              </w:rPr>
            </w:pPr>
            <w:r w:rsidRPr="00F6602E">
              <w:rPr>
                <w:rFonts w:ascii="Verdana" w:hAnsi="Verdana"/>
                <w:b/>
                <w:sz w:val="20"/>
              </w:rPr>
              <w:t>Updated formulation</w:t>
            </w:r>
          </w:p>
        </w:tc>
      </w:tr>
      <w:tr w:rsidR="00F6602E" w:rsidTr="00F6602E">
        <w:tc>
          <w:tcPr>
            <w:tcW w:w="2943" w:type="dxa"/>
            <w:vAlign w:val="center"/>
          </w:tcPr>
          <w:p w:rsidR="00F6602E" w:rsidRPr="003E01C2" w:rsidRDefault="00F6602E" w:rsidP="00F6602E">
            <w:pPr>
              <w:spacing w:after="0"/>
              <w:ind w:left="0"/>
              <w:jc w:val="left"/>
              <w:rPr>
                <w:rFonts w:ascii="Verdana" w:hAnsi="Verdana"/>
                <w:sz w:val="20"/>
              </w:rPr>
            </w:pPr>
            <w:r w:rsidRPr="003E01C2">
              <w:rPr>
                <w:rFonts w:ascii="Verdana" w:hAnsi="Verdana"/>
                <w:sz w:val="20"/>
              </w:rPr>
              <w:t>Page 5,table 1, point 1.6</w:t>
            </w:r>
          </w:p>
        </w:tc>
        <w:tc>
          <w:tcPr>
            <w:tcW w:w="2552" w:type="dxa"/>
            <w:vAlign w:val="center"/>
          </w:tcPr>
          <w:p w:rsidR="00F6602E" w:rsidRPr="003E01C2" w:rsidRDefault="00F6602E" w:rsidP="00F6602E">
            <w:pPr>
              <w:spacing w:after="0"/>
              <w:ind w:left="-105"/>
              <w:jc w:val="center"/>
              <w:rPr>
                <w:rFonts w:ascii="Verdana" w:hAnsi="Verdana"/>
                <w:sz w:val="20"/>
              </w:rPr>
            </w:pPr>
            <w:r w:rsidRPr="003E01C2">
              <w:rPr>
                <w:rFonts w:ascii="Verdana" w:hAnsi="Verdana" w:cstheme="minorHAnsi"/>
                <w:noProof/>
                <w:sz w:val="20"/>
              </w:rPr>
              <w:t>Table top</w:t>
            </w:r>
            <w:r w:rsidRPr="003E01C2">
              <w:rPr>
                <w:rFonts w:ascii="Verdana" w:hAnsi="Verdana" w:cstheme="minorHAnsi"/>
                <w:sz w:val="20"/>
              </w:rPr>
              <w:t xml:space="preserve"> must include internal vibration damping (</w:t>
            </w:r>
            <w:r w:rsidRPr="003E01C2">
              <w:rPr>
                <w:rFonts w:ascii="Verdana" w:hAnsi="Verdana" w:cstheme="minorHAnsi"/>
                <w:color w:val="FF0000"/>
                <w:sz w:val="20"/>
              </w:rPr>
              <w:t>tuned damper</w:t>
            </w:r>
            <w:r w:rsidRPr="003E01C2">
              <w:rPr>
                <w:rFonts w:ascii="Verdana" w:hAnsi="Verdana" w:cstheme="minorHAnsi"/>
                <w:sz w:val="20"/>
              </w:rPr>
              <w:t>)</w:t>
            </w:r>
          </w:p>
        </w:tc>
        <w:tc>
          <w:tcPr>
            <w:tcW w:w="3225" w:type="dxa"/>
            <w:vAlign w:val="center"/>
          </w:tcPr>
          <w:p w:rsidR="00F6602E" w:rsidRPr="003E01C2" w:rsidRDefault="00F6602E" w:rsidP="00F6602E">
            <w:pPr>
              <w:spacing w:after="0"/>
              <w:ind w:left="-45"/>
              <w:jc w:val="center"/>
              <w:rPr>
                <w:rFonts w:ascii="Verdana" w:hAnsi="Verdana"/>
                <w:sz w:val="20"/>
              </w:rPr>
            </w:pPr>
            <w:r w:rsidRPr="003E01C2">
              <w:rPr>
                <w:rFonts w:ascii="Verdana" w:hAnsi="Verdana" w:cstheme="minorHAnsi"/>
                <w:noProof/>
                <w:sz w:val="20"/>
              </w:rPr>
              <w:t>Table top</w:t>
            </w:r>
            <w:r w:rsidRPr="003E01C2">
              <w:rPr>
                <w:rFonts w:ascii="Verdana" w:hAnsi="Verdana" w:cstheme="minorHAnsi"/>
                <w:sz w:val="20"/>
              </w:rPr>
              <w:t xml:space="preserve"> must include internal vibration damping (</w:t>
            </w:r>
            <w:r w:rsidRPr="003E01C2">
              <w:rPr>
                <w:rFonts w:ascii="Verdana" w:hAnsi="Verdana" w:cstheme="minorHAnsi"/>
                <w:color w:val="FF0000"/>
                <w:sz w:val="20"/>
              </w:rPr>
              <w:t>dry broadband dumping is sufficient</w:t>
            </w:r>
            <w:r w:rsidRPr="003E01C2">
              <w:rPr>
                <w:rFonts w:ascii="Verdana" w:hAnsi="Verdana" w:cstheme="minorHAnsi"/>
                <w:sz w:val="20"/>
              </w:rPr>
              <w:t>)</w:t>
            </w:r>
          </w:p>
        </w:tc>
      </w:tr>
      <w:tr w:rsidR="00F6602E" w:rsidTr="00F6602E">
        <w:tc>
          <w:tcPr>
            <w:tcW w:w="2943" w:type="dxa"/>
            <w:vAlign w:val="center"/>
          </w:tcPr>
          <w:p w:rsidR="00F6602E" w:rsidRPr="003E01C2" w:rsidRDefault="00F6602E" w:rsidP="00F6602E">
            <w:pPr>
              <w:spacing w:after="0"/>
              <w:ind w:left="0"/>
              <w:jc w:val="left"/>
              <w:rPr>
                <w:rFonts w:ascii="Verdana" w:hAnsi="Verdana"/>
                <w:sz w:val="20"/>
              </w:rPr>
            </w:pPr>
            <w:r w:rsidRPr="003E01C2">
              <w:rPr>
                <w:rFonts w:ascii="Verdana" w:hAnsi="Verdana"/>
                <w:sz w:val="20"/>
              </w:rPr>
              <w:t>Page 5,table 1, point 1.9</w:t>
            </w:r>
          </w:p>
        </w:tc>
        <w:tc>
          <w:tcPr>
            <w:tcW w:w="2552" w:type="dxa"/>
            <w:vAlign w:val="center"/>
          </w:tcPr>
          <w:p w:rsidR="00F6602E" w:rsidRPr="003E01C2" w:rsidRDefault="00F6602E" w:rsidP="00F6602E">
            <w:pPr>
              <w:spacing w:after="0"/>
              <w:ind w:left="-105"/>
              <w:jc w:val="center"/>
              <w:rPr>
                <w:rFonts w:ascii="Verdana" w:hAnsi="Verdana" w:cstheme="minorHAnsi"/>
                <w:sz w:val="20"/>
              </w:rPr>
            </w:pPr>
            <w:r w:rsidRPr="003E01C2">
              <w:rPr>
                <w:rFonts w:ascii="Verdana" w:hAnsi="Verdana" w:cstheme="minorHAnsi"/>
                <w:sz w:val="20"/>
              </w:rPr>
              <w:t xml:space="preserve">Vertical honeycomb structure, cell size &lt; </w:t>
            </w:r>
            <w:r w:rsidRPr="003E01C2">
              <w:rPr>
                <w:rFonts w:ascii="Verdana" w:hAnsi="Verdana" w:cstheme="minorHAnsi"/>
                <w:color w:val="FF0000"/>
                <w:sz w:val="20"/>
              </w:rPr>
              <w:t>3.3 cm</w:t>
            </w:r>
            <w:r w:rsidRPr="003E01C2">
              <w:rPr>
                <w:rFonts w:ascii="Verdana" w:hAnsi="Verdana" w:cstheme="minorHAnsi"/>
                <w:color w:val="FF0000"/>
                <w:sz w:val="20"/>
                <w:vertAlign w:val="superscript"/>
              </w:rPr>
              <w:t>2</w:t>
            </w:r>
            <w:r w:rsidRPr="003E01C2">
              <w:rPr>
                <w:rFonts w:ascii="Verdana" w:hAnsi="Verdana" w:cstheme="minorHAnsi"/>
                <w:color w:val="FF0000"/>
                <w:sz w:val="20"/>
              </w:rPr>
              <w:t xml:space="preserve"> </w:t>
            </w:r>
          </w:p>
          <w:p w:rsidR="00F6602E" w:rsidRPr="003E01C2" w:rsidRDefault="00F6602E" w:rsidP="00F6602E">
            <w:pPr>
              <w:spacing w:after="0"/>
              <w:ind w:left="-105"/>
              <w:jc w:val="center"/>
              <w:rPr>
                <w:rFonts w:ascii="Verdana" w:hAnsi="Verdana"/>
                <w:sz w:val="20"/>
              </w:rPr>
            </w:pPr>
            <w:r w:rsidRPr="003E01C2">
              <w:rPr>
                <w:rFonts w:ascii="Verdana" w:hAnsi="Verdana" w:cstheme="minorHAnsi"/>
                <w:sz w:val="20"/>
              </w:rPr>
              <w:t>internal core density  &gt; 220 kg/m</w:t>
            </w:r>
            <w:r w:rsidRPr="003E01C2">
              <w:rPr>
                <w:rFonts w:ascii="Verdana" w:hAnsi="Verdana" w:cstheme="minorHAnsi"/>
                <w:sz w:val="20"/>
                <w:vertAlign w:val="superscript"/>
              </w:rPr>
              <w:t>2</w:t>
            </w:r>
          </w:p>
        </w:tc>
        <w:tc>
          <w:tcPr>
            <w:tcW w:w="3225" w:type="dxa"/>
            <w:vAlign w:val="center"/>
          </w:tcPr>
          <w:p w:rsidR="00F6602E" w:rsidRPr="003E01C2" w:rsidRDefault="00F6602E" w:rsidP="00F6602E">
            <w:pPr>
              <w:spacing w:after="0"/>
              <w:ind w:left="-45"/>
              <w:jc w:val="center"/>
              <w:rPr>
                <w:rFonts w:ascii="Verdana" w:hAnsi="Verdana" w:cstheme="minorHAnsi"/>
                <w:sz w:val="20"/>
              </w:rPr>
            </w:pPr>
            <w:r w:rsidRPr="003E01C2">
              <w:rPr>
                <w:rFonts w:ascii="Verdana" w:hAnsi="Verdana" w:cstheme="minorHAnsi"/>
                <w:sz w:val="20"/>
              </w:rPr>
              <w:t>Vertical honeycomb structure,</w:t>
            </w:r>
          </w:p>
          <w:p w:rsidR="00F6602E" w:rsidRPr="003E01C2" w:rsidRDefault="00F6602E" w:rsidP="00F6602E">
            <w:pPr>
              <w:spacing w:after="0"/>
              <w:ind w:left="-45"/>
              <w:jc w:val="center"/>
              <w:rPr>
                <w:rFonts w:ascii="Verdana" w:hAnsi="Verdana" w:cstheme="minorHAnsi"/>
                <w:sz w:val="20"/>
              </w:rPr>
            </w:pPr>
            <w:r w:rsidRPr="003E01C2">
              <w:rPr>
                <w:rFonts w:ascii="Verdana" w:hAnsi="Verdana" w:cstheme="minorHAnsi"/>
                <w:sz w:val="20"/>
              </w:rPr>
              <w:t xml:space="preserve"> cell size </w:t>
            </w:r>
            <w:r w:rsidRPr="003E01C2">
              <w:rPr>
                <w:rFonts w:ascii="Verdana" w:hAnsi="Verdana" w:cstheme="minorHAnsi"/>
                <w:color w:val="FF0000"/>
                <w:sz w:val="20"/>
              </w:rPr>
              <w:t>&lt; 5 cm</w:t>
            </w:r>
            <w:r w:rsidRPr="003E01C2">
              <w:rPr>
                <w:rFonts w:ascii="Verdana" w:hAnsi="Verdana" w:cstheme="minorHAnsi"/>
                <w:color w:val="FF0000"/>
                <w:sz w:val="20"/>
                <w:vertAlign w:val="superscript"/>
              </w:rPr>
              <w:t>2</w:t>
            </w:r>
            <w:r w:rsidRPr="003E01C2">
              <w:rPr>
                <w:rFonts w:ascii="Verdana" w:hAnsi="Verdana" w:cstheme="minorHAnsi"/>
                <w:color w:val="FF0000"/>
                <w:sz w:val="20"/>
              </w:rPr>
              <w:t xml:space="preserve"> </w:t>
            </w:r>
          </w:p>
          <w:p w:rsidR="00F6602E" w:rsidRPr="003E01C2" w:rsidRDefault="00F6602E" w:rsidP="00F6602E">
            <w:pPr>
              <w:spacing w:after="0"/>
              <w:ind w:left="-45"/>
              <w:jc w:val="center"/>
              <w:rPr>
                <w:rFonts w:ascii="Verdana" w:hAnsi="Verdana"/>
                <w:sz w:val="20"/>
              </w:rPr>
            </w:pPr>
            <w:r w:rsidRPr="003E01C2">
              <w:rPr>
                <w:rFonts w:ascii="Verdana" w:hAnsi="Verdana" w:cstheme="minorHAnsi"/>
                <w:sz w:val="20"/>
              </w:rPr>
              <w:t>internal core density  &gt; 220 kg/m</w:t>
            </w:r>
            <w:r w:rsidRPr="003E01C2">
              <w:rPr>
                <w:rFonts w:ascii="Verdana" w:hAnsi="Verdana" w:cstheme="minorHAnsi"/>
                <w:sz w:val="20"/>
                <w:vertAlign w:val="superscript"/>
              </w:rPr>
              <w:t>2</w:t>
            </w:r>
          </w:p>
        </w:tc>
      </w:tr>
      <w:tr w:rsidR="00F6602E" w:rsidTr="00F6602E">
        <w:tc>
          <w:tcPr>
            <w:tcW w:w="2943" w:type="dxa"/>
            <w:vAlign w:val="center"/>
          </w:tcPr>
          <w:p w:rsidR="00F6602E" w:rsidRPr="003E01C2" w:rsidRDefault="00F6602E" w:rsidP="00F6602E">
            <w:pPr>
              <w:spacing w:after="0"/>
              <w:ind w:left="0"/>
              <w:jc w:val="left"/>
              <w:rPr>
                <w:rFonts w:ascii="Verdana" w:hAnsi="Verdana"/>
                <w:sz w:val="20"/>
              </w:rPr>
            </w:pPr>
            <w:r w:rsidRPr="003E01C2">
              <w:rPr>
                <w:rFonts w:ascii="Verdana" w:hAnsi="Verdana"/>
                <w:sz w:val="20"/>
              </w:rPr>
              <w:t>Page 8,table 3, point 1.3</w:t>
            </w:r>
          </w:p>
        </w:tc>
        <w:tc>
          <w:tcPr>
            <w:tcW w:w="2552" w:type="dxa"/>
            <w:vAlign w:val="center"/>
          </w:tcPr>
          <w:p w:rsidR="00F6602E" w:rsidRPr="003E01C2" w:rsidRDefault="00F6602E" w:rsidP="00F6602E">
            <w:pPr>
              <w:spacing w:after="0"/>
              <w:ind w:left="-105"/>
              <w:jc w:val="center"/>
              <w:rPr>
                <w:rFonts w:ascii="Verdana" w:hAnsi="Verdana"/>
                <w:sz w:val="20"/>
              </w:rPr>
            </w:pPr>
            <w:r w:rsidRPr="003E01C2">
              <w:rPr>
                <w:rFonts w:ascii="Verdana" w:hAnsi="Verdana" w:cstheme="minorHAnsi"/>
                <w:b/>
                <w:sz w:val="20"/>
              </w:rPr>
              <w:t xml:space="preserve">2400 mm length: </w:t>
            </w:r>
            <w:r w:rsidRPr="003E01C2">
              <w:rPr>
                <w:rFonts w:ascii="Verdana" w:hAnsi="Verdana" w:cstheme="minorHAnsi"/>
                <w:color w:val="FF0000"/>
                <w:sz w:val="20"/>
              </w:rPr>
              <w:t>Max 3x10</w:t>
            </w:r>
            <w:r w:rsidRPr="003E01C2">
              <w:rPr>
                <w:rFonts w:ascii="Verdana" w:hAnsi="Verdana" w:cstheme="minorHAnsi"/>
                <w:color w:val="FF0000"/>
                <w:sz w:val="20"/>
                <w:vertAlign w:val="superscript"/>
              </w:rPr>
              <w:t>-5</w:t>
            </w:r>
            <w:r w:rsidRPr="003E01C2">
              <w:rPr>
                <w:rFonts w:ascii="Verdana" w:hAnsi="Verdana" w:cstheme="minorHAnsi"/>
                <w:color w:val="FF0000"/>
                <w:sz w:val="20"/>
              </w:rPr>
              <w:t xml:space="preserve"> mm/N</w:t>
            </w:r>
          </w:p>
        </w:tc>
        <w:tc>
          <w:tcPr>
            <w:tcW w:w="3225" w:type="dxa"/>
            <w:vAlign w:val="center"/>
          </w:tcPr>
          <w:p w:rsidR="00F6602E" w:rsidRPr="003E01C2" w:rsidRDefault="00F6602E" w:rsidP="00F6602E">
            <w:pPr>
              <w:spacing w:after="0"/>
              <w:ind w:left="-45"/>
              <w:jc w:val="center"/>
              <w:rPr>
                <w:rFonts w:ascii="Verdana" w:hAnsi="Verdana"/>
                <w:sz w:val="20"/>
              </w:rPr>
            </w:pPr>
            <w:r w:rsidRPr="003E01C2">
              <w:rPr>
                <w:rFonts w:ascii="Verdana" w:hAnsi="Verdana" w:cstheme="minorHAnsi"/>
                <w:b/>
                <w:sz w:val="20"/>
              </w:rPr>
              <w:t xml:space="preserve">2400 mm length: </w:t>
            </w:r>
            <w:r w:rsidRPr="003E01C2">
              <w:rPr>
                <w:rFonts w:ascii="Verdana" w:hAnsi="Verdana" w:cstheme="minorHAnsi"/>
                <w:color w:val="FF0000"/>
                <w:sz w:val="20"/>
              </w:rPr>
              <w:t>Max 9x10</w:t>
            </w:r>
            <w:r w:rsidRPr="003E01C2">
              <w:rPr>
                <w:rFonts w:ascii="Verdana" w:hAnsi="Verdana" w:cstheme="minorHAnsi"/>
                <w:color w:val="FF0000"/>
                <w:sz w:val="20"/>
                <w:vertAlign w:val="superscript"/>
              </w:rPr>
              <w:t>-5</w:t>
            </w:r>
            <w:r w:rsidRPr="003E01C2">
              <w:rPr>
                <w:rFonts w:ascii="Verdana" w:hAnsi="Verdana" w:cstheme="minorHAnsi"/>
                <w:color w:val="FF0000"/>
                <w:sz w:val="20"/>
              </w:rPr>
              <w:t xml:space="preserve"> mm/N</w:t>
            </w:r>
          </w:p>
        </w:tc>
      </w:tr>
      <w:tr w:rsidR="00F6602E" w:rsidTr="00F6602E">
        <w:tc>
          <w:tcPr>
            <w:tcW w:w="2943" w:type="dxa"/>
            <w:vAlign w:val="center"/>
          </w:tcPr>
          <w:p w:rsidR="00F6602E" w:rsidRPr="003E01C2" w:rsidRDefault="00F6602E" w:rsidP="00F6602E">
            <w:pPr>
              <w:spacing w:after="0"/>
              <w:ind w:left="0"/>
              <w:jc w:val="left"/>
              <w:rPr>
                <w:rFonts w:ascii="Verdana" w:hAnsi="Verdana"/>
                <w:sz w:val="20"/>
              </w:rPr>
            </w:pPr>
            <w:r w:rsidRPr="003E01C2">
              <w:rPr>
                <w:rFonts w:ascii="Verdana" w:hAnsi="Verdana"/>
                <w:sz w:val="20"/>
              </w:rPr>
              <w:t>Page 8,table 3, point 1.4</w:t>
            </w:r>
          </w:p>
        </w:tc>
        <w:tc>
          <w:tcPr>
            <w:tcW w:w="2552" w:type="dxa"/>
            <w:vAlign w:val="center"/>
          </w:tcPr>
          <w:p w:rsidR="00F6602E" w:rsidRPr="003E01C2" w:rsidRDefault="00F6602E" w:rsidP="00F6602E">
            <w:pPr>
              <w:spacing w:after="0"/>
              <w:ind w:left="-105"/>
              <w:jc w:val="center"/>
              <w:rPr>
                <w:rFonts w:ascii="Verdana" w:hAnsi="Verdana"/>
                <w:sz w:val="20"/>
              </w:rPr>
            </w:pPr>
            <w:r w:rsidRPr="003E01C2">
              <w:rPr>
                <w:rFonts w:ascii="Verdana" w:hAnsi="Verdana" w:cstheme="minorHAnsi"/>
                <w:b/>
                <w:sz w:val="20"/>
              </w:rPr>
              <w:t xml:space="preserve">2400 mm length: </w:t>
            </w:r>
            <w:r w:rsidRPr="003E01C2">
              <w:rPr>
                <w:rFonts w:ascii="Verdana" w:hAnsi="Verdana" w:cstheme="minorHAnsi"/>
                <w:color w:val="FF0000"/>
                <w:sz w:val="20"/>
              </w:rPr>
              <w:t>Max 2x10</w:t>
            </w:r>
            <w:r w:rsidRPr="003E01C2">
              <w:rPr>
                <w:rFonts w:ascii="Verdana" w:hAnsi="Verdana" w:cstheme="minorHAnsi"/>
                <w:color w:val="FF0000"/>
                <w:sz w:val="20"/>
                <w:vertAlign w:val="superscript"/>
              </w:rPr>
              <w:t>-5</w:t>
            </w:r>
            <w:r w:rsidRPr="003E01C2">
              <w:rPr>
                <w:rFonts w:ascii="Verdana" w:hAnsi="Verdana" w:cstheme="minorHAnsi"/>
                <w:color w:val="FF0000"/>
                <w:sz w:val="20"/>
              </w:rPr>
              <w:t xml:space="preserve"> mm/N</w:t>
            </w:r>
          </w:p>
        </w:tc>
        <w:tc>
          <w:tcPr>
            <w:tcW w:w="3225" w:type="dxa"/>
            <w:vAlign w:val="center"/>
          </w:tcPr>
          <w:p w:rsidR="00F6602E" w:rsidRPr="003E01C2" w:rsidRDefault="00F6602E" w:rsidP="00F6602E">
            <w:pPr>
              <w:spacing w:after="0"/>
              <w:ind w:left="-45"/>
              <w:jc w:val="center"/>
              <w:rPr>
                <w:rFonts w:ascii="Verdana" w:hAnsi="Verdana"/>
                <w:sz w:val="20"/>
              </w:rPr>
            </w:pPr>
            <w:r w:rsidRPr="003E01C2">
              <w:rPr>
                <w:rFonts w:ascii="Verdana" w:hAnsi="Verdana" w:cstheme="minorHAnsi"/>
                <w:b/>
                <w:sz w:val="20"/>
              </w:rPr>
              <w:t xml:space="preserve">2400 mm length: </w:t>
            </w:r>
            <w:r w:rsidRPr="003E01C2">
              <w:rPr>
                <w:rFonts w:ascii="Verdana" w:hAnsi="Verdana" w:cstheme="minorHAnsi"/>
                <w:color w:val="FF0000"/>
                <w:sz w:val="20"/>
              </w:rPr>
              <w:t>Max 9x10</w:t>
            </w:r>
            <w:r w:rsidRPr="003E01C2">
              <w:rPr>
                <w:rFonts w:ascii="Verdana" w:hAnsi="Verdana" w:cstheme="minorHAnsi"/>
                <w:color w:val="FF0000"/>
                <w:sz w:val="20"/>
                <w:vertAlign w:val="superscript"/>
              </w:rPr>
              <w:t>-5</w:t>
            </w:r>
            <w:r w:rsidRPr="003E01C2">
              <w:rPr>
                <w:rFonts w:ascii="Verdana" w:hAnsi="Verdana" w:cstheme="minorHAnsi"/>
                <w:color w:val="FF0000"/>
                <w:sz w:val="20"/>
              </w:rPr>
              <w:t xml:space="preserve"> mm/N</w:t>
            </w:r>
          </w:p>
        </w:tc>
      </w:tr>
      <w:tr w:rsidR="00F6602E" w:rsidTr="00F6602E">
        <w:tc>
          <w:tcPr>
            <w:tcW w:w="2943" w:type="dxa"/>
            <w:vAlign w:val="center"/>
          </w:tcPr>
          <w:p w:rsidR="00F6602E" w:rsidRPr="003E01C2" w:rsidRDefault="00F6602E" w:rsidP="00F6602E">
            <w:pPr>
              <w:spacing w:after="0"/>
              <w:ind w:left="0"/>
              <w:jc w:val="left"/>
              <w:rPr>
                <w:rFonts w:ascii="Verdana" w:hAnsi="Verdana"/>
                <w:sz w:val="20"/>
              </w:rPr>
            </w:pPr>
            <w:r w:rsidRPr="003E01C2">
              <w:rPr>
                <w:rFonts w:ascii="Verdana" w:hAnsi="Verdana"/>
                <w:sz w:val="20"/>
              </w:rPr>
              <w:t>Page 9,table 3, point</w:t>
            </w:r>
            <w:r>
              <w:rPr>
                <w:rFonts w:ascii="Verdana" w:hAnsi="Verdana"/>
                <w:sz w:val="20"/>
              </w:rPr>
              <w:t xml:space="preserve"> </w:t>
            </w:r>
            <w:r w:rsidRPr="003E01C2">
              <w:rPr>
                <w:rFonts w:ascii="Verdana" w:hAnsi="Verdana"/>
                <w:sz w:val="20"/>
              </w:rPr>
              <w:t>1.17</w:t>
            </w:r>
          </w:p>
        </w:tc>
        <w:tc>
          <w:tcPr>
            <w:tcW w:w="2552" w:type="dxa"/>
            <w:vAlign w:val="center"/>
          </w:tcPr>
          <w:p w:rsidR="00F6602E" w:rsidRPr="003E01C2" w:rsidRDefault="00F6602E" w:rsidP="00F6602E">
            <w:pPr>
              <w:spacing w:after="0"/>
              <w:ind w:left="-105"/>
              <w:jc w:val="center"/>
              <w:rPr>
                <w:rFonts w:ascii="Verdana" w:hAnsi="Verdana"/>
                <w:sz w:val="20"/>
              </w:rPr>
            </w:pPr>
            <w:r w:rsidRPr="003E01C2">
              <w:rPr>
                <w:rFonts w:ascii="Verdana" w:hAnsi="Verdana" w:cstheme="minorHAnsi"/>
                <w:sz w:val="20"/>
              </w:rPr>
              <w:t xml:space="preserve">&gt; </w:t>
            </w:r>
            <w:r w:rsidRPr="003E01C2">
              <w:rPr>
                <w:rFonts w:ascii="Verdana" w:hAnsi="Verdana" w:cstheme="minorHAnsi"/>
                <w:b/>
                <w:color w:val="FF0000"/>
                <w:sz w:val="20"/>
              </w:rPr>
              <w:t>160 Hz</w:t>
            </w:r>
            <w:r w:rsidRPr="003E01C2">
              <w:rPr>
                <w:rFonts w:ascii="Verdana" w:hAnsi="Verdana" w:cstheme="minorHAnsi"/>
                <w:color w:val="FF0000"/>
                <w:sz w:val="20"/>
              </w:rPr>
              <w:t xml:space="preserve"> </w:t>
            </w:r>
            <w:r w:rsidRPr="003E01C2">
              <w:rPr>
                <w:rFonts w:ascii="Verdana" w:hAnsi="Verdana" w:cstheme="minorHAnsi"/>
                <w:sz w:val="20"/>
              </w:rPr>
              <w:t>for all lengths specified</w:t>
            </w:r>
          </w:p>
        </w:tc>
        <w:tc>
          <w:tcPr>
            <w:tcW w:w="3225" w:type="dxa"/>
            <w:vAlign w:val="center"/>
          </w:tcPr>
          <w:p w:rsidR="00F6602E" w:rsidRPr="003E01C2" w:rsidRDefault="00F6602E" w:rsidP="00F6602E">
            <w:pPr>
              <w:spacing w:after="0"/>
              <w:ind w:left="-45"/>
              <w:jc w:val="center"/>
              <w:rPr>
                <w:rFonts w:ascii="Verdana" w:hAnsi="Verdana"/>
                <w:sz w:val="20"/>
              </w:rPr>
            </w:pPr>
            <w:r w:rsidRPr="003E01C2">
              <w:rPr>
                <w:rFonts w:ascii="Verdana" w:hAnsi="Verdana" w:cstheme="minorHAnsi"/>
                <w:sz w:val="20"/>
              </w:rPr>
              <w:t xml:space="preserve">&gt; </w:t>
            </w:r>
            <w:r w:rsidRPr="003E01C2">
              <w:rPr>
                <w:rFonts w:ascii="Verdana" w:hAnsi="Verdana" w:cstheme="minorHAnsi"/>
                <w:b/>
                <w:color w:val="FF0000"/>
                <w:sz w:val="20"/>
              </w:rPr>
              <w:t>100 Hz</w:t>
            </w:r>
            <w:r w:rsidRPr="003E01C2">
              <w:rPr>
                <w:rFonts w:ascii="Verdana" w:hAnsi="Verdana" w:cstheme="minorHAnsi"/>
                <w:color w:val="FF0000"/>
                <w:sz w:val="20"/>
              </w:rPr>
              <w:t xml:space="preserve"> </w:t>
            </w:r>
            <w:r w:rsidRPr="003E01C2">
              <w:rPr>
                <w:rFonts w:ascii="Verdana" w:hAnsi="Verdana" w:cstheme="minorHAnsi"/>
                <w:sz w:val="20"/>
              </w:rPr>
              <w:t>for all lengths specified</w:t>
            </w:r>
          </w:p>
        </w:tc>
      </w:tr>
    </w:tbl>
    <w:p w:rsidR="00F6602E" w:rsidRDefault="00F6602E" w:rsidP="000660EC">
      <w:pPr>
        <w:spacing w:after="0"/>
        <w:ind w:left="0"/>
        <w:rPr>
          <w:rFonts w:ascii="Verdana" w:hAnsi="Verdana" w:cs="Calibri"/>
          <w:sz w:val="20"/>
          <w:szCs w:val="20"/>
        </w:rPr>
      </w:pPr>
    </w:p>
    <w:p w:rsidR="00F6602E" w:rsidRDefault="00E97BCE" w:rsidP="000660EC">
      <w:pPr>
        <w:spacing w:after="0"/>
        <w:ind w:left="0"/>
        <w:rPr>
          <w:rFonts w:ascii="Verdana" w:hAnsi="Verdana" w:cs="Calibri"/>
          <w:sz w:val="20"/>
          <w:szCs w:val="20"/>
        </w:rPr>
      </w:pPr>
      <w:r>
        <w:rPr>
          <w:rFonts w:ascii="Verdana" w:hAnsi="Verdana" w:cs="Calibri"/>
          <w:sz w:val="20"/>
          <w:szCs w:val="20"/>
        </w:rPr>
        <w:t>Vzhledem ke změně zadávacích podmínek se zadavatel rozhodl</w:t>
      </w:r>
      <w:r w:rsidR="00CA6836">
        <w:rPr>
          <w:rFonts w:ascii="Verdana" w:hAnsi="Verdana" w:cs="Calibri"/>
          <w:sz w:val="20"/>
          <w:szCs w:val="20"/>
        </w:rPr>
        <w:t xml:space="preserve"> prodloužit lhůtu pro podání nabídek o celou původní lhůtu 15ti dnů. </w:t>
      </w:r>
      <w:r w:rsidR="00CA6836" w:rsidRPr="00CA6836">
        <w:rPr>
          <w:rFonts w:ascii="Verdana" w:hAnsi="Verdana" w:cs="Calibri"/>
          <w:b/>
          <w:sz w:val="20"/>
          <w:szCs w:val="20"/>
        </w:rPr>
        <w:t xml:space="preserve">Nový termín pro podání nabídek </w:t>
      </w:r>
      <w:r w:rsidR="0081214C" w:rsidRPr="00CA6836">
        <w:rPr>
          <w:rFonts w:ascii="Verdana" w:hAnsi="Verdana" w:cs="Calibri"/>
          <w:b/>
          <w:sz w:val="20"/>
          <w:szCs w:val="20"/>
        </w:rPr>
        <w:t>je 22.5.2019</w:t>
      </w:r>
      <w:r w:rsidR="00CA6836" w:rsidRPr="00CA6836">
        <w:rPr>
          <w:rFonts w:ascii="Verdana" w:hAnsi="Verdana" w:cs="Calibri"/>
          <w:b/>
          <w:sz w:val="20"/>
          <w:szCs w:val="20"/>
        </w:rPr>
        <w:t xml:space="preserve">. </w:t>
      </w:r>
    </w:p>
    <w:p w:rsidR="00F6602E" w:rsidRPr="00B33EDC" w:rsidRDefault="00F6602E" w:rsidP="000660EC">
      <w:pPr>
        <w:spacing w:after="0"/>
        <w:ind w:left="0"/>
        <w:rPr>
          <w:rFonts w:ascii="Verdana" w:hAnsi="Verdana" w:cs="Calibri"/>
          <w:sz w:val="20"/>
          <w:szCs w:val="20"/>
        </w:rPr>
      </w:pPr>
    </w:p>
    <w:sectPr w:rsidR="00F6602E" w:rsidRPr="00B33EDC"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7F" w:rsidRDefault="008C037F" w:rsidP="00B237C7">
      <w:r>
        <w:separator/>
      </w:r>
    </w:p>
  </w:endnote>
  <w:endnote w:type="continuationSeparator" w:id="0">
    <w:p w:rsidR="008C037F" w:rsidRDefault="008C037F" w:rsidP="00B237C7">
      <w:r>
        <w:continuationSeparator/>
      </w:r>
    </w:p>
  </w:endnote>
  <w:endnote w:type="continuationNotice" w:id="1">
    <w:p w:rsidR="008C037F" w:rsidRDefault="008C0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B13CCB" w:rsidTr="00E55C24">
      <w:tc>
        <w:tcPr>
          <w:tcW w:w="3095" w:type="dxa"/>
          <w:vAlign w:val="center"/>
        </w:tcPr>
        <w:p w:rsidR="00B13CCB" w:rsidRDefault="00B13CCB" w:rsidP="00E55C24">
          <w:pPr>
            <w:pStyle w:val="Zpat"/>
            <w:ind w:left="0"/>
          </w:pPr>
        </w:p>
      </w:tc>
      <w:tc>
        <w:tcPr>
          <w:tcW w:w="3095" w:type="dxa"/>
          <w:vAlign w:val="center"/>
        </w:tcPr>
        <w:p w:rsidR="00B13CCB" w:rsidRPr="0099593C" w:rsidRDefault="00B13CCB"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930F2B">
            <w:rPr>
              <w:rStyle w:val="slostrnky"/>
              <w:noProof/>
            </w:rPr>
            <w:t>2</w:t>
          </w:r>
          <w:r>
            <w:rPr>
              <w:rStyle w:val="slostrnky"/>
            </w:rPr>
            <w:fldChar w:fldCharType="end"/>
          </w:r>
          <w:r>
            <w:rPr>
              <w:rStyle w:val="slostrnky"/>
            </w:rPr>
            <w:t xml:space="preserve"> -</w:t>
          </w:r>
        </w:p>
      </w:tc>
      <w:tc>
        <w:tcPr>
          <w:tcW w:w="3096" w:type="dxa"/>
          <w:vAlign w:val="center"/>
        </w:tcPr>
        <w:p w:rsidR="00B13CCB" w:rsidRDefault="00B13CCB" w:rsidP="00E55C24">
          <w:pPr>
            <w:pStyle w:val="Zpat"/>
            <w:ind w:left="0"/>
            <w:jc w:val="right"/>
          </w:pPr>
        </w:p>
      </w:tc>
    </w:tr>
  </w:tbl>
  <w:p w:rsidR="00B13CCB" w:rsidRDefault="00B13CCB"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7F" w:rsidRDefault="008C037F" w:rsidP="00B237C7">
      <w:r>
        <w:separator/>
      </w:r>
    </w:p>
  </w:footnote>
  <w:footnote w:type="continuationSeparator" w:id="0">
    <w:p w:rsidR="008C037F" w:rsidRDefault="008C037F" w:rsidP="00B237C7">
      <w:r>
        <w:continuationSeparator/>
      </w:r>
    </w:p>
  </w:footnote>
  <w:footnote w:type="continuationNotice" w:id="1">
    <w:p w:rsidR="008C037F" w:rsidRDefault="008C0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CB" w:rsidRPr="001F3771" w:rsidRDefault="00CD1CDC" w:rsidP="001F3771">
    <w:pPr>
      <w:pStyle w:val="Zhlav"/>
    </w:pPr>
    <w:r>
      <w:rPr>
        <w:noProof/>
        <w:lang w:val="cs-CZ" w:eastAsia="cs-CZ"/>
      </w:rPr>
      <w:drawing>
        <wp:anchor distT="0" distB="0" distL="114300" distR="114300" simplePos="0" relativeHeight="251659264" behindDoc="1" locked="0" layoutInCell="1" allowOverlap="1" wp14:anchorId="2B509AAF" wp14:editId="4E4AF5D4">
          <wp:simplePos x="0" y="0"/>
          <wp:positionH relativeFrom="column">
            <wp:posOffset>369570</wp:posOffset>
          </wp:positionH>
          <wp:positionV relativeFrom="paragraph">
            <wp:posOffset>-797560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D207E1B"/>
    <w:multiLevelType w:val="multilevel"/>
    <w:tmpl w:val="44FE16FC"/>
    <w:lvl w:ilvl="0">
      <w:start w:val="9"/>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7277486"/>
    <w:multiLevelType w:val="hybridMultilevel"/>
    <w:tmpl w:val="5CB4CAF4"/>
    <w:lvl w:ilvl="0" w:tplc="918E6AA0">
      <w:start w:val="1"/>
      <w:numFmt w:val="decimal"/>
      <w:lvlText w:val="%1)"/>
      <w:lvlJc w:val="left"/>
      <w:pPr>
        <w:ind w:left="1854" w:hanging="360"/>
      </w:pPr>
      <w:rPr>
        <w:rFonts w:asciiTheme="minorHAnsi" w:eastAsia="Times New Roman" w:hAnsiTheme="minorHAnsi" w:cs="Calibri"/>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0755569"/>
    <w:multiLevelType w:val="hybridMultilevel"/>
    <w:tmpl w:val="15C0D5D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55CE1011"/>
    <w:multiLevelType w:val="hybridMultilevel"/>
    <w:tmpl w:val="2F88C454"/>
    <w:lvl w:ilvl="0" w:tplc="823E09D2">
      <w:start w:val="1"/>
      <w:numFmt w:val="lowerLetter"/>
      <w:pStyle w:val="Nadpis4"/>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470C58"/>
    <w:multiLevelType w:val="hybridMultilevel"/>
    <w:tmpl w:val="B5D64132"/>
    <w:lvl w:ilvl="0" w:tplc="6952D256">
      <w:start w:val="1"/>
      <w:numFmt w:val="lowerLetter"/>
      <w:lvlText w:val="%1)"/>
      <w:lvlJc w:val="left"/>
      <w:pPr>
        <w:ind w:left="7164" w:hanging="360"/>
      </w:pPr>
      <w:rPr>
        <w:rFonts w:cstheme="minorBidi" w:hint="default"/>
        <w:i/>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8"/>
  </w:num>
  <w:num w:numId="2">
    <w:abstractNumId w:val="7"/>
  </w:num>
  <w:num w:numId="3">
    <w:abstractNumId w:val="17"/>
  </w:num>
  <w:num w:numId="4">
    <w:abstractNumId w:val="16"/>
  </w:num>
  <w:num w:numId="5">
    <w:abstractNumId w:val="5"/>
  </w:num>
  <w:num w:numId="6">
    <w:abstractNumId w:val="2"/>
  </w:num>
  <w:num w:numId="7">
    <w:abstractNumId w:val="3"/>
  </w:num>
  <w:num w:numId="8">
    <w:abstractNumId w:val="10"/>
  </w:num>
  <w:num w:numId="9">
    <w:abstractNumId w:val="0"/>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8"/>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9"/>
  </w:num>
  <w:num w:numId="23">
    <w:abstractNumId w:val="11"/>
  </w:num>
  <w:num w:numId="24">
    <w:abstractNumId w:val="6"/>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AF7"/>
    <w:rsid w:val="00006A59"/>
    <w:rsid w:val="000212BD"/>
    <w:rsid w:val="000261FD"/>
    <w:rsid w:val="00027872"/>
    <w:rsid w:val="00032B6D"/>
    <w:rsid w:val="00045D85"/>
    <w:rsid w:val="00045E92"/>
    <w:rsid w:val="0005236E"/>
    <w:rsid w:val="00053251"/>
    <w:rsid w:val="0005364F"/>
    <w:rsid w:val="00053C55"/>
    <w:rsid w:val="000570A3"/>
    <w:rsid w:val="000603DB"/>
    <w:rsid w:val="00061061"/>
    <w:rsid w:val="00065965"/>
    <w:rsid w:val="000660EC"/>
    <w:rsid w:val="000662D0"/>
    <w:rsid w:val="000722A5"/>
    <w:rsid w:val="0008070A"/>
    <w:rsid w:val="00081497"/>
    <w:rsid w:val="0008407A"/>
    <w:rsid w:val="00084B82"/>
    <w:rsid w:val="0008745F"/>
    <w:rsid w:val="000949E8"/>
    <w:rsid w:val="000960E6"/>
    <w:rsid w:val="000A1D10"/>
    <w:rsid w:val="000A329C"/>
    <w:rsid w:val="000A62E7"/>
    <w:rsid w:val="000A7480"/>
    <w:rsid w:val="000B2219"/>
    <w:rsid w:val="000B2A48"/>
    <w:rsid w:val="000B313B"/>
    <w:rsid w:val="000B40E9"/>
    <w:rsid w:val="000B6932"/>
    <w:rsid w:val="000B7CF1"/>
    <w:rsid w:val="000C1976"/>
    <w:rsid w:val="000C349F"/>
    <w:rsid w:val="000D24F7"/>
    <w:rsid w:val="000D490A"/>
    <w:rsid w:val="000D73B4"/>
    <w:rsid w:val="000E1722"/>
    <w:rsid w:val="000E2B2C"/>
    <w:rsid w:val="000E4646"/>
    <w:rsid w:val="000E4772"/>
    <w:rsid w:val="000F55F1"/>
    <w:rsid w:val="000F7CB8"/>
    <w:rsid w:val="001003B5"/>
    <w:rsid w:val="0010516C"/>
    <w:rsid w:val="001054C6"/>
    <w:rsid w:val="00106459"/>
    <w:rsid w:val="00106874"/>
    <w:rsid w:val="00112F7C"/>
    <w:rsid w:val="0011666B"/>
    <w:rsid w:val="001175BE"/>
    <w:rsid w:val="00120B84"/>
    <w:rsid w:val="00122952"/>
    <w:rsid w:val="0012594C"/>
    <w:rsid w:val="0013285A"/>
    <w:rsid w:val="00133329"/>
    <w:rsid w:val="001411A6"/>
    <w:rsid w:val="0014305F"/>
    <w:rsid w:val="001452F2"/>
    <w:rsid w:val="0015007F"/>
    <w:rsid w:val="0015209A"/>
    <w:rsid w:val="00152FEA"/>
    <w:rsid w:val="00155FA7"/>
    <w:rsid w:val="00156B33"/>
    <w:rsid w:val="001571BE"/>
    <w:rsid w:val="00161616"/>
    <w:rsid w:val="00164E9F"/>
    <w:rsid w:val="001650E5"/>
    <w:rsid w:val="00165EA0"/>
    <w:rsid w:val="00165EB8"/>
    <w:rsid w:val="00166CFD"/>
    <w:rsid w:val="00177409"/>
    <w:rsid w:val="00177E9D"/>
    <w:rsid w:val="00180F67"/>
    <w:rsid w:val="0018200D"/>
    <w:rsid w:val="00182041"/>
    <w:rsid w:val="00184459"/>
    <w:rsid w:val="00187A26"/>
    <w:rsid w:val="00187E1E"/>
    <w:rsid w:val="00190726"/>
    <w:rsid w:val="0019344C"/>
    <w:rsid w:val="00194D9A"/>
    <w:rsid w:val="00195CFB"/>
    <w:rsid w:val="001A1626"/>
    <w:rsid w:val="001A1EEF"/>
    <w:rsid w:val="001A3AE3"/>
    <w:rsid w:val="001A4A2D"/>
    <w:rsid w:val="001B076C"/>
    <w:rsid w:val="001B5B2F"/>
    <w:rsid w:val="001B60F3"/>
    <w:rsid w:val="001B63A4"/>
    <w:rsid w:val="001C0A19"/>
    <w:rsid w:val="001C46F5"/>
    <w:rsid w:val="001C6EFF"/>
    <w:rsid w:val="001D5833"/>
    <w:rsid w:val="001E053A"/>
    <w:rsid w:val="001E07C8"/>
    <w:rsid w:val="001E31D8"/>
    <w:rsid w:val="001E7858"/>
    <w:rsid w:val="001F0C41"/>
    <w:rsid w:val="001F3771"/>
    <w:rsid w:val="001F40A5"/>
    <w:rsid w:val="00202791"/>
    <w:rsid w:val="00204A30"/>
    <w:rsid w:val="0020519E"/>
    <w:rsid w:val="0021025B"/>
    <w:rsid w:val="0021083B"/>
    <w:rsid w:val="002116E3"/>
    <w:rsid w:val="00212815"/>
    <w:rsid w:val="00212F80"/>
    <w:rsid w:val="0021614F"/>
    <w:rsid w:val="002174BC"/>
    <w:rsid w:val="002240BD"/>
    <w:rsid w:val="002259FE"/>
    <w:rsid w:val="00226655"/>
    <w:rsid w:val="002347B4"/>
    <w:rsid w:val="00240247"/>
    <w:rsid w:val="00241368"/>
    <w:rsid w:val="00245567"/>
    <w:rsid w:val="002519C4"/>
    <w:rsid w:val="0026493C"/>
    <w:rsid w:val="00265AE8"/>
    <w:rsid w:val="00266303"/>
    <w:rsid w:val="0027106E"/>
    <w:rsid w:val="00272E8E"/>
    <w:rsid w:val="002732C0"/>
    <w:rsid w:val="00273F9B"/>
    <w:rsid w:val="00274F28"/>
    <w:rsid w:val="00275936"/>
    <w:rsid w:val="00281430"/>
    <w:rsid w:val="00294C7C"/>
    <w:rsid w:val="00296C5F"/>
    <w:rsid w:val="00296D46"/>
    <w:rsid w:val="00297FA1"/>
    <w:rsid w:val="002A1955"/>
    <w:rsid w:val="002A72ED"/>
    <w:rsid w:val="002A7EE6"/>
    <w:rsid w:val="002B0F46"/>
    <w:rsid w:val="002B3D80"/>
    <w:rsid w:val="002B5444"/>
    <w:rsid w:val="002B6A34"/>
    <w:rsid w:val="002B7263"/>
    <w:rsid w:val="002B7EF4"/>
    <w:rsid w:val="002C6A69"/>
    <w:rsid w:val="002C7774"/>
    <w:rsid w:val="002D1183"/>
    <w:rsid w:val="002D1D92"/>
    <w:rsid w:val="002D64BA"/>
    <w:rsid w:val="002E1332"/>
    <w:rsid w:val="002E1AE9"/>
    <w:rsid w:val="002E3EB8"/>
    <w:rsid w:val="002E54DD"/>
    <w:rsid w:val="002F3DC3"/>
    <w:rsid w:val="002F4A0E"/>
    <w:rsid w:val="00301D8D"/>
    <w:rsid w:val="003041F7"/>
    <w:rsid w:val="00312A0A"/>
    <w:rsid w:val="0031453C"/>
    <w:rsid w:val="00320CE0"/>
    <w:rsid w:val="00321CE4"/>
    <w:rsid w:val="0032522A"/>
    <w:rsid w:val="003335ED"/>
    <w:rsid w:val="00333DDF"/>
    <w:rsid w:val="00337504"/>
    <w:rsid w:val="00350625"/>
    <w:rsid w:val="0035105D"/>
    <w:rsid w:val="003544FA"/>
    <w:rsid w:val="00360275"/>
    <w:rsid w:val="003639AF"/>
    <w:rsid w:val="00365860"/>
    <w:rsid w:val="00372938"/>
    <w:rsid w:val="003743D4"/>
    <w:rsid w:val="0037513E"/>
    <w:rsid w:val="00377222"/>
    <w:rsid w:val="00377457"/>
    <w:rsid w:val="00380B4B"/>
    <w:rsid w:val="00381A5C"/>
    <w:rsid w:val="0038268E"/>
    <w:rsid w:val="00382A07"/>
    <w:rsid w:val="00382B55"/>
    <w:rsid w:val="00385FF1"/>
    <w:rsid w:val="00387715"/>
    <w:rsid w:val="0039028A"/>
    <w:rsid w:val="003920B1"/>
    <w:rsid w:val="0039251A"/>
    <w:rsid w:val="00394656"/>
    <w:rsid w:val="003A174A"/>
    <w:rsid w:val="003A629B"/>
    <w:rsid w:val="003B2509"/>
    <w:rsid w:val="003B507E"/>
    <w:rsid w:val="003B5616"/>
    <w:rsid w:val="003B649B"/>
    <w:rsid w:val="003B6A78"/>
    <w:rsid w:val="003C17A8"/>
    <w:rsid w:val="003C4CBB"/>
    <w:rsid w:val="003D1668"/>
    <w:rsid w:val="003D4B4E"/>
    <w:rsid w:val="003D4C32"/>
    <w:rsid w:val="003E1513"/>
    <w:rsid w:val="003F2155"/>
    <w:rsid w:val="003F3207"/>
    <w:rsid w:val="003F34FE"/>
    <w:rsid w:val="003F39A7"/>
    <w:rsid w:val="003F42E0"/>
    <w:rsid w:val="003F61B9"/>
    <w:rsid w:val="003F6D29"/>
    <w:rsid w:val="003F7141"/>
    <w:rsid w:val="00402344"/>
    <w:rsid w:val="0040715C"/>
    <w:rsid w:val="0042298E"/>
    <w:rsid w:val="004268C6"/>
    <w:rsid w:val="004279A5"/>
    <w:rsid w:val="004324E9"/>
    <w:rsid w:val="00437130"/>
    <w:rsid w:val="0043727B"/>
    <w:rsid w:val="004430F8"/>
    <w:rsid w:val="0045063A"/>
    <w:rsid w:val="00453647"/>
    <w:rsid w:val="00453DCC"/>
    <w:rsid w:val="00462CAD"/>
    <w:rsid w:val="0046499E"/>
    <w:rsid w:val="00466D06"/>
    <w:rsid w:val="004700D9"/>
    <w:rsid w:val="004758A8"/>
    <w:rsid w:val="0048122F"/>
    <w:rsid w:val="004837D3"/>
    <w:rsid w:val="0048433D"/>
    <w:rsid w:val="00486414"/>
    <w:rsid w:val="004B1042"/>
    <w:rsid w:val="004B2604"/>
    <w:rsid w:val="004B67AE"/>
    <w:rsid w:val="004B7AB9"/>
    <w:rsid w:val="004B7BBB"/>
    <w:rsid w:val="004C10C5"/>
    <w:rsid w:val="004C5CE0"/>
    <w:rsid w:val="004D031E"/>
    <w:rsid w:val="004E0C0B"/>
    <w:rsid w:val="004F0B6D"/>
    <w:rsid w:val="004F16FE"/>
    <w:rsid w:val="00503328"/>
    <w:rsid w:val="005035D3"/>
    <w:rsid w:val="00520D9A"/>
    <w:rsid w:val="00521600"/>
    <w:rsid w:val="00522B47"/>
    <w:rsid w:val="005239CE"/>
    <w:rsid w:val="00526B24"/>
    <w:rsid w:val="0053076B"/>
    <w:rsid w:val="0053118C"/>
    <w:rsid w:val="005360C7"/>
    <w:rsid w:val="0053751C"/>
    <w:rsid w:val="005379D2"/>
    <w:rsid w:val="00541FD7"/>
    <w:rsid w:val="00543549"/>
    <w:rsid w:val="00544606"/>
    <w:rsid w:val="00544A54"/>
    <w:rsid w:val="00550CD9"/>
    <w:rsid w:val="00552348"/>
    <w:rsid w:val="005556BF"/>
    <w:rsid w:val="0055665F"/>
    <w:rsid w:val="005647F8"/>
    <w:rsid w:val="0056757C"/>
    <w:rsid w:val="0057136A"/>
    <w:rsid w:val="005749ED"/>
    <w:rsid w:val="00575B4F"/>
    <w:rsid w:val="0058459D"/>
    <w:rsid w:val="00590F84"/>
    <w:rsid w:val="00595656"/>
    <w:rsid w:val="005A78F6"/>
    <w:rsid w:val="005A798A"/>
    <w:rsid w:val="005B25F2"/>
    <w:rsid w:val="005B4244"/>
    <w:rsid w:val="005C02E9"/>
    <w:rsid w:val="005C7C64"/>
    <w:rsid w:val="005D0845"/>
    <w:rsid w:val="005D2D0E"/>
    <w:rsid w:val="005D3E89"/>
    <w:rsid w:val="005D4614"/>
    <w:rsid w:val="005D7130"/>
    <w:rsid w:val="005E3067"/>
    <w:rsid w:val="005E6922"/>
    <w:rsid w:val="005F209A"/>
    <w:rsid w:val="005F3FE6"/>
    <w:rsid w:val="00604816"/>
    <w:rsid w:val="006059EB"/>
    <w:rsid w:val="00612930"/>
    <w:rsid w:val="0061341C"/>
    <w:rsid w:val="006142E1"/>
    <w:rsid w:val="00615585"/>
    <w:rsid w:val="00620190"/>
    <w:rsid w:val="00623AC1"/>
    <w:rsid w:val="00627703"/>
    <w:rsid w:val="00630B1B"/>
    <w:rsid w:val="006366E4"/>
    <w:rsid w:val="00640978"/>
    <w:rsid w:val="006431C6"/>
    <w:rsid w:val="00644EF8"/>
    <w:rsid w:val="00652C10"/>
    <w:rsid w:val="006578FA"/>
    <w:rsid w:val="006633AF"/>
    <w:rsid w:val="00666BC3"/>
    <w:rsid w:val="00670E0A"/>
    <w:rsid w:val="0067561B"/>
    <w:rsid w:val="0067656D"/>
    <w:rsid w:val="006768E3"/>
    <w:rsid w:val="00677DFF"/>
    <w:rsid w:val="00684F2E"/>
    <w:rsid w:val="006879A3"/>
    <w:rsid w:val="0069332A"/>
    <w:rsid w:val="0069606B"/>
    <w:rsid w:val="006A1290"/>
    <w:rsid w:val="006A5D98"/>
    <w:rsid w:val="006B157B"/>
    <w:rsid w:val="006B2309"/>
    <w:rsid w:val="006B4573"/>
    <w:rsid w:val="006B65AE"/>
    <w:rsid w:val="006C2B4E"/>
    <w:rsid w:val="006C2FC0"/>
    <w:rsid w:val="006C42D5"/>
    <w:rsid w:val="006C5B0F"/>
    <w:rsid w:val="006D011B"/>
    <w:rsid w:val="006D07B0"/>
    <w:rsid w:val="006D1F8F"/>
    <w:rsid w:val="006D3C93"/>
    <w:rsid w:val="006D695A"/>
    <w:rsid w:val="006F6C77"/>
    <w:rsid w:val="00700096"/>
    <w:rsid w:val="0070513A"/>
    <w:rsid w:val="0071294E"/>
    <w:rsid w:val="00712F3B"/>
    <w:rsid w:val="00715957"/>
    <w:rsid w:val="00721716"/>
    <w:rsid w:val="00722526"/>
    <w:rsid w:val="00726A76"/>
    <w:rsid w:val="00735D3C"/>
    <w:rsid w:val="00740320"/>
    <w:rsid w:val="00741EBE"/>
    <w:rsid w:val="00742E90"/>
    <w:rsid w:val="00743224"/>
    <w:rsid w:val="007451E7"/>
    <w:rsid w:val="00745CE1"/>
    <w:rsid w:val="00746FDD"/>
    <w:rsid w:val="0075119A"/>
    <w:rsid w:val="007572CC"/>
    <w:rsid w:val="0076043D"/>
    <w:rsid w:val="00770621"/>
    <w:rsid w:val="007721F0"/>
    <w:rsid w:val="00775990"/>
    <w:rsid w:val="00775FCE"/>
    <w:rsid w:val="00777087"/>
    <w:rsid w:val="00777D89"/>
    <w:rsid w:val="00780FAA"/>
    <w:rsid w:val="00782D9D"/>
    <w:rsid w:val="00785E82"/>
    <w:rsid w:val="007A5E06"/>
    <w:rsid w:val="007A5FBA"/>
    <w:rsid w:val="007A610F"/>
    <w:rsid w:val="007B1657"/>
    <w:rsid w:val="007B53EC"/>
    <w:rsid w:val="007C082F"/>
    <w:rsid w:val="007C0831"/>
    <w:rsid w:val="007C6F8B"/>
    <w:rsid w:val="007D2393"/>
    <w:rsid w:val="007D6313"/>
    <w:rsid w:val="007D7058"/>
    <w:rsid w:val="007E53D4"/>
    <w:rsid w:val="007F0235"/>
    <w:rsid w:val="007F0D3E"/>
    <w:rsid w:val="007F43CE"/>
    <w:rsid w:val="007F6E6C"/>
    <w:rsid w:val="00802189"/>
    <w:rsid w:val="00802767"/>
    <w:rsid w:val="00806F24"/>
    <w:rsid w:val="00810056"/>
    <w:rsid w:val="00811871"/>
    <w:rsid w:val="0081214C"/>
    <w:rsid w:val="008122B6"/>
    <w:rsid w:val="00815755"/>
    <w:rsid w:val="00826A9D"/>
    <w:rsid w:val="00831741"/>
    <w:rsid w:val="0083471A"/>
    <w:rsid w:val="0083544D"/>
    <w:rsid w:val="00837F9D"/>
    <w:rsid w:val="00840083"/>
    <w:rsid w:val="008423B7"/>
    <w:rsid w:val="00847B4F"/>
    <w:rsid w:val="00851382"/>
    <w:rsid w:val="00851E20"/>
    <w:rsid w:val="00855CFD"/>
    <w:rsid w:val="00855FDE"/>
    <w:rsid w:val="00862210"/>
    <w:rsid w:val="00862299"/>
    <w:rsid w:val="00863F2E"/>
    <w:rsid w:val="008641C7"/>
    <w:rsid w:val="00865BFB"/>
    <w:rsid w:val="00877ED9"/>
    <w:rsid w:val="00882463"/>
    <w:rsid w:val="00886F1E"/>
    <w:rsid w:val="0089020A"/>
    <w:rsid w:val="0089417F"/>
    <w:rsid w:val="00897BD0"/>
    <w:rsid w:val="008A01FC"/>
    <w:rsid w:val="008A0720"/>
    <w:rsid w:val="008A34A5"/>
    <w:rsid w:val="008A5804"/>
    <w:rsid w:val="008B24B7"/>
    <w:rsid w:val="008B4EC7"/>
    <w:rsid w:val="008B5380"/>
    <w:rsid w:val="008B6266"/>
    <w:rsid w:val="008B6CD1"/>
    <w:rsid w:val="008C037F"/>
    <w:rsid w:val="008C04C2"/>
    <w:rsid w:val="008C3774"/>
    <w:rsid w:val="008C45C2"/>
    <w:rsid w:val="008C5D4C"/>
    <w:rsid w:val="008C714A"/>
    <w:rsid w:val="008D2997"/>
    <w:rsid w:val="008D4528"/>
    <w:rsid w:val="008D7449"/>
    <w:rsid w:val="008E098A"/>
    <w:rsid w:val="008E381A"/>
    <w:rsid w:val="008F2791"/>
    <w:rsid w:val="008F2D46"/>
    <w:rsid w:val="008F3747"/>
    <w:rsid w:val="009025B9"/>
    <w:rsid w:val="00910F1E"/>
    <w:rsid w:val="00926288"/>
    <w:rsid w:val="00930F2B"/>
    <w:rsid w:val="00931B6A"/>
    <w:rsid w:val="009447AE"/>
    <w:rsid w:val="00944D19"/>
    <w:rsid w:val="009462ED"/>
    <w:rsid w:val="00950F29"/>
    <w:rsid w:val="00952ECA"/>
    <w:rsid w:val="00953152"/>
    <w:rsid w:val="00957783"/>
    <w:rsid w:val="00960259"/>
    <w:rsid w:val="00960EE9"/>
    <w:rsid w:val="0096138F"/>
    <w:rsid w:val="0096446B"/>
    <w:rsid w:val="00966297"/>
    <w:rsid w:val="00972EBD"/>
    <w:rsid w:val="00976A6B"/>
    <w:rsid w:val="009850A6"/>
    <w:rsid w:val="009852F0"/>
    <w:rsid w:val="00991CC5"/>
    <w:rsid w:val="00994302"/>
    <w:rsid w:val="00995E39"/>
    <w:rsid w:val="0099714C"/>
    <w:rsid w:val="0099797B"/>
    <w:rsid w:val="009A1F12"/>
    <w:rsid w:val="009A2160"/>
    <w:rsid w:val="009A5EDB"/>
    <w:rsid w:val="009A7BEE"/>
    <w:rsid w:val="009B1AE2"/>
    <w:rsid w:val="009B7AF1"/>
    <w:rsid w:val="009B7EB7"/>
    <w:rsid w:val="009C0DD6"/>
    <w:rsid w:val="009D5CD9"/>
    <w:rsid w:val="009E2DC4"/>
    <w:rsid w:val="009E2EAC"/>
    <w:rsid w:val="009E3BFD"/>
    <w:rsid w:val="009F13F3"/>
    <w:rsid w:val="009F1ABF"/>
    <w:rsid w:val="009F5199"/>
    <w:rsid w:val="00A0358F"/>
    <w:rsid w:val="00A03EC2"/>
    <w:rsid w:val="00A06FE1"/>
    <w:rsid w:val="00A109B9"/>
    <w:rsid w:val="00A13302"/>
    <w:rsid w:val="00A13F98"/>
    <w:rsid w:val="00A2256D"/>
    <w:rsid w:val="00A2536F"/>
    <w:rsid w:val="00A37C99"/>
    <w:rsid w:val="00A4019F"/>
    <w:rsid w:val="00A41890"/>
    <w:rsid w:val="00A43C65"/>
    <w:rsid w:val="00A4573E"/>
    <w:rsid w:val="00A520CB"/>
    <w:rsid w:val="00A52828"/>
    <w:rsid w:val="00A53D34"/>
    <w:rsid w:val="00A54D78"/>
    <w:rsid w:val="00A56575"/>
    <w:rsid w:val="00A61CCD"/>
    <w:rsid w:val="00A700D8"/>
    <w:rsid w:val="00A75670"/>
    <w:rsid w:val="00A837A5"/>
    <w:rsid w:val="00A926C9"/>
    <w:rsid w:val="00A96632"/>
    <w:rsid w:val="00AA0266"/>
    <w:rsid w:val="00AB080D"/>
    <w:rsid w:val="00AB1441"/>
    <w:rsid w:val="00AB4B5F"/>
    <w:rsid w:val="00AB4F65"/>
    <w:rsid w:val="00AB6446"/>
    <w:rsid w:val="00AC64C2"/>
    <w:rsid w:val="00AC7231"/>
    <w:rsid w:val="00AD4C64"/>
    <w:rsid w:val="00AD6034"/>
    <w:rsid w:val="00AD6533"/>
    <w:rsid w:val="00AE111F"/>
    <w:rsid w:val="00AF04AB"/>
    <w:rsid w:val="00AF4414"/>
    <w:rsid w:val="00AF65A3"/>
    <w:rsid w:val="00AF6A28"/>
    <w:rsid w:val="00AF781E"/>
    <w:rsid w:val="00B00D9F"/>
    <w:rsid w:val="00B01CF2"/>
    <w:rsid w:val="00B04309"/>
    <w:rsid w:val="00B110A6"/>
    <w:rsid w:val="00B1341C"/>
    <w:rsid w:val="00B13CCB"/>
    <w:rsid w:val="00B13D99"/>
    <w:rsid w:val="00B157BF"/>
    <w:rsid w:val="00B237C7"/>
    <w:rsid w:val="00B25908"/>
    <w:rsid w:val="00B36EB0"/>
    <w:rsid w:val="00B46281"/>
    <w:rsid w:val="00B513B7"/>
    <w:rsid w:val="00B516DA"/>
    <w:rsid w:val="00B528E4"/>
    <w:rsid w:val="00B55FF0"/>
    <w:rsid w:val="00B60B1C"/>
    <w:rsid w:val="00B60CCF"/>
    <w:rsid w:val="00B827FA"/>
    <w:rsid w:val="00B82947"/>
    <w:rsid w:val="00B86667"/>
    <w:rsid w:val="00B912AD"/>
    <w:rsid w:val="00B91A77"/>
    <w:rsid w:val="00B929E0"/>
    <w:rsid w:val="00B92D4D"/>
    <w:rsid w:val="00B96095"/>
    <w:rsid w:val="00BA47FF"/>
    <w:rsid w:val="00BA6870"/>
    <w:rsid w:val="00BB3D52"/>
    <w:rsid w:val="00BC090B"/>
    <w:rsid w:val="00BC3C24"/>
    <w:rsid w:val="00BC762C"/>
    <w:rsid w:val="00BD0890"/>
    <w:rsid w:val="00BD1860"/>
    <w:rsid w:val="00BD1EBA"/>
    <w:rsid w:val="00BD7951"/>
    <w:rsid w:val="00BE113F"/>
    <w:rsid w:val="00BF0CC2"/>
    <w:rsid w:val="00C00DDD"/>
    <w:rsid w:val="00C01298"/>
    <w:rsid w:val="00C01557"/>
    <w:rsid w:val="00C02459"/>
    <w:rsid w:val="00C04DBD"/>
    <w:rsid w:val="00C06627"/>
    <w:rsid w:val="00C10565"/>
    <w:rsid w:val="00C119D8"/>
    <w:rsid w:val="00C11A1A"/>
    <w:rsid w:val="00C11CD0"/>
    <w:rsid w:val="00C13B27"/>
    <w:rsid w:val="00C16CD5"/>
    <w:rsid w:val="00C170A7"/>
    <w:rsid w:val="00C17529"/>
    <w:rsid w:val="00C2495F"/>
    <w:rsid w:val="00C32E43"/>
    <w:rsid w:val="00C34BD1"/>
    <w:rsid w:val="00C363A2"/>
    <w:rsid w:val="00C45165"/>
    <w:rsid w:val="00C4665A"/>
    <w:rsid w:val="00C50DF7"/>
    <w:rsid w:val="00C57F34"/>
    <w:rsid w:val="00C62651"/>
    <w:rsid w:val="00C6278F"/>
    <w:rsid w:val="00C66A37"/>
    <w:rsid w:val="00C713E1"/>
    <w:rsid w:val="00C71D39"/>
    <w:rsid w:val="00C76938"/>
    <w:rsid w:val="00C77FE6"/>
    <w:rsid w:val="00C81073"/>
    <w:rsid w:val="00C82115"/>
    <w:rsid w:val="00C951BE"/>
    <w:rsid w:val="00C97A86"/>
    <w:rsid w:val="00C97E1A"/>
    <w:rsid w:val="00CA3ADD"/>
    <w:rsid w:val="00CA6836"/>
    <w:rsid w:val="00CA7F74"/>
    <w:rsid w:val="00CB0609"/>
    <w:rsid w:val="00CB63C1"/>
    <w:rsid w:val="00CB6C13"/>
    <w:rsid w:val="00CC30FF"/>
    <w:rsid w:val="00CD1CDC"/>
    <w:rsid w:val="00CD7032"/>
    <w:rsid w:val="00CE0AF4"/>
    <w:rsid w:val="00CE1F04"/>
    <w:rsid w:val="00CE7ACD"/>
    <w:rsid w:val="00CE7B1C"/>
    <w:rsid w:val="00CF007B"/>
    <w:rsid w:val="00CF49D2"/>
    <w:rsid w:val="00CF5247"/>
    <w:rsid w:val="00CF55C9"/>
    <w:rsid w:val="00CF5778"/>
    <w:rsid w:val="00CF5E54"/>
    <w:rsid w:val="00CF7462"/>
    <w:rsid w:val="00D00BA2"/>
    <w:rsid w:val="00D05A30"/>
    <w:rsid w:val="00D13FA2"/>
    <w:rsid w:val="00D161B5"/>
    <w:rsid w:val="00D22640"/>
    <w:rsid w:val="00D26069"/>
    <w:rsid w:val="00D27775"/>
    <w:rsid w:val="00D40301"/>
    <w:rsid w:val="00D43A6D"/>
    <w:rsid w:val="00D529BA"/>
    <w:rsid w:val="00D53329"/>
    <w:rsid w:val="00D5441E"/>
    <w:rsid w:val="00D545A1"/>
    <w:rsid w:val="00D60C12"/>
    <w:rsid w:val="00D6593A"/>
    <w:rsid w:val="00D669A0"/>
    <w:rsid w:val="00D71F3F"/>
    <w:rsid w:val="00D72791"/>
    <w:rsid w:val="00D75F26"/>
    <w:rsid w:val="00D76598"/>
    <w:rsid w:val="00D76FD9"/>
    <w:rsid w:val="00D839BC"/>
    <w:rsid w:val="00D949BC"/>
    <w:rsid w:val="00D95DFB"/>
    <w:rsid w:val="00D95FED"/>
    <w:rsid w:val="00D97A6C"/>
    <w:rsid w:val="00DA094B"/>
    <w:rsid w:val="00DA127A"/>
    <w:rsid w:val="00DA13F3"/>
    <w:rsid w:val="00DA3351"/>
    <w:rsid w:val="00DA4D13"/>
    <w:rsid w:val="00DA5A46"/>
    <w:rsid w:val="00DA6179"/>
    <w:rsid w:val="00DB069B"/>
    <w:rsid w:val="00DB11DB"/>
    <w:rsid w:val="00DB316C"/>
    <w:rsid w:val="00DB5C5B"/>
    <w:rsid w:val="00DB6D19"/>
    <w:rsid w:val="00DB7331"/>
    <w:rsid w:val="00DC05E7"/>
    <w:rsid w:val="00DC43AA"/>
    <w:rsid w:val="00DC596F"/>
    <w:rsid w:val="00DC628A"/>
    <w:rsid w:val="00DD1599"/>
    <w:rsid w:val="00DD19A5"/>
    <w:rsid w:val="00DD5B00"/>
    <w:rsid w:val="00DD6D96"/>
    <w:rsid w:val="00DE0DDF"/>
    <w:rsid w:val="00DE0FA5"/>
    <w:rsid w:val="00DE5653"/>
    <w:rsid w:val="00DF42CC"/>
    <w:rsid w:val="00E0128A"/>
    <w:rsid w:val="00E01B1E"/>
    <w:rsid w:val="00E047D6"/>
    <w:rsid w:val="00E04ACC"/>
    <w:rsid w:val="00E05742"/>
    <w:rsid w:val="00E17F67"/>
    <w:rsid w:val="00E20078"/>
    <w:rsid w:val="00E20E11"/>
    <w:rsid w:val="00E23D7C"/>
    <w:rsid w:val="00E252C4"/>
    <w:rsid w:val="00E264B5"/>
    <w:rsid w:val="00E270B2"/>
    <w:rsid w:val="00E274C4"/>
    <w:rsid w:val="00E3399B"/>
    <w:rsid w:val="00E35157"/>
    <w:rsid w:val="00E3555D"/>
    <w:rsid w:val="00E36CCC"/>
    <w:rsid w:val="00E37BDE"/>
    <w:rsid w:val="00E37F46"/>
    <w:rsid w:val="00E405F0"/>
    <w:rsid w:val="00E415BB"/>
    <w:rsid w:val="00E435AB"/>
    <w:rsid w:val="00E44F9B"/>
    <w:rsid w:val="00E52BBA"/>
    <w:rsid w:val="00E55AAB"/>
    <w:rsid w:val="00E55C24"/>
    <w:rsid w:val="00E5722C"/>
    <w:rsid w:val="00E64D94"/>
    <w:rsid w:val="00E6592B"/>
    <w:rsid w:val="00E725E7"/>
    <w:rsid w:val="00E74B85"/>
    <w:rsid w:val="00E81D19"/>
    <w:rsid w:val="00E85DC7"/>
    <w:rsid w:val="00E868E4"/>
    <w:rsid w:val="00E92E4F"/>
    <w:rsid w:val="00E94E47"/>
    <w:rsid w:val="00E955CA"/>
    <w:rsid w:val="00E97BCE"/>
    <w:rsid w:val="00EB07C2"/>
    <w:rsid w:val="00EB1711"/>
    <w:rsid w:val="00EB3D35"/>
    <w:rsid w:val="00EB5A04"/>
    <w:rsid w:val="00EB7C75"/>
    <w:rsid w:val="00EC128D"/>
    <w:rsid w:val="00EC189E"/>
    <w:rsid w:val="00EE3A63"/>
    <w:rsid w:val="00EE633A"/>
    <w:rsid w:val="00EE7B08"/>
    <w:rsid w:val="00EF3E34"/>
    <w:rsid w:val="00EF58F1"/>
    <w:rsid w:val="00EF7136"/>
    <w:rsid w:val="00F03A50"/>
    <w:rsid w:val="00F04E73"/>
    <w:rsid w:val="00F0564B"/>
    <w:rsid w:val="00F11DAB"/>
    <w:rsid w:val="00F151A4"/>
    <w:rsid w:val="00F1553C"/>
    <w:rsid w:val="00F15C73"/>
    <w:rsid w:val="00F2208E"/>
    <w:rsid w:val="00F23755"/>
    <w:rsid w:val="00F27157"/>
    <w:rsid w:val="00F34396"/>
    <w:rsid w:val="00F35FB9"/>
    <w:rsid w:val="00F36421"/>
    <w:rsid w:val="00F3764D"/>
    <w:rsid w:val="00F37DFD"/>
    <w:rsid w:val="00F4191A"/>
    <w:rsid w:val="00F44425"/>
    <w:rsid w:val="00F6316C"/>
    <w:rsid w:val="00F652F2"/>
    <w:rsid w:val="00F6602E"/>
    <w:rsid w:val="00F67694"/>
    <w:rsid w:val="00F713C7"/>
    <w:rsid w:val="00F716F2"/>
    <w:rsid w:val="00F804A5"/>
    <w:rsid w:val="00F85F91"/>
    <w:rsid w:val="00F97AE4"/>
    <w:rsid w:val="00FA0890"/>
    <w:rsid w:val="00FA59BE"/>
    <w:rsid w:val="00FA722E"/>
    <w:rsid w:val="00FB091F"/>
    <w:rsid w:val="00FB0B35"/>
    <w:rsid w:val="00FB4460"/>
    <w:rsid w:val="00FC4F7D"/>
    <w:rsid w:val="00FC7243"/>
    <w:rsid w:val="00FD0C2E"/>
    <w:rsid w:val="00FD49CB"/>
    <w:rsid w:val="00FD7329"/>
    <w:rsid w:val="00FF340F"/>
    <w:rsid w:val="00FF392B"/>
    <w:rsid w:val="00FF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character" w:customStyle="1" w:styleId="DoctTypeChar">
    <w:name w:val="Doct Type Char"/>
    <w:basedOn w:val="Standardnpsmoodstavce"/>
    <w:link w:val="DoctType"/>
    <w:locked/>
    <w:rsid w:val="002C7774"/>
    <w:rPr>
      <w:rFonts w:ascii="Verdana" w:eastAsia="Calibri" w:hAnsi="Verdana" w:cs="Arial"/>
      <w:b/>
      <w:i/>
      <w:color w:val="595959"/>
      <w:spacing w:val="5"/>
      <w:kern w:val="28"/>
      <w:sz w:val="22"/>
      <w:szCs w:val="52"/>
      <w:lang w:val="x-none"/>
    </w:rPr>
  </w:style>
  <w:style w:type="paragraph" w:customStyle="1" w:styleId="DoctType">
    <w:name w:val="Doct Type"/>
    <w:basedOn w:val="Nzev"/>
    <w:link w:val="DoctTypeChar"/>
    <w:qFormat/>
    <w:rsid w:val="002C7774"/>
    <w:pPr>
      <w:pBdr>
        <w:bottom w:val="none" w:sz="0" w:space="0" w:color="auto"/>
      </w:pBdr>
      <w:spacing w:before="80" w:after="80"/>
      <w:ind w:left="0"/>
      <w:jc w:val="center"/>
    </w:pPr>
    <w:rPr>
      <w:rFonts w:ascii="Verdana" w:eastAsia="Calibri" w:hAnsi="Verdana" w:cs="Arial"/>
      <w:b/>
      <w:i/>
      <w:color w:val="595959"/>
      <w:sz w:val="22"/>
      <w:lang w:val="x-none" w:eastAsia="cs-CZ"/>
    </w:rPr>
  </w:style>
  <w:style w:type="paragraph" w:styleId="Nzev">
    <w:name w:val="Title"/>
    <w:basedOn w:val="Normln"/>
    <w:next w:val="Normln"/>
    <w:link w:val="NzevChar"/>
    <w:uiPriority w:val="10"/>
    <w:qFormat/>
    <w:rsid w:val="002C77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C7774"/>
    <w:rPr>
      <w:rFonts w:asciiTheme="majorHAnsi" w:eastAsiaTheme="majorEastAsia" w:hAnsiTheme="majorHAnsi" w:cstheme="majorBidi"/>
      <w:color w:val="17365D" w:themeColor="text2" w:themeShade="BF"/>
      <w:spacing w:val="5"/>
      <w:kern w:val="28"/>
      <w:sz w:val="52"/>
      <w:szCs w:val="52"/>
      <w:lang w:val="en-GB" w:eastAsia="en-GB"/>
    </w:rPr>
  </w:style>
  <w:style w:type="paragraph" w:styleId="Normlnweb">
    <w:name w:val="Normal (Web)"/>
    <w:basedOn w:val="Normln"/>
    <w:uiPriority w:val="99"/>
    <w:semiHidden/>
    <w:unhideWhenUsed/>
    <w:rsid w:val="005D7130"/>
    <w:pPr>
      <w:spacing w:before="100" w:beforeAutospacing="1" w:after="100" w:afterAutospacing="1" w:line="240" w:lineRule="auto"/>
      <w:ind w:left="0"/>
      <w:jc w:val="left"/>
    </w:pPr>
    <w:rPr>
      <w:rFonts w:eastAsiaTheme="minorHAnsi"/>
      <w:color w:val="000000"/>
      <w:sz w:val="24"/>
      <w:szCs w:val="24"/>
      <w:lang w:val="cs-CZ" w:eastAsia="cs-CZ"/>
    </w:rPr>
  </w:style>
  <w:style w:type="character" w:customStyle="1" w:styleId="tlid-translation">
    <w:name w:val="tlid-translation"/>
    <w:basedOn w:val="Standardnpsmoodstavce"/>
    <w:rsid w:val="00F3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552546107">
      <w:bodyDiv w:val="1"/>
      <w:marLeft w:val="0"/>
      <w:marRight w:val="0"/>
      <w:marTop w:val="0"/>
      <w:marBottom w:val="0"/>
      <w:divBdr>
        <w:top w:val="none" w:sz="0" w:space="0" w:color="auto"/>
        <w:left w:val="none" w:sz="0" w:space="0" w:color="auto"/>
        <w:bottom w:val="none" w:sz="0" w:space="0" w:color="auto"/>
        <w:right w:val="none" w:sz="0" w:space="0" w:color="auto"/>
      </w:divBdr>
    </w:div>
    <w:div w:id="900017318">
      <w:bodyDiv w:val="1"/>
      <w:marLeft w:val="0"/>
      <w:marRight w:val="0"/>
      <w:marTop w:val="0"/>
      <w:marBottom w:val="0"/>
      <w:divBdr>
        <w:top w:val="none" w:sz="0" w:space="0" w:color="auto"/>
        <w:left w:val="none" w:sz="0" w:space="0" w:color="auto"/>
        <w:bottom w:val="none" w:sz="0" w:space="0" w:color="auto"/>
        <w:right w:val="none" w:sz="0" w:space="0" w:color="auto"/>
      </w:divBdr>
    </w:div>
    <w:div w:id="12730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5D6A-00A7-4105-9C1A-A0EF24AA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Pages>
  <Words>1097</Words>
  <Characters>6474</Characters>
  <Application>Microsoft Office Word</Application>
  <DocSecurity>0</DocSecurity>
  <Lines>53</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7556</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2019-05-06T13:31:00Z</dcterms:created>
  <dcterms:modified xsi:type="dcterms:W3CDTF">2019-06-24T08:25:00Z</dcterms:modified>
</cp:coreProperties>
</file>