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DF1AB4">
        <w:rPr>
          <w:b/>
          <w:noProof/>
          <w:sz w:val="32"/>
          <w:szCs w:val="32"/>
        </w:rPr>
        <w:t>98/1/19/06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DF1AB4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DF1AB4">
        <w:rPr>
          <w:b/>
          <w:noProof/>
          <w:sz w:val="24"/>
        </w:rPr>
        <w:t>ELEKTRO ŠAKO 2000 s. r. o.</w:t>
      </w:r>
    </w:p>
    <w:p w:rsidR="00DF1AB4" w:rsidRDefault="00DF1AB4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Ostřešany 241</w:t>
      </w:r>
    </w:p>
    <w:p w:rsidR="00AC0472" w:rsidRDefault="00DF1AB4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Ostřešany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DF1AB4">
        <w:rPr>
          <w:b/>
          <w:noProof/>
        </w:rPr>
        <w:t>25948997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DF1AB4">
        <w:rPr>
          <w:b/>
          <w:noProof/>
          <w:sz w:val="24"/>
        </w:rPr>
        <w:t>Město</w:t>
      </w:r>
      <w:proofErr w:type="gramEnd"/>
      <w:r w:rsidR="00DF1AB4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324603">
      <w:pPr>
        <w:rPr>
          <w:rFonts w:ascii="Courier New" w:hAnsi="Courier New"/>
          <w:sz w:val="24"/>
        </w:rPr>
      </w:pPr>
      <w:r w:rsidRPr="00324603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DF1AB4" w:rsidRDefault="00DF1AB4" w:rsidP="00DF1AB4">
      <w:pPr>
        <w:jc w:val="both"/>
        <w:rPr>
          <w:noProof/>
          <w:sz w:val="24"/>
        </w:rPr>
      </w:pPr>
      <w:r>
        <w:rPr>
          <w:noProof/>
          <w:sz w:val="24"/>
        </w:rPr>
        <w:t>Objednáváme u Vás rekonstrukci osvětlení v prostorách tělocvičny ZŠ Školní náměstí 228, 537 01 Chrudim. Předmětným prostorem je tělocvična (24 x 12 x 6 m). Součástí rekonstrukce je dodávka kompletních 8 ks LED svítidel včetně držáků pro montáž ke stěnové konstrukci a související úpravy elektroinstalace náhradou za stávajících 6 ks výbojkových svítidel. Vzhledem k řešení stávajícího podhledu stropní konstrukce je navržena stěnová montáž svítidel s nepřímým osvětlením hrací plochy. Dále bude osazen podružný elektroměr do stávajícího rozvaděče v prostoru tělocvičny. Předpokladem je možnost využití stávajícího rozvaděče bez nutnosti úprav. </w:t>
      </w: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noProof/>
          <w:sz w:val="24"/>
        </w:rPr>
      </w:pP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Parametry osvětlení </w:t>
      </w: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Osvětlení bude provedeno dle světelného výpočtu. U osvětlovací soustavy bude zajištěna požadovaná intenzita osvětlení, rovnoměrnost a podání barev.</w:t>
      </w: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Rekonstrukce osvětlení bude provedena podle světelně technického návrhu pro splnění všech požadovaných parametrů osvětlenosti. Na svítidlo i zdroj se bude vztahovat záruka v délce trvání 5 let. Rekonstrukce osvětlení zahrnuje i potřebné úpravy elektroinstalace. </w:t>
      </w: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>Parametry osvětlení (doporučená průměrná osvětlenost) musí být v souladu s ČSN EN 12464-1 a s vyhláškou č. 410/2005 Sb., o hygienických požadavcích na prostory a provoz zařízení a provozoven pro výchovu a vzdělávání dětí a mladistvých, ve znění pozdějších předpisů.</w:t>
      </w: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noProof/>
          <w:sz w:val="24"/>
        </w:rPr>
      </w:pP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Cena </w:t>
      </w:r>
    </w:p>
    <w:p w:rsidR="00DF1AB4" w:rsidRDefault="00DF1AB4" w:rsidP="00DF1AB4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Cena rekonstrukce osvětlení pro tělocvičnu je </w:t>
      </w:r>
      <w:r w:rsidR="00850688">
        <w:rPr>
          <w:noProof/>
          <w:sz w:val="24"/>
        </w:rPr>
        <w:t>73.965,70</w:t>
      </w:r>
      <w:r>
        <w:rPr>
          <w:noProof/>
          <w:sz w:val="24"/>
        </w:rPr>
        <w:t xml:space="preserve"> Kč bez DPH (</w:t>
      </w:r>
      <w:r w:rsidR="00850688">
        <w:rPr>
          <w:noProof/>
          <w:sz w:val="24"/>
        </w:rPr>
        <w:t>89.499,00</w:t>
      </w:r>
      <w:r>
        <w:rPr>
          <w:noProof/>
          <w:sz w:val="24"/>
        </w:rPr>
        <w:t xml:space="preserve"> Kč s DPH). 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DF1AB4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DF1AB4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DF1AB4">
        <w:rPr>
          <w:noProof/>
          <w:sz w:val="20"/>
        </w:rPr>
        <w:t>24. 6. 2019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DF1AB4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DF1AB4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DF1AB4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B4" w:rsidRDefault="00DF1AB4">
      <w:r>
        <w:separator/>
      </w:r>
    </w:p>
  </w:endnote>
  <w:endnote w:type="continuationSeparator" w:id="0">
    <w:p w:rsidR="00DF1AB4" w:rsidRDefault="00DF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B4" w:rsidRDefault="00DF1AB4">
      <w:r>
        <w:separator/>
      </w:r>
    </w:p>
  </w:footnote>
  <w:footnote w:type="continuationSeparator" w:id="0">
    <w:p w:rsidR="00DF1AB4" w:rsidRDefault="00DF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25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24603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45D25"/>
    <w:rsid w:val="007A54F4"/>
    <w:rsid w:val="007A6ACB"/>
    <w:rsid w:val="007E7C70"/>
    <w:rsid w:val="0083488E"/>
    <w:rsid w:val="00850688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DF1AB4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4603"/>
    <w:pPr>
      <w:suppressAutoHyphens/>
      <w:spacing w:after="120"/>
    </w:pPr>
  </w:style>
  <w:style w:type="paragraph" w:styleId="Nadpis1">
    <w:name w:val="heading 1"/>
    <w:next w:val="Normln"/>
    <w:qFormat/>
    <w:rsid w:val="00324603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324603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324603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324603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324603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324603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24603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324603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324603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32460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324603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324603"/>
    <w:pPr>
      <w:spacing w:line="240" w:lineRule="exact"/>
      <w:ind w:left="567" w:hanging="283"/>
    </w:pPr>
  </w:style>
  <w:style w:type="paragraph" w:styleId="Zhlav">
    <w:name w:val="header"/>
    <w:basedOn w:val="Normln"/>
    <w:rsid w:val="00324603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324603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324603"/>
    <w:rPr>
      <w:sz w:val="16"/>
    </w:rPr>
  </w:style>
  <w:style w:type="paragraph" w:styleId="Textkomente">
    <w:name w:val="annotation text"/>
    <w:basedOn w:val="Normln"/>
    <w:semiHidden/>
    <w:rsid w:val="00324603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3</TotalTime>
  <Pages>2</Pages>
  <Words>379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2007-11-02T08:11:00Z</cp:lastPrinted>
  <dcterms:created xsi:type="dcterms:W3CDTF">2019-06-24T07:20:00Z</dcterms:created>
  <dcterms:modified xsi:type="dcterms:W3CDTF">2019-06-25T08:52:00Z</dcterms:modified>
</cp:coreProperties>
</file>