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F9B" w:rsidRDefault="00340B6C" w:rsidP="00984148">
      <w:pPr>
        <w:tabs>
          <w:tab w:val="num" w:pos="0"/>
        </w:tabs>
        <w:spacing w:line="360" w:lineRule="auto"/>
        <w:jc w:val="center"/>
        <w:rPr>
          <w:rFonts w:ascii="Arial" w:hAnsi="Arial" w:cs="Arial"/>
          <w:b/>
          <w:sz w:val="24"/>
        </w:rPr>
      </w:pPr>
      <w:r>
        <w:rPr>
          <w:rFonts w:ascii="Arial" w:hAnsi="Arial" w:cs="Arial"/>
          <w:b/>
          <w:sz w:val="24"/>
        </w:rPr>
        <w:t xml:space="preserve">   </w:t>
      </w:r>
    </w:p>
    <w:p w:rsidR="00EA6F9B" w:rsidRDefault="00EA6F9B" w:rsidP="00984148">
      <w:pPr>
        <w:tabs>
          <w:tab w:val="num" w:pos="0"/>
        </w:tabs>
        <w:spacing w:line="360" w:lineRule="auto"/>
        <w:jc w:val="center"/>
        <w:rPr>
          <w:rFonts w:ascii="Arial" w:hAnsi="Arial" w:cs="Arial"/>
          <w:b/>
          <w:sz w:val="24"/>
        </w:rPr>
      </w:pPr>
    </w:p>
    <w:p w:rsidR="00984148" w:rsidRDefault="00984148" w:rsidP="00984148">
      <w:pPr>
        <w:tabs>
          <w:tab w:val="num" w:pos="0"/>
        </w:tabs>
        <w:spacing w:line="360" w:lineRule="auto"/>
        <w:jc w:val="center"/>
        <w:rPr>
          <w:rFonts w:ascii="Arial" w:hAnsi="Arial" w:cs="Arial"/>
          <w:b/>
          <w:sz w:val="24"/>
        </w:rPr>
      </w:pPr>
      <w:r w:rsidRPr="00693C85">
        <w:rPr>
          <w:rFonts w:ascii="Arial" w:hAnsi="Arial" w:cs="Arial"/>
          <w:b/>
          <w:sz w:val="24"/>
        </w:rPr>
        <w:t>SMLOUVA O ZŘÍZENÍ SLUŽEBNOSTI CESTY A STEZKY</w:t>
      </w:r>
    </w:p>
    <w:p w:rsidR="00984148" w:rsidRPr="00693C85" w:rsidRDefault="00984148" w:rsidP="00984148">
      <w:pPr>
        <w:spacing w:line="360" w:lineRule="auto"/>
        <w:jc w:val="both"/>
        <w:rPr>
          <w:rFonts w:ascii="Arial" w:hAnsi="Arial" w:cs="Arial"/>
          <w:b/>
          <w:sz w:val="24"/>
        </w:rPr>
      </w:pPr>
    </w:p>
    <w:p w:rsidR="00EA6F9B" w:rsidRPr="00693C85" w:rsidRDefault="00C90706" w:rsidP="00EA6F9B">
      <w:pPr>
        <w:spacing w:after="120" w:line="360" w:lineRule="auto"/>
        <w:jc w:val="both"/>
        <w:rPr>
          <w:rFonts w:ascii="Arial" w:hAnsi="Arial" w:cs="Arial"/>
          <w:bCs/>
          <w:iCs/>
          <w:sz w:val="24"/>
        </w:rPr>
      </w:pPr>
      <w:r>
        <w:rPr>
          <w:rFonts w:ascii="Arial" w:hAnsi="Arial" w:cs="Arial"/>
          <w:bCs/>
          <w:sz w:val="24"/>
        </w:rPr>
        <w:t>T</w:t>
      </w:r>
      <w:r w:rsidR="00984148" w:rsidRPr="00693C85">
        <w:rPr>
          <w:rFonts w:ascii="Arial" w:hAnsi="Arial" w:cs="Arial"/>
          <w:bCs/>
          <w:sz w:val="24"/>
        </w:rPr>
        <w:t>ato smlouva (dále jen „</w:t>
      </w:r>
      <w:r w:rsidR="00984148" w:rsidRPr="00693C85">
        <w:rPr>
          <w:rFonts w:ascii="Arial" w:hAnsi="Arial" w:cs="Arial"/>
          <w:b/>
          <w:bCs/>
          <w:sz w:val="24"/>
        </w:rPr>
        <w:t>Smlouva</w:t>
      </w:r>
      <w:r w:rsidR="00984148" w:rsidRPr="00693C85">
        <w:rPr>
          <w:rFonts w:ascii="Arial" w:hAnsi="Arial" w:cs="Arial"/>
          <w:bCs/>
          <w:sz w:val="24"/>
        </w:rPr>
        <w:t xml:space="preserve">“) je uzavřena podle </w:t>
      </w:r>
      <w:r w:rsidR="00984148" w:rsidRPr="00693C85">
        <w:rPr>
          <w:rFonts w:ascii="Arial" w:hAnsi="Arial" w:cs="Arial"/>
          <w:sz w:val="24"/>
        </w:rPr>
        <w:t xml:space="preserve">ustanovení § 1257 a násl. </w:t>
      </w:r>
      <w:r w:rsidR="00984148" w:rsidRPr="00693C85">
        <w:rPr>
          <w:rFonts w:ascii="Arial" w:hAnsi="Arial" w:cs="Arial"/>
          <w:bCs/>
          <w:iCs/>
          <w:sz w:val="24"/>
        </w:rPr>
        <w:t>zákona č. 89/2012 Sb., občanského zákoníku, ve znění pozdějších předpisů (dále jen „</w:t>
      </w:r>
      <w:r w:rsidR="00984148" w:rsidRPr="00693C85">
        <w:rPr>
          <w:rFonts w:ascii="Arial" w:hAnsi="Arial" w:cs="Arial"/>
          <w:b/>
          <w:bCs/>
          <w:iCs/>
          <w:sz w:val="24"/>
        </w:rPr>
        <w:t>Občanský zákoník</w:t>
      </w:r>
      <w:r w:rsidR="00984148" w:rsidRPr="00693C85">
        <w:rPr>
          <w:rFonts w:ascii="Arial" w:hAnsi="Arial" w:cs="Arial"/>
          <w:bCs/>
          <w:iCs/>
          <w:sz w:val="24"/>
        </w:rPr>
        <w:t>“)</w:t>
      </w:r>
    </w:p>
    <w:p w:rsidR="00EA6F9B" w:rsidRPr="00693C85" w:rsidRDefault="00EA6F9B" w:rsidP="00EA6F9B">
      <w:pPr>
        <w:spacing w:after="120" w:line="360" w:lineRule="auto"/>
        <w:jc w:val="both"/>
        <w:rPr>
          <w:rFonts w:ascii="Arial" w:hAnsi="Arial" w:cs="Arial"/>
          <w:bCs/>
          <w:iCs/>
          <w:sz w:val="24"/>
        </w:rPr>
      </w:pPr>
      <w:r>
        <w:rPr>
          <w:rFonts w:ascii="Arial" w:hAnsi="Arial" w:cs="Arial"/>
          <w:bCs/>
          <w:iCs/>
          <w:sz w:val="24"/>
        </w:rPr>
        <w:t>mezi</w:t>
      </w:r>
    </w:p>
    <w:p w:rsidR="00984148" w:rsidRPr="00693C85" w:rsidRDefault="00984148" w:rsidP="00984148">
      <w:pPr>
        <w:pStyle w:val="Odstavecseseznamem"/>
        <w:numPr>
          <w:ilvl w:val="0"/>
          <w:numId w:val="5"/>
        </w:numPr>
        <w:spacing w:line="360" w:lineRule="auto"/>
        <w:ind w:left="567" w:hanging="567"/>
        <w:contextualSpacing/>
        <w:jc w:val="both"/>
        <w:rPr>
          <w:rFonts w:ascii="Arial" w:hAnsi="Arial" w:cs="Arial"/>
          <w:b/>
          <w:sz w:val="24"/>
          <w:szCs w:val="24"/>
        </w:rPr>
      </w:pPr>
      <w:r w:rsidRPr="00693C85">
        <w:rPr>
          <w:rFonts w:ascii="Arial" w:hAnsi="Arial" w:cs="Arial"/>
          <w:b/>
          <w:sz w:val="24"/>
          <w:szCs w:val="24"/>
        </w:rPr>
        <w:t>Městsk</w:t>
      </w:r>
      <w:r w:rsidR="00EA6F9B">
        <w:rPr>
          <w:rFonts w:ascii="Arial" w:hAnsi="Arial" w:cs="Arial"/>
          <w:b/>
          <w:sz w:val="24"/>
          <w:szCs w:val="24"/>
        </w:rPr>
        <w:t>ou</w:t>
      </w:r>
      <w:r w:rsidRPr="00693C85">
        <w:rPr>
          <w:rFonts w:ascii="Arial" w:hAnsi="Arial" w:cs="Arial"/>
          <w:b/>
          <w:sz w:val="24"/>
          <w:szCs w:val="24"/>
        </w:rPr>
        <w:t xml:space="preserve"> část</w:t>
      </w:r>
      <w:r w:rsidR="00EA6F9B">
        <w:rPr>
          <w:rFonts w:ascii="Arial" w:hAnsi="Arial" w:cs="Arial"/>
          <w:b/>
          <w:sz w:val="24"/>
          <w:szCs w:val="24"/>
        </w:rPr>
        <w:t>í</w:t>
      </w:r>
      <w:r w:rsidRPr="00693C85">
        <w:rPr>
          <w:rFonts w:ascii="Arial" w:hAnsi="Arial" w:cs="Arial"/>
          <w:b/>
          <w:sz w:val="24"/>
          <w:szCs w:val="24"/>
        </w:rPr>
        <w:t xml:space="preserve"> Praha 3</w:t>
      </w:r>
      <w:r w:rsidR="00F02E97" w:rsidRPr="00693C85">
        <w:rPr>
          <w:rFonts w:ascii="Arial" w:hAnsi="Arial" w:cs="Arial"/>
          <w:sz w:val="24"/>
          <w:szCs w:val="24"/>
        </w:rPr>
        <w:t xml:space="preserve"> </w:t>
      </w:r>
    </w:p>
    <w:p w:rsidR="00F02E97" w:rsidRPr="00693C85" w:rsidRDefault="00984148" w:rsidP="00F02E97">
      <w:pPr>
        <w:pStyle w:val="Identifikacestran"/>
        <w:spacing w:line="360" w:lineRule="auto"/>
        <w:ind w:left="567"/>
        <w:contextualSpacing/>
        <w:jc w:val="both"/>
        <w:rPr>
          <w:rFonts w:ascii="Arial" w:hAnsi="Arial" w:cs="Arial"/>
          <w:sz w:val="24"/>
        </w:rPr>
      </w:pPr>
      <w:r w:rsidRPr="00693C85">
        <w:rPr>
          <w:rFonts w:ascii="Arial" w:hAnsi="Arial" w:cs="Arial"/>
          <w:sz w:val="24"/>
        </w:rPr>
        <w:t>se sídlem</w:t>
      </w:r>
      <w:r w:rsidR="00F02E97" w:rsidRPr="00693C85">
        <w:rPr>
          <w:rFonts w:ascii="Arial" w:hAnsi="Arial" w:cs="Arial"/>
          <w:sz w:val="24"/>
        </w:rPr>
        <w:t>:</w:t>
      </w:r>
      <w:r w:rsidRPr="00693C85">
        <w:rPr>
          <w:rFonts w:ascii="Arial" w:hAnsi="Arial" w:cs="Arial"/>
          <w:sz w:val="24"/>
        </w:rPr>
        <w:t xml:space="preserve"> Havlíčkovo náměstí 700/9, 130 85 Praha 3</w:t>
      </w:r>
    </w:p>
    <w:p w:rsidR="00984148" w:rsidRPr="00693C85" w:rsidRDefault="00984148" w:rsidP="00F02E97">
      <w:pPr>
        <w:pStyle w:val="Identifikacestran"/>
        <w:spacing w:line="360" w:lineRule="auto"/>
        <w:ind w:left="567"/>
        <w:contextualSpacing/>
        <w:jc w:val="both"/>
        <w:rPr>
          <w:rFonts w:ascii="Arial" w:hAnsi="Arial" w:cs="Arial"/>
          <w:sz w:val="24"/>
        </w:rPr>
      </w:pPr>
      <w:r w:rsidRPr="00693C85">
        <w:rPr>
          <w:rFonts w:ascii="Arial" w:hAnsi="Arial" w:cs="Arial"/>
          <w:sz w:val="24"/>
        </w:rPr>
        <w:t>zastoupen</w:t>
      </w:r>
      <w:r w:rsidR="00EA6F9B">
        <w:rPr>
          <w:rFonts w:ascii="Arial" w:hAnsi="Arial" w:cs="Arial"/>
          <w:sz w:val="24"/>
        </w:rPr>
        <w:t>ou</w:t>
      </w:r>
      <w:r w:rsidR="00F02E97" w:rsidRPr="00693C85">
        <w:rPr>
          <w:rFonts w:ascii="Arial" w:hAnsi="Arial" w:cs="Arial"/>
          <w:sz w:val="24"/>
        </w:rPr>
        <w:t xml:space="preserve">: Jiřím Ptáčkem, starostou </w:t>
      </w:r>
      <w:r w:rsidR="006B701F" w:rsidRPr="00693C85">
        <w:rPr>
          <w:rFonts w:ascii="Arial" w:hAnsi="Arial" w:cs="Arial"/>
          <w:sz w:val="24"/>
        </w:rPr>
        <w:t>městské části</w:t>
      </w:r>
    </w:p>
    <w:p w:rsidR="006B701F" w:rsidRPr="00693C85" w:rsidRDefault="00F02E97" w:rsidP="00F02E97">
      <w:pPr>
        <w:spacing w:line="360" w:lineRule="auto"/>
        <w:ind w:left="567"/>
        <w:contextualSpacing/>
        <w:jc w:val="both"/>
        <w:rPr>
          <w:rFonts w:ascii="Arial" w:hAnsi="Arial" w:cs="Arial"/>
          <w:sz w:val="24"/>
        </w:rPr>
      </w:pPr>
      <w:r w:rsidRPr="00693C85">
        <w:rPr>
          <w:rFonts w:ascii="Arial" w:hAnsi="Arial" w:cs="Arial"/>
          <w:sz w:val="24"/>
        </w:rPr>
        <w:t>IČ</w:t>
      </w:r>
      <w:r w:rsidR="00B53322" w:rsidRPr="00693C85">
        <w:rPr>
          <w:rFonts w:ascii="Arial" w:hAnsi="Arial" w:cs="Arial"/>
          <w:sz w:val="24"/>
        </w:rPr>
        <w:t>:</w:t>
      </w:r>
      <w:r w:rsidRPr="00693C85">
        <w:rPr>
          <w:rFonts w:ascii="Arial" w:hAnsi="Arial" w:cs="Arial"/>
          <w:sz w:val="24"/>
        </w:rPr>
        <w:t xml:space="preserve"> 000 63 517</w:t>
      </w:r>
    </w:p>
    <w:p w:rsidR="00F02E97" w:rsidRPr="00693C85" w:rsidRDefault="00F02E97" w:rsidP="00F02E97">
      <w:pPr>
        <w:spacing w:line="360" w:lineRule="auto"/>
        <w:ind w:left="567"/>
        <w:contextualSpacing/>
        <w:jc w:val="both"/>
        <w:rPr>
          <w:rFonts w:ascii="Arial" w:hAnsi="Arial" w:cs="Arial"/>
          <w:sz w:val="24"/>
        </w:rPr>
      </w:pPr>
      <w:r w:rsidRPr="00693C85">
        <w:rPr>
          <w:rFonts w:ascii="Arial" w:hAnsi="Arial" w:cs="Arial"/>
          <w:sz w:val="24"/>
        </w:rPr>
        <w:t>DIČ</w:t>
      </w:r>
      <w:r w:rsidR="00B53322" w:rsidRPr="00693C85">
        <w:rPr>
          <w:rFonts w:ascii="Arial" w:hAnsi="Arial" w:cs="Arial"/>
          <w:sz w:val="24"/>
        </w:rPr>
        <w:t>:</w:t>
      </w:r>
      <w:r w:rsidR="00B30119">
        <w:rPr>
          <w:rFonts w:ascii="Arial" w:hAnsi="Arial" w:cs="Arial"/>
          <w:sz w:val="24"/>
        </w:rPr>
        <w:t xml:space="preserve"> CZ00063517,</w:t>
      </w:r>
      <w:r w:rsidR="006B701F" w:rsidRPr="00693C85">
        <w:rPr>
          <w:rFonts w:ascii="Arial" w:hAnsi="Arial" w:cs="Arial"/>
          <w:sz w:val="24"/>
        </w:rPr>
        <w:t xml:space="preserve"> plátce DPH</w:t>
      </w:r>
    </w:p>
    <w:p w:rsidR="006B701F" w:rsidRPr="00693C85" w:rsidRDefault="006B701F" w:rsidP="00F02E97">
      <w:pPr>
        <w:spacing w:line="360" w:lineRule="auto"/>
        <w:ind w:left="567"/>
        <w:contextualSpacing/>
        <w:jc w:val="both"/>
        <w:rPr>
          <w:rFonts w:ascii="Arial" w:hAnsi="Arial" w:cs="Arial"/>
          <w:sz w:val="24"/>
        </w:rPr>
      </w:pPr>
      <w:r w:rsidRPr="00693C85">
        <w:rPr>
          <w:rFonts w:ascii="Arial" w:hAnsi="Arial" w:cs="Arial"/>
          <w:sz w:val="24"/>
        </w:rPr>
        <w:t>bankovní spojení: Česká spořitelna, a.s.</w:t>
      </w:r>
    </w:p>
    <w:p w:rsidR="006B701F" w:rsidRPr="00693C85" w:rsidRDefault="006B701F" w:rsidP="00F02E97">
      <w:pPr>
        <w:spacing w:line="360" w:lineRule="auto"/>
        <w:ind w:left="567"/>
        <w:contextualSpacing/>
        <w:jc w:val="both"/>
        <w:rPr>
          <w:rFonts w:ascii="Arial" w:hAnsi="Arial" w:cs="Arial"/>
          <w:sz w:val="24"/>
        </w:rPr>
      </w:pPr>
      <w:r w:rsidRPr="00693C85">
        <w:rPr>
          <w:rFonts w:ascii="Arial" w:hAnsi="Arial" w:cs="Arial"/>
          <w:sz w:val="24"/>
        </w:rPr>
        <w:t>č.ú.</w:t>
      </w:r>
      <w:r w:rsidR="00B30119">
        <w:rPr>
          <w:rFonts w:ascii="Arial" w:hAnsi="Arial" w:cs="Arial"/>
          <w:sz w:val="24"/>
        </w:rPr>
        <w:t>:</w:t>
      </w:r>
      <w:r w:rsidRPr="00693C85">
        <w:rPr>
          <w:rFonts w:ascii="Arial" w:hAnsi="Arial" w:cs="Arial"/>
          <w:sz w:val="24"/>
        </w:rPr>
        <w:t xml:space="preserve"> 29022-2000781379/0800</w:t>
      </w:r>
    </w:p>
    <w:p w:rsidR="00984148" w:rsidRPr="00693C85" w:rsidRDefault="006B701F" w:rsidP="00EA6F9B">
      <w:pPr>
        <w:spacing w:after="120" w:line="360" w:lineRule="auto"/>
        <w:ind w:left="567"/>
        <w:contextualSpacing/>
        <w:jc w:val="both"/>
        <w:rPr>
          <w:rFonts w:ascii="Arial" w:hAnsi="Arial" w:cs="Arial"/>
          <w:sz w:val="24"/>
        </w:rPr>
      </w:pPr>
      <w:r w:rsidRPr="00693C85">
        <w:rPr>
          <w:rFonts w:ascii="Arial" w:hAnsi="Arial" w:cs="Arial"/>
          <w:sz w:val="24"/>
        </w:rPr>
        <w:t>datová schránka: eqkbt8g</w:t>
      </w:r>
    </w:p>
    <w:p w:rsidR="006E4BB7" w:rsidRPr="00693C85" w:rsidRDefault="00984148" w:rsidP="00C508F3">
      <w:pPr>
        <w:pStyle w:val="Identifikacestran"/>
        <w:spacing w:after="120" w:line="360" w:lineRule="auto"/>
        <w:ind w:left="567"/>
        <w:jc w:val="both"/>
        <w:rPr>
          <w:rFonts w:ascii="Arial" w:hAnsi="Arial" w:cs="Arial"/>
          <w:sz w:val="24"/>
        </w:rPr>
      </w:pPr>
      <w:r w:rsidRPr="00693C85">
        <w:rPr>
          <w:rFonts w:ascii="Arial" w:hAnsi="Arial" w:cs="Arial"/>
          <w:sz w:val="24"/>
        </w:rPr>
        <w:t>(dále jen „</w:t>
      </w:r>
      <w:r w:rsidRPr="00693C85">
        <w:rPr>
          <w:rFonts w:ascii="Arial" w:hAnsi="Arial" w:cs="Arial"/>
          <w:b/>
          <w:sz w:val="24"/>
        </w:rPr>
        <w:t>Oprávněný</w:t>
      </w:r>
      <w:r w:rsidRPr="00693C85">
        <w:rPr>
          <w:rFonts w:ascii="Arial" w:hAnsi="Arial" w:cs="Arial"/>
          <w:sz w:val="24"/>
        </w:rPr>
        <w:t>“)</w:t>
      </w:r>
    </w:p>
    <w:p w:rsidR="00984148" w:rsidRPr="00EA6F9B" w:rsidRDefault="00984148" w:rsidP="006E4BB7">
      <w:pPr>
        <w:pStyle w:val="Identifikacestran"/>
        <w:spacing w:after="120" w:line="360" w:lineRule="auto"/>
        <w:ind w:left="567"/>
        <w:jc w:val="both"/>
        <w:rPr>
          <w:rFonts w:ascii="Arial" w:hAnsi="Arial" w:cs="Arial"/>
          <w:sz w:val="24"/>
        </w:rPr>
      </w:pPr>
      <w:r w:rsidRPr="00EA6F9B">
        <w:rPr>
          <w:rFonts w:ascii="Arial" w:hAnsi="Arial" w:cs="Arial"/>
          <w:sz w:val="24"/>
        </w:rPr>
        <w:t>a</w:t>
      </w:r>
    </w:p>
    <w:p w:rsidR="00984148" w:rsidRPr="00693C85" w:rsidRDefault="00984148" w:rsidP="00800F60">
      <w:pPr>
        <w:pStyle w:val="Odstavecseseznamem"/>
        <w:numPr>
          <w:ilvl w:val="0"/>
          <w:numId w:val="5"/>
        </w:numPr>
        <w:shd w:val="clear" w:color="auto" w:fill="FFFFFF" w:themeFill="background1"/>
        <w:spacing w:line="360" w:lineRule="auto"/>
        <w:ind w:left="567" w:hanging="567"/>
        <w:rPr>
          <w:rFonts w:ascii="Arial" w:hAnsi="Arial" w:cs="Arial"/>
          <w:b/>
          <w:sz w:val="24"/>
          <w:szCs w:val="24"/>
        </w:rPr>
      </w:pPr>
      <w:r w:rsidRPr="00693C85">
        <w:rPr>
          <w:rFonts w:ascii="Arial" w:hAnsi="Arial" w:cs="Arial"/>
          <w:b/>
          <w:sz w:val="24"/>
          <w:szCs w:val="24"/>
        </w:rPr>
        <w:t>CTR Viktoria Center s.r.o.</w:t>
      </w:r>
    </w:p>
    <w:p w:rsidR="00984148" w:rsidRPr="00693C85" w:rsidRDefault="00984148" w:rsidP="00984148">
      <w:pPr>
        <w:pStyle w:val="Zkladntext"/>
        <w:spacing w:before="0" w:line="360" w:lineRule="auto"/>
        <w:ind w:left="709" w:hanging="142"/>
        <w:rPr>
          <w:rStyle w:val="platne1"/>
          <w:rFonts w:ascii="Arial" w:hAnsi="Arial" w:cs="Arial"/>
          <w:sz w:val="24"/>
          <w:szCs w:val="24"/>
        </w:rPr>
      </w:pPr>
      <w:r w:rsidRPr="00693C85">
        <w:rPr>
          <w:rFonts w:ascii="Arial" w:hAnsi="Arial" w:cs="Arial"/>
          <w:sz w:val="24"/>
          <w:szCs w:val="24"/>
        </w:rPr>
        <w:t>se sídlem</w:t>
      </w:r>
      <w:r w:rsidR="00EA6F9B">
        <w:rPr>
          <w:rFonts w:ascii="Arial" w:hAnsi="Arial" w:cs="Arial"/>
          <w:sz w:val="24"/>
          <w:szCs w:val="24"/>
        </w:rPr>
        <w:t>:</w:t>
      </w:r>
      <w:r w:rsidRPr="00693C85">
        <w:rPr>
          <w:rFonts w:ascii="Arial" w:hAnsi="Arial" w:cs="Arial"/>
          <w:sz w:val="24"/>
          <w:szCs w:val="24"/>
        </w:rPr>
        <w:t xml:space="preserve"> Francouzská 454/74, Vinohrady, 101 00 Praha 10</w:t>
      </w:r>
      <w:r w:rsidRPr="00693C85">
        <w:rPr>
          <w:rStyle w:val="platne1"/>
          <w:rFonts w:ascii="Arial" w:hAnsi="Arial" w:cs="Arial"/>
          <w:sz w:val="24"/>
          <w:szCs w:val="24"/>
        </w:rPr>
        <w:t xml:space="preserve"> </w:t>
      </w:r>
    </w:p>
    <w:p w:rsidR="00984148" w:rsidRPr="00693C85" w:rsidRDefault="00984148" w:rsidP="00EA6F9B">
      <w:pPr>
        <w:pStyle w:val="Zkladntext"/>
        <w:spacing w:before="0" w:line="360" w:lineRule="auto"/>
        <w:ind w:left="567"/>
        <w:rPr>
          <w:rStyle w:val="platne1"/>
          <w:rFonts w:ascii="Arial" w:hAnsi="Arial" w:cs="Arial"/>
          <w:sz w:val="24"/>
          <w:szCs w:val="24"/>
        </w:rPr>
      </w:pPr>
      <w:r w:rsidRPr="00693C85">
        <w:rPr>
          <w:rStyle w:val="platne1"/>
          <w:rFonts w:ascii="Arial" w:hAnsi="Arial" w:cs="Arial"/>
          <w:sz w:val="24"/>
          <w:szCs w:val="24"/>
        </w:rPr>
        <w:t>zapsanou v obchodním rejstříku Městského soudu v Praze oddíl C, vložka 169814</w:t>
      </w:r>
    </w:p>
    <w:p w:rsidR="00984148" w:rsidRPr="00693C85" w:rsidRDefault="00984148" w:rsidP="00B53322">
      <w:pPr>
        <w:pStyle w:val="Identifikacestran"/>
        <w:spacing w:line="360" w:lineRule="auto"/>
        <w:ind w:left="567"/>
        <w:contextualSpacing/>
        <w:jc w:val="both"/>
        <w:rPr>
          <w:rFonts w:ascii="Arial" w:hAnsi="Arial" w:cs="Arial"/>
          <w:sz w:val="24"/>
          <w:shd w:val="clear" w:color="auto" w:fill="FFFF00"/>
        </w:rPr>
      </w:pPr>
      <w:r w:rsidRPr="00693C85">
        <w:rPr>
          <w:rFonts w:ascii="Arial" w:hAnsi="Arial" w:cs="Arial"/>
          <w:sz w:val="24"/>
        </w:rPr>
        <w:t>zastoupen</w:t>
      </w:r>
      <w:r w:rsidR="00EA6F9B">
        <w:rPr>
          <w:rFonts w:ascii="Arial" w:hAnsi="Arial" w:cs="Arial"/>
          <w:sz w:val="24"/>
        </w:rPr>
        <w:t>ou:</w:t>
      </w:r>
      <w:r w:rsidRPr="00693C85">
        <w:rPr>
          <w:rFonts w:ascii="Arial" w:hAnsi="Arial" w:cs="Arial"/>
          <w:sz w:val="24"/>
        </w:rPr>
        <w:t xml:space="preserve"> </w:t>
      </w:r>
      <w:r w:rsidR="005A7990">
        <w:rPr>
          <w:rFonts w:ascii="Arial" w:hAnsi="Arial" w:cs="Arial"/>
          <w:sz w:val="24"/>
        </w:rPr>
        <w:t>Michaelou Mertovou a Ing. Davidem Tůmou, na základě plné moci</w:t>
      </w:r>
      <w:r w:rsidR="008E46BA" w:rsidRPr="00693C85">
        <w:rPr>
          <w:rFonts w:ascii="Arial" w:hAnsi="Arial" w:cs="Arial"/>
          <w:sz w:val="24"/>
        </w:rPr>
        <w:t xml:space="preserve"> </w:t>
      </w:r>
    </w:p>
    <w:p w:rsidR="00B53322" w:rsidRPr="00693C85" w:rsidRDefault="00B53322" w:rsidP="00B53322">
      <w:pPr>
        <w:spacing w:line="360" w:lineRule="auto"/>
        <w:ind w:left="567"/>
        <w:contextualSpacing/>
        <w:jc w:val="both"/>
        <w:rPr>
          <w:rFonts w:ascii="Arial" w:hAnsi="Arial" w:cs="Arial"/>
          <w:sz w:val="24"/>
        </w:rPr>
      </w:pPr>
      <w:r w:rsidRPr="00693C85">
        <w:rPr>
          <w:rFonts w:ascii="Arial" w:hAnsi="Arial" w:cs="Arial"/>
          <w:sz w:val="24"/>
        </w:rPr>
        <w:t>IČ: 247 33 857</w:t>
      </w:r>
    </w:p>
    <w:p w:rsidR="006B701F" w:rsidRPr="00693C85" w:rsidRDefault="006B701F" w:rsidP="00B53322">
      <w:pPr>
        <w:spacing w:line="360" w:lineRule="auto"/>
        <w:ind w:left="567"/>
        <w:contextualSpacing/>
        <w:jc w:val="both"/>
        <w:rPr>
          <w:rFonts w:ascii="Arial" w:hAnsi="Arial" w:cs="Arial"/>
          <w:sz w:val="24"/>
        </w:rPr>
      </w:pPr>
      <w:r w:rsidRPr="00693C85">
        <w:rPr>
          <w:rFonts w:ascii="Arial" w:hAnsi="Arial" w:cs="Arial"/>
          <w:sz w:val="24"/>
        </w:rPr>
        <w:t>DIČ: CZ24733857</w:t>
      </w:r>
    </w:p>
    <w:p w:rsidR="0090568E" w:rsidRDefault="0090568E" w:rsidP="0090568E">
      <w:pPr>
        <w:spacing w:line="360" w:lineRule="auto"/>
        <w:ind w:left="567"/>
        <w:contextualSpacing/>
        <w:jc w:val="both"/>
        <w:rPr>
          <w:rFonts w:ascii="Arial" w:hAnsi="Arial" w:cs="Arial"/>
          <w:sz w:val="24"/>
        </w:rPr>
      </w:pPr>
      <w:r>
        <w:rPr>
          <w:rFonts w:ascii="Arial" w:hAnsi="Arial" w:cs="Arial"/>
          <w:sz w:val="24"/>
        </w:rPr>
        <w:t>bankovní spojení: Komerční banka, a.s.</w:t>
      </w:r>
    </w:p>
    <w:p w:rsidR="0090568E" w:rsidRDefault="0090568E" w:rsidP="0090568E">
      <w:pPr>
        <w:spacing w:line="360" w:lineRule="auto"/>
        <w:ind w:left="567"/>
        <w:contextualSpacing/>
        <w:jc w:val="both"/>
        <w:rPr>
          <w:rFonts w:ascii="Arial" w:hAnsi="Arial" w:cs="Arial"/>
          <w:sz w:val="24"/>
        </w:rPr>
      </w:pPr>
      <w:r>
        <w:rPr>
          <w:rFonts w:ascii="Arial" w:hAnsi="Arial" w:cs="Arial"/>
          <w:sz w:val="24"/>
        </w:rPr>
        <w:t>č.ú.: 43-7680750287 / 0100</w:t>
      </w:r>
    </w:p>
    <w:p w:rsidR="0090568E" w:rsidRDefault="0090568E" w:rsidP="0090568E">
      <w:pPr>
        <w:spacing w:after="120" w:line="360" w:lineRule="auto"/>
        <w:ind w:left="567"/>
        <w:contextualSpacing/>
        <w:jc w:val="both"/>
        <w:rPr>
          <w:rFonts w:ascii="Arial" w:hAnsi="Arial" w:cs="Arial"/>
          <w:sz w:val="24"/>
        </w:rPr>
      </w:pPr>
      <w:r>
        <w:rPr>
          <w:rFonts w:ascii="Arial" w:hAnsi="Arial" w:cs="Arial"/>
          <w:sz w:val="24"/>
        </w:rPr>
        <w:t>datová schránka: cnvt6ie</w:t>
      </w:r>
    </w:p>
    <w:p w:rsidR="00984148" w:rsidRPr="00693C85" w:rsidRDefault="00984148" w:rsidP="00984148">
      <w:pPr>
        <w:pStyle w:val="Identifikacestran"/>
        <w:spacing w:line="360" w:lineRule="auto"/>
        <w:ind w:firstLine="567"/>
        <w:jc w:val="both"/>
        <w:rPr>
          <w:rFonts w:ascii="Arial" w:hAnsi="Arial" w:cs="Arial"/>
          <w:sz w:val="24"/>
        </w:rPr>
      </w:pPr>
      <w:r w:rsidRPr="00693C85">
        <w:rPr>
          <w:rFonts w:ascii="Arial" w:hAnsi="Arial" w:cs="Arial"/>
          <w:sz w:val="24"/>
        </w:rPr>
        <w:t>(dále jen „</w:t>
      </w:r>
      <w:r w:rsidRPr="00693C85">
        <w:rPr>
          <w:rFonts w:ascii="Arial" w:hAnsi="Arial" w:cs="Arial"/>
          <w:b/>
          <w:sz w:val="24"/>
        </w:rPr>
        <w:t>Povinný</w:t>
      </w:r>
      <w:r w:rsidRPr="00693C85">
        <w:rPr>
          <w:rFonts w:ascii="Arial" w:hAnsi="Arial" w:cs="Arial"/>
          <w:sz w:val="24"/>
        </w:rPr>
        <w:t>“)</w:t>
      </w:r>
    </w:p>
    <w:p w:rsidR="00984148" w:rsidRPr="00693C85" w:rsidRDefault="00984148" w:rsidP="00984148">
      <w:pPr>
        <w:pStyle w:val="Identifikacestran"/>
        <w:spacing w:line="360" w:lineRule="auto"/>
        <w:jc w:val="both"/>
        <w:rPr>
          <w:rFonts w:ascii="Arial" w:hAnsi="Arial" w:cs="Arial"/>
          <w:sz w:val="24"/>
        </w:rPr>
      </w:pPr>
    </w:p>
    <w:p w:rsidR="00984148" w:rsidRPr="00693C85" w:rsidRDefault="00984148" w:rsidP="00984148">
      <w:pPr>
        <w:pStyle w:val="Identifikacestran"/>
        <w:spacing w:line="360" w:lineRule="auto"/>
        <w:ind w:left="567"/>
        <w:jc w:val="both"/>
        <w:rPr>
          <w:rFonts w:ascii="Arial" w:hAnsi="Arial" w:cs="Arial"/>
          <w:sz w:val="24"/>
        </w:rPr>
      </w:pPr>
      <w:r w:rsidRPr="00693C85">
        <w:rPr>
          <w:rFonts w:ascii="Arial" w:hAnsi="Arial" w:cs="Arial"/>
          <w:sz w:val="24"/>
        </w:rPr>
        <w:t>(Oprávněný a Povinný dále jednotlivě také jen jako „</w:t>
      </w:r>
      <w:r w:rsidRPr="00693C85">
        <w:rPr>
          <w:rFonts w:ascii="Arial" w:hAnsi="Arial" w:cs="Arial"/>
          <w:b/>
          <w:sz w:val="24"/>
        </w:rPr>
        <w:t>Smluvní strana</w:t>
      </w:r>
      <w:r w:rsidRPr="00693C85">
        <w:rPr>
          <w:rFonts w:ascii="Arial" w:hAnsi="Arial" w:cs="Arial"/>
          <w:sz w:val="24"/>
        </w:rPr>
        <w:t>“ a společně také jen jako „</w:t>
      </w:r>
      <w:r w:rsidRPr="00693C85">
        <w:rPr>
          <w:rFonts w:ascii="Arial" w:hAnsi="Arial" w:cs="Arial"/>
          <w:b/>
          <w:sz w:val="24"/>
        </w:rPr>
        <w:t>Smluvní strany</w:t>
      </w:r>
      <w:r w:rsidRPr="00693C85">
        <w:rPr>
          <w:rFonts w:ascii="Arial" w:hAnsi="Arial" w:cs="Arial"/>
          <w:sz w:val="24"/>
        </w:rPr>
        <w:t>“)</w:t>
      </w:r>
    </w:p>
    <w:p w:rsidR="00984148" w:rsidRPr="00693C85" w:rsidRDefault="00984148" w:rsidP="00984148">
      <w:pPr>
        <w:pStyle w:val="Nadpis1"/>
        <w:spacing w:line="360" w:lineRule="auto"/>
        <w:rPr>
          <w:rFonts w:ascii="Arial" w:hAnsi="Arial" w:cs="Arial"/>
          <w:b/>
          <w:szCs w:val="24"/>
        </w:rPr>
      </w:pPr>
      <w:r w:rsidRPr="00693C85">
        <w:rPr>
          <w:rFonts w:ascii="Arial" w:hAnsi="Arial" w:cs="Arial"/>
          <w:szCs w:val="24"/>
        </w:rPr>
        <w:lastRenderedPageBreak/>
        <w:t>Článek I.</w:t>
      </w:r>
    </w:p>
    <w:p w:rsidR="00984148" w:rsidRPr="00693C85" w:rsidRDefault="00984148" w:rsidP="00984148">
      <w:pPr>
        <w:pStyle w:val="Nadpis2"/>
        <w:spacing w:line="360" w:lineRule="auto"/>
        <w:rPr>
          <w:rFonts w:ascii="Arial" w:hAnsi="Arial" w:cs="Arial"/>
        </w:rPr>
      </w:pPr>
      <w:r w:rsidRPr="00693C85">
        <w:rPr>
          <w:rFonts w:ascii="Arial" w:hAnsi="Arial" w:cs="Arial"/>
        </w:rPr>
        <w:t>Úvodní ustanovení</w:t>
      </w:r>
    </w:p>
    <w:p w:rsidR="00984148" w:rsidRPr="00EA6F9B" w:rsidRDefault="00984148" w:rsidP="00B30D94">
      <w:pPr>
        <w:pStyle w:val="Odstavecseseznamem"/>
        <w:numPr>
          <w:ilvl w:val="1"/>
          <w:numId w:val="3"/>
        </w:numPr>
        <w:shd w:val="clear" w:color="auto" w:fill="FFFFFF" w:themeFill="background1"/>
        <w:suppressAutoHyphens/>
        <w:spacing w:before="100" w:afterLines="120" w:after="288" w:line="360" w:lineRule="auto"/>
        <w:ind w:left="567" w:hanging="567"/>
        <w:jc w:val="both"/>
        <w:rPr>
          <w:rFonts w:ascii="Arial" w:hAnsi="Arial" w:cs="Arial"/>
          <w:sz w:val="24"/>
          <w:szCs w:val="24"/>
        </w:rPr>
      </w:pPr>
      <w:bookmarkStart w:id="0" w:name="_Hlk3741045"/>
      <w:r w:rsidRPr="00693C85">
        <w:rPr>
          <w:rFonts w:ascii="Arial" w:hAnsi="Arial" w:cs="Arial"/>
          <w:sz w:val="24"/>
          <w:szCs w:val="24"/>
        </w:rPr>
        <w:t>Povinný je výlučným vlastníkem pozemků parc.č. 167/8 a 167/9, zapsaných v katastru nemovitostí vedeném Katastrálním úřadem pro hlavní město Prahu, Katastrální pracoviště Praha, na LV č. 20271 pro obec Praha, katastrální území Žižk</w:t>
      </w:r>
      <w:r w:rsidRPr="00401A20">
        <w:rPr>
          <w:rFonts w:ascii="Arial" w:hAnsi="Arial" w:cs="Arial"/>
          <w:sz w:val="24"/>
          <w:szCs w:val="24"/>
        </w:rPr>
        <w:t>ov</w:t>
      </w:r>
      <w:r w:rsidR="00C84F4D" w:rsidRPr="00401A20">
        <w:rPr>
          <w:rFonts w:ascii="Arial" w:hAnsi="Arial" w:cs="Arial"/>
          <w:sz w:val="24"/>
          <w:szCs w:val="24"/>
        </w:rPr>
        <w:t xml:space="preserve">. </w:t>
      </w:r>
      <w:r w:rsidR="00C84F4D" w:rsidRPr="003846B7">
        <w:rPr>
          <w:rFonts w:ascii="Arial" w:hAnsi="Arial" w:cs="Arial"/>
          <w:sz w:val="24"/>
          <w:szCs w:val="24"/>
        </w:rPr>
        <w:t>Pro účely této smlouvy j</w:t>
      </w:r>
      <w:r w:rsidR="0040635F" w:rsidRPr="003846B7">
        <w:rPr>
          <w:rFonts w:ascii="Arial" w:hAnsi="Arial" w:cs="Arial"/>
          <w:sz w:val="24"/>
          <w:szCs w:val="24"/>
        </w:rPr>
        <w:t>sou</w:t>
      </w:r>
      <w:r w:rsidR="00C84F4D" w:rsidRPr="003846B7">
        <w:rPr>
          <w:rFonts w:ascii="Arial" w:hAnsi="Arial" w:cs="Arial"/>
          <w:sz w:val="24"/>
          <w:szCs w:val="24"/>
        </w:rPr>
        <w:t xml:space="preserve"> celý pozemek</w:t>
      </w:r>
      <w:r w:rsidRPr="003846B7">
        <w:rPr>
          <w:rFonts w:ascii="Arial" w:hAnsi="Arial" w:cs="Arial"/>
          <w:sz w:val="24"/>
          <w:szCs w:val="24"/>
        </w:rPr>
        <w:t xml:space="preserve"> </w:t>
      </w:r>
      <w:r w:rsidR="00C84F4D" w:rsidRPr="003846B7">
        <w:rPr>
          <w:rFonts w:ascii="Arial" w:hAnsi="Arial" w:cs="Arial"/>
          <w:sz w:val="24"/>
          <w:szCs w:val="24"/>
        </w:rPr>
        <w:t>parc.č. 167/9 v k.ú. Žižkov</w:t>
      </w:r>
      <w:r w:rsidR="00B30D94" w:rsidRPr="003846B7">
        <w:rPr>
          <w:rFonts w:ascii="Arial" w:hAnsi="Arial" w:cs="Arial"/>
          <w:sz w:val="24"/>
          <w:szCs w:val="24"/>
        </w:rPr>
        <w:t xml:space="preserve">, obec Praha, </w:t>
      </w:r>
      <w:r w:rsidR="00C84F4D" w:rsidRPr="003846B7">
        <w:rPr>
          <w:rFonts w:ascii="Arial" w:hAnsi="Arial" w:cs="Arial"/>
          <w:sz w:val="24"/>
          <w:szCs w:val="24"/>
        </w:rPr>
        <w:t xml:space="preserve"> a část pozemku parc.č. 167/8 v k.ú. Žižkov,</w:t>
      </w:r>
      <w:r w:rsidR="00B30D94" w:rsidRPr="003846B7">
        <w:rPr>
          <w:rFonts w:ascii="Arial" w:hAnsi="Arial" w:cs="Arial"/>
          <w:sz w:val="24"/>
          <w:szCs w:val="24"/>
        </w:rPr>
        <w:t xml:space="preserve"> obec Praha</w:t>
      </w:r>
      <w:r w:rsidR="00C84F4D" w:rsidRPr="003846B7">
        <w:rPr>
          <w:rFonts w:ascii="Arial" w:hAnsi="Arial" w:cs="Arial"/>
          <w:sz w:val="24"/>
          <w:szCs w:val="24"/>
        </w:rPr>
        <w:t xml:space="preserve"> v rozsahu vymezeném geometrickým plánem č. 3312-18/2019 </w:t>
      </w:r>
      <w:r w:rsidR="00DD4DA5" w:rsidRPr="003846B7">
        <w:rPr>
          <w:rFonts w:ascii="Arial" w:hAnsi="Arial" w:cs="Arial"/>
          <w:sz w:val="24"/>
          <w:szCs w:val="24"/>
        </w:rPr>
        <w:t xml:space="preserve"> vypracovaným společností RSGeo-pro s.r.o., IČ 016 30 962, </w:t>
      </w:r>
      <w:r w:rsidR="00DD4DA5" w:rsidRPr="00B11B22">
        <w:rPr>
          <w:rFonts w:ascii="Arial" w:eastAsiaTheme="minorHAnsi" w:hAnsi="Arial" w:cs="Arial"/>
          <w:sz w:val="24"/>
          <w:szCs w:val="24"/>
          <w:lang w:eastAsia="en-US"/>
        </w:rPr>
        <w:t xml:space="preserve">Varšavská 947/16, 120 00 Praha 2 </w:t>
      </w:r>
      <w:r w:rsidR="00DD4DA5" w:rsidRPr="00B11B22">
        <w:rPr>
          <w:rFonts w:ascii="Arial" w:hAnsi="Arial" w:cs="Arial"/>
          <w:sz w:val="24"/>
          <w:szCs w:val="24"/>
        </w:rPr>
        <w:t xml:space="preserve">a odsouhlaseným dne </w:t>
      </w:r>
      <w:r w:rsidR="00B11B22" w:rsidRPr="00B11B22">
        <w:rPr>
          <w:rFonts w:ascii="Arial" w:hAnsi="Arial" w:cs="Arial"/>
          <w:sz w:val="24"/>
          <w:szCs w:val="24"/>
        </w:rPr>
        <w:t>12.4.2019</w:t>
      </w:r>
      <w:r w:rsidR="00DD4DA5" w:rsidRPr="00B11B22">
        <w:rPr>
          <w:rFonts w:ascii="Arial" w:hAnsi="Arial" w:cs="Arial"/>
          <w:sz w:val="24"/>
          <w:szCs w:val="24"/>
        </w:rPr>
        <w:t xml:space="preserve"> Katastrálním úřadem pro hlavní město Prahu, Katastrální pracoviště Praha pod číslem PGP-</w:t>
      </w:r>
      <w:r w:rsidR="00B11B22" w:rsidRPr="00B11B22">
        <w:rPr>
          <w:rFonts w:ascii="Arial" w:hAnsi="Arial" w:cs="Arial"/>
          <w:sz w:val="24"/>
          <w:szCs w:val="24"/>
        </w:rPr>
        <w:t>1728/2019</w:t>
      </w:r>
      <w:r w:rsidR="00DD4DA5" w:rsidRPr="00B11B22">
        <w:rPr>
          <w:rFonts w:ascii="Arial" w:hAnsi="Arial" w:cs="Arial"/>
          <w:sz w:val="24"/>
          <w:szCs w:val="24"/>
        </w:rPr>
        <w:t>-101</w:t>
      </w:r>
      <w:r w:rsidR="00C84F4D" w:rsidRPr="003846B7">
        <w:rPr>
          <w:rFonts w:ascii="Arial" w:hAnsi="Arial" w:cs="Arial"/>
          <w:sz w:val="24"/>
          <w:szCs w:val="24"/>
        </w:rPr>
        <w:t>, označen</w:t>
      </w:r>
      <w:r w:rsidR="0040635F" w:rsidRPr="003846B7">
        <w:rPr>
          <w:rFonts w:ascii="Arial" w:hAnsi="Arial" w:cs="Arial"/>
          <w:sz w:val="24"/>
          <w:szCs w:val="24"/>
        </w:rPr>
        <w:t>y</w:t>
      </w:r>
      <w:r w:rsidR="00C84F4D" w:rsidRPr="003846B7">
        <w:rPr>
          <w:rFonts w:ascii="Arial" w:hAnsi="Arial" w:cs="Arial"/>
          <w:sz w:val="24"/>
          <w:szCs w:val="24"/>
        </w:rPr>
        <w:t xml:space="preserve"> jako</w:t>
      </w:r>
      <w:r w:rsidR="00C84F4D" w:rsidRPr="00B11B22">
        <w:rPr>
          <w:rFonts w:ascii="Arial" w:hAnsi="Arial" w:cs="Arial"/>
          <w:sz w:val="24"/>
          <w:szCs w:val="24"/>
          <w:shd w:val="clear" w:color="auto" w:fill="FFFF00"/>
        </w:rPr>
        <w:t xml:space="preserve"> </w:t>
      </w:r>
      <w:r w:rsidR="00C84F4D" w:rsidRPr="003846B7">
        <w:rPr>
          <w:rFonts w:ascii="Arial" w:hAnsi="Arial" w:cs="Arial"/>
          <w:sz w:val="24"/>
          <w:szCs w:val="24"/>
        </w:rPr>
        <w:t>"</w:t>
      </w:r>
      <w:r w:rsidR="00C84F4D" w:rsidRPr="003846B7">
        <w:rPr>
          <w:rFonts w:ascii="Arial" w:hAnsi="Arial" w:cs="Arial"/>
          <w:b/>
          <w:sz w:val="24"/>
          <w:szCs w:val="24"/>
        </w:rPr>
        <w:t>Služebné pozemky</w:t>
      </w:r>
      <w:r w:rsidR="00C84F4D" w:rsidRPr="003846B7">
        <w:rPr>
          <w:rFonts w:ascii="Arial" w:hAnsi="Arial" w:cs="Arial"/>
          <w:sz w:val="24"/>
          <w:szCs w:val="24"/>
        </w:rPr>
        <w:t>".</w:t>
      </w:r>
      <w:r w:rsidR="0040635F" w:rsidRPr="003846B7">
        <w:rPr>
          <w:rFonts w:ascii="Arial" w:hAnsi="Arial" w:cs="Arial"/>
          <w:sz w:val="24"/>
          <w:szCs w:val="24"/>
        </w:rPr>
        <w:t xml:space="preserve"> Geometrický plán č. 3312-18/2019 </w:t>
      </w:r>
      <w:r w:rsidR="00B11B22" w:rsidRPr="003846B7">
        <w:rPr>
          <w:rFonts w:ascii="Arial" w:hAnsi="Arial" w:cs="Arial"/>
          <w:sz w:val="24"/>
          <w:szCs w:val="24"/>
        </w:rPr>
        <w:t>4</w:t>
      </w:r>
      <w:r w:rsidR="0047683E" w:rsidRPr="003846B7">
        <w:rPr>
          <w:rFonts w:ascii="Arial" w:hAnsi="Arial" w:cs="Arial"/>
          <w:sz w:val="24"/>
          <w:szCs w:val="24"/>
        </w:rPr>
        <w:t>,</w:t>
      </w:r>
      <w:r w:rsidR="0040635F" w:rsidRPr="003846B7">
        <w:rPr>
          <w:rFonts w:ascii="Arial" w:hAnsi="Arial" w:cs="Arial"/>
          <w:sz w:val="24"/>
          <w:szCs w:val="24"/>
        </w:rPr>
        <w:t xml:space="preserve"> </w:t>
      </w:r>
      <w:bookmarkStart w:id="1" w:name="_Hlk9941350"/>
      <w:r w:rsidR="0040635F" w:rsidRPr="003846B7">
        <w:rPr>
          <w:rFonts w:ascii="Arial" w:hAnsi="Arial" w:cs="Arial"/>
          <w:sz w:val="24"/>
          <w:szCs w:val="24"/>
        </w:rPr>
        <w:t>vypracovan</w:t>
      </w:r>
      <w:r w:rsidR="0047683E" w:rsidRPr="003846B7">
        <w:rPr>
          <w:rFonts w:ascii="Arial" w:hAnsi="Arial" w:cs="Arial"/>
          <w:sz w:val="24"/>
          <w:szCs w:val="24"/>
        </w:rPr>
        <w:t>ý</w:t>
      </w:r>
      <w:r w:rsidR="0040635F" w:rsidRPr="003846B7">
        <w:rPr>
          <w:rFonts w:ascii="Arial" w:hAnsi="Arial" w:cs="Arial"/>
          <w:sz w:val="24"/>
          <w:szCs w:val="24"/>
        </w:rPr>
        <w:t xml:space="preserve"> </w:t>
      </w:r>
      <w:r w:rsidR="0047683E" w:rsidRPr="003846B7">
        <w:rPr>
          <w:rFonts w:ascii="Arial" w:hAnsi="Arial" w:cs="Arial"/>
          <w:sz w:val="24"/>
          <w:szCs w:val="24"/>
        </w:rPr>
        <w:t>společností RSGeo-pro</w:t>
      </w:r>
      <w:r w:rsidR="00DA0CCB" w:rsidRPr="003846B7">
        <w:rPr>
          <w:rFonts w:ascii="Arial" w:hAnsi="Arial" w:cs="Arial"/>
          <w:sz w:val="24"/>
          <w:szCs w:val="24"/>
        </w:rPr>
        <w:t xml:space="preserve"> </w:t>
      </w:r>
      <w:r w:rsidR="0047683E" w:rsidRPr="003846B7">
        <w:rPr>
          <w:rFonts w:ascii="Arial" w:hAnsi="Arial" w:cs="Arial"/>
          <w:sz w:val="24"/>
          <w:szCs w:val="24"/>
        </w:rPr>
        <w:t>s.r.o.,</w:t>
      </w:r>
      <w:r w:rsidR="00DA0CCB" w:rsidRPr="003846B7">
        <w:rPr>
          <w:rFonts w:ascii="Arial" w:hAnsi="Arial" w:cs="Arial"/>
          <w:sz w:val="24"/>
          <w:szCs w:val="24"/>
        </w:rPr>
        <w:t xml:space="preserve"> </w:t>
      </w:r>
      <w:r w:rsidR="0047683E" w:rsidRPr="003846B7">
        <w:rPr>
          <w:rFonts w:ascii="Arial" w:hAnsi="Arial" w:cs="Arial"/>
          <w:sz w:val="24"/>
          <w:szCs w:val="24"/>
        </w:rPr>
        <w:t>IČ 016</w:t>
      </w:r>
      <w:r w:rsidR="00712104" w:rsidRPr="003846B7">
        <w:rPr>
          <w:rFonts w:ascii="Arial" w:hAnsi="Arial" w:cs="Arial"/>
          <w:sz w:val="24"/>
          <w:szCs w:val="24"/>
        </w:rPr>
        <w:t xml:space="preserve"> </w:t>
      </w:r>
      <w:r w:rsidR="0047683E" w:rsidRPr="003846B7">
        <w:rPr>
          <w:rFonts w:ascii="Arial" w:hAnsi="Arial" w:cs="Arial"/>
          <w:sz w:val="24"/>
          <w:szCs w:val="24"/>
        </w:rPr>
        <w:t>30</w:t>
      </w:r>
      <w:r w:rsidR="00B11B22" w:rsidRPr="003846B7">
        <w:rPr>
          <w:rFonts w:ascii="Arial" w:hAnsi="Arial" w:cs="Arial"/>
          <w:sz w:val="24"/>
          <w:szCs w:val="24"/>
        </w:rPr>
        <w:t> </w:t>
      </w:r>
      <w:r w:rsidR="0047683E" w:rsidRPr="003846B7">
        <w:rPr>
          <w:rFonts w:ascii="Arial" w:hAnsi="Arial" w:cs="Arial"/>
          <w:sz w:val="24"/>
          <w:szCs w:val="24"/>
        </w:rPr>
        <w:t>9</w:t>
      </w:r>
      <w:r w:rsidR="00DA0CCB" w:rsidRPr="003846B7">
        <w:rPr>
          <w:rFonts w:ascii="Arial" w:hAnsi="Arial" w:cs="Arial"/>
          <w:sz w:val="24"/>
          <w:szCs w:val="24"/>
        </w:rPr>
        <w:t>6</w:t>
      </w:r>
      <w:r w:rsidR="0047683E" w:rsidRPr="003846B7">
        <w:rPr>
          <w:rFonts w:ascii="Arial" w:hAnsi="Arial" w:cs="Arial"/>
          <w:sz w:val="24"/>
          <w:szCs w:val="24"/>
        </w:rPr>
        <w:t>2</w:t>
      </w:r>
      <w:bookmarkEnd w:id="1"/>
      <w:r w:rsidR="003770C1" w:rsidRPr="003846B7">
        <w:rPr>
          <w:rFonts w:ascii="Arial" w:hAnsi="Arial" w:cs="Arial"/>
          <w:sz w:val="24"/>
          <w:szCs w:val="24"/>
        </w:rPr>
        <w:t>,</w:t>
      </w:r>
      <w:r w:rsidR="00B11B22" w:rsidRPr="003846B7">
        <w:rPr>
          <w:rFonts w:ascii="Arial" w:hAnsi="Arial" w:cs="Arial"/>
          <w:sz w:val="24"/>
          <w:szCs w:val="24"/>
        </w:rPr>
        <w:t xml:space="preserve"> </w:t>
      </w:r>
      <w:r w:rsidR="00B11B22" w:rsidRPr="00B11B22">
        <w:rPr>
          <w:rFonts w:ascii="Arial" w:eastAsiaTheme="minorHAnsi" w:hAnsi="Arial" w:cs="Arial"/>
          <w:sz w:val="24"/>
          <w:szCs w:val="24"/>
          <w:lang w:eastAsia="en-US"/>
        </w:rPr>
        <w:t xml:space="preserve">Varšavská 947/16, 120 00 Praha 2 </w:t>
      </w:r>
      <w:r w:rsidR="00B11B22" w:rsidRPr="00B11B22">
        <w:rPr>
          <w:rFonts w:ascii="Arial" w:hAnsi="Arial" w:cs="Arial"/>
          <w:sz w:val="24"/>
          <w:szCs w:val="24"/>
        </w:rPr>
        <w:t>a odsouhlasený dne 12.4.2019 Katastrálním úřadem pro hlavní město Prahu, Katastrální pracoviště Praha pod číslem PGP-1728/2019-101</w:t>
      </w:r>
      <w:r w:rsidR="0047683E" w:rsidRPr="003846B7">
        <w:rPr>
          <w:rFonts w:ascii="Arial" w:hAnsi="Arial" w:cs="Arial"/>
          <w:sz w:val="24"/>
          <w:szCs w:val="24"/>
        </w:rPr>
        <w:t xml:space="preserve">, </w:t>
      </w:r>
      <w:r w:rsidR="0040635F" w:rsidRPr="003846B7">
        <w:rPr>
          <w:rFonts w:ascii="Arial" w:hAnsi="Arial" w:cs="Arial"/>
          <w:sz w:val="24"/>
          <w:szCs w:val="24"/>
        </w:rPr>
        <w:t>je jakožto Příloha č. 1 nedílnou součástí této Smlouvy</w:t>
      </w:r>
      <w:r w:rsidR="00F41430" w:rsidRPr="003846B7">
        <w:rPr>
          <w:rFonts w:ascii="Arial" w:hAnsi="Arial" w:cs="Arial"/>
          <w:sz w:val="24"/>
          <w:szCs w:val="24"/>
        </w:rPr>
        <w:t>.</w:t>
      </w:r>
    </w:p>
    <w:p w:rsidR="00984148" w:rsidRPr="00693C85" w:rsidRDefault="00984148" w:rsidP="00B30D94">
      <w:pPr>
        <w:pStyle w:val="Odstavecseseznamem"/>
        <w:numPr>
          <w:ilvl w:val="1"/>
          <w:numId w:val="3"/>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Povinný je vlastníkem i dalších pozemků, a to pozemk</w:t>
      </w:r>
      <w:r w:rsidR="00712104">
        <w:rPr>
          <w:rFonts w:ascii="Arial" w:hAnsi="Arial" w:cs="Arial"/>
          <w:sz w:val="24"/>
          <w:szCs w:val="24"/>
        </w:rPr>
        <w:t>ů</w:t>
      </w:r>
      <w:r w:rsidRPr="00693C85">
        <w:rPr>
          <w:rFonts w:ascii="Arial" w:hAnsi="Arial" w:cs="Arial"/>
          <w:sz w:val="24"/>
          <w:szCs w:val="24"/>
        </w:rPr>
        <w:t xml:space="preserve"> parc. č. </w:t>
      </w:r>
      <w:r w:rsidR="00B30119" w:rsidRPr="003846B7">
        <w:rPr>
          <w:rFonts w:ascii="Arial" w:hAnsi="Arial" w:cs="Arial"/>
          <w:sz w:val="24"/>
          <w:szCs w:val="24"/>
        </w:rPr>
        <w:t>163/4,</w:t>
      </w:r>
      <w:r w:rsidR="00AF033F" w:rsidRPr="003846B7">
        <w:rPr>
          <w:rFonts w:ascii="Arial" w:hAnsi="Arial" w:cs="Arial"/>
          <w:sz w:val="24"/>
          <w:szCs w:val="24"/>
        </w:rPr>
        <w:t xml:space="preserve"> </w:t>
      </w:r>
      <w:r w:rsidRPr="003846B7">
        <w:rPr>
          <w:rFonts w:ascii="Arial" w:hAnsi="Arial" w:cs="Arial"/>
          <w:sz w:val="24"/>
          <w:szCs w:val="24"/>
        </w:rPr>
        <w:t>163/6, 163/</w:t>
      </w:r>
      <w:r w:rsidR="00B30119" w:rsidRPr="003846B7">
        <w:rPr>
          <w:rFonts w:ascii="Arial" w:hAnsi="Arial" w:cs="Arial"/>
          <w:sz w:val="24"/>
          <w:szCs w:val="24"/>
        </w:rPr>
        <w:t>7,</w:t>
      </w:r>
      <w:r w:rsidRPr="003846B7">
        <w:rPr>
          <w:rFonts w:ascii="Arial" w:hAnsi="Arial" w:cs="Arial"/>
          <w:sz w:val="24"/>
          <w:szCs w:val="24"/>
        </w:rPr>
        <w:t xml:space="preserve"> 163/</w:t>
      </w:r>
      <w:r w:rsidR="00B30119" w:rsidRPr="003846B7">
        <w:rPr>
          <w:rFonts w:ascii="Arial" w:hAnsi="Arial" w:cs="Arial"/>
          <w:sz w:val="24"/>
          <w:szCs w:val="24"/>
        </w:rPr>
        <w:t>22</w:t>
      </w:r>
      <w:r w:rsidRPr="003846B7">
        <w:rPr>
          <w:rFonts w:ascii="Arial" w:hAnsi="Arial" w:cs="Arial"/>
          <w:sz w:val="24"/>
          <w:szCs w:val="24"/>
        </w:rPr>
        <w:t xml:space="preserve"> a 166/2</w:t>
      </w:r>
      <w:r w:rsidRPr="00401A20">
        <w:rPr>
          <w:rFonts w:ascii="Arial" w:hAnsi="Arial" w:cs="Arial"/>
          <w:sz w:val="24"/>
          <w:szCs w:val="24"/>
        </w:rPr>
        <w:t>, zapsaných v katastru nemovitostí vedeném Katastrálním</w:t>
      </w:r>
      <w:r w:rsidRPr="00693C85">
        <w:rPr>
          <w:rFonts w:ascii="Arial" w:hAnsi="Arial" w:cs="Arial"/>
          <w:sz w:val="24"/>
          <w:szCs w:val="24"/>
        </w:rPr>
        <w:t xml:space="preserve"> úřadem pro hlavní město Prahu, Katastrální pracoviště Praha, na LV č. 20271 pro obec Praha, katastrální území Žižkov (dále jen „</w:t>
      </w:r>
      <w:r w:rsidRPr="00693C85">
        <w:rPr>
          <w:rFonts w:ascii="Arial" w:hAnsi="Arial" w:cs="Arial"/>
          <w:b/>
          <w:sz w:val="24"/>
          <w:szCs w:val="24"/>
        </w:rPr>
        <w:t>Pozemky CTR</w:t>
      </w:r>
      <w:r w:rsidRPr="00693C85">
        <w:rPr>
          <w:rFonts w:ascii="Arial" w:hAnsi="Arial" w:cs="Arial"/>
          <w:sz w:val="24"/>
          <w:szCs w:val="24"/>
        </w:rPr>
        <w:t xml:space="preserve">“). Povinný má zájem na pozemku parc. č. 167/8 v </w:t>
      </w:r>
      <w:r w:rsidR="00003A36">
        <w:rPr>
          <w:rFonts w:ascii="Arial" w:hAnsi="Arial" w:cs="Arial"/>
          <w:sz w:val="24"/>
          <w:szCs w:val="24"/>
        </w:rPr>
        <w:t>k.ú.</w:t>
      </w:r>
      <w:r w:rsidRPr="00693C85">
        <w:rPr>
          <w:rFonts w:ascii="Arial" w:hAnsi="Arial" w:cs="Arial"/>
          <w:sz w:val="24"/>
          <w:szCs w:val="24"/>
        </w:rPr>
        <w:t xml:space="preserve"> Žižkov</w:t>
      </w:r>
      <w:r w:rsidR="00003A36">
        <w:rPr>
          <w:rFonts w:ascii="Arial" w:hAnsi="Arial" w:cs="Arial"/>
          <w:sz w:val="24"/>
          <w:szCs w:val="24"/>
        </w:rPr>
        <w:t xml:space="preserve"> </w:t>
      </w:r>
      <w:r w:rsidRPr="00693C85">
        <w:rPr>
          <w:rFonts w:ascii="Arial" w:hAnsi="Arial" w:cs="Arial"/>
          <w:sz w:val="24"/>
          <w:szCs w:val="24"/>
        </w:rPr>
        <w:t>a na Pozemcích CTR vybudovat projekt Viktoria Žižkov Center určený k bydlení a umístění doplňkových komerčních prostor sloužících jako kanceláře, obchod a služby dle stavebního povolení č.j. UMCP3 004732/2019 ze dne 23. 1. 2019 (dále jen „</w:t>
      </w:r>
      <w:r w:rsidRPr="00693C85">
        <w:rPr>
          <w:rFonts w:ascii="Arial" w:hAnsi="Arial" w:cs="Arial"/>
          <w:b/>
          <w:sz w:val="24"/>
          <w:szCs w:val="24"/>
        </w:rPr>
        <w:t>Projekt</w:t>
      </w:r>
      <w:r w:rsidRPr="00693C85">
        <w:rPr>
          <w:rFonts w:ascii="Arial" w:hAnsi="Arial" w:cs="Arial"/>
          <w:sz w:val="24"/>
          <w:szCs w:val="24"/>
        </w:rPr>
        <w:t xml:space="preserve">“); </w:t>
      </w:r>
    </w:p>
    <w:bookmarkEnd w:id="0"/>
    <w:p w:rsidR="00984148" w:rsidRPr="00693C85" w:rsidRDefault="00984148" w:rsidP="00B30D94">
      <w:pPr>
        <w:pStyle w:val="Odstavecseseznamem"/>
        <w:numPr>
          <w:ilvl w:val="1"/>
          <w:numId w:val="3"/>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 xml:space="preserve">Hlavní město Praha, IČO </w:t>
      </w:r>
      <w:r w:rsidRPr="00693C85">
        <w:rPr>
          <w:rFonts w:ascii="Arial" w:hAnsi="Arial" w:cs="Arial"/>
          <w:bCs/>
          <w:sz w:val="24"/>
          <w:szCs w:val="24"/>
        </w:rPr>
        <w:t xml:space="preserve">000 64 581, </w:t>
      </w:r>
      <w:r w:rsidRPr="00693C85">
        <w:rPr>
          <w:rFonts w:ascii="Arial" w:hAnsi="Arial" w:cs="Arial"/>
          <w:sz w:val="24"/>
          <w:szCs w:val="24"/>
        </w:rPr>
        <w:t xml:space="preserve">se sídlem Mariánské náměstí 2/2, Staré Město, 110 00 Praha 1, je výlučným vlastníkem následujících pozemků: </w:t>
      </w:r>
    </w:p>
    <w:p w:rsidR="00984148" w:rsidRPr="00693C85" w:rsidRDefault="00984148" w:rsidP="00984148">
      <w:pPr>
        <w:pStyle w:val="Odstavecseseznamem"/>
        <w:numPr>
          <w:ilvl w:val="1"/>
          <w:numId w:val="6"/>
        </w:numPr>
        <w:spacing w:line="360" w:lineRule="auto"/>
        <w:ind w:left="1134" w:hanging="567"/>
        <w:jc w:val="both"/>
        <w:rPr>
          <w:rFonts w:ascii="Arial" w:hAnsi="Arial" w:cs="Arial"/>
          <w:sz w:val="24"/>
          <w:szCs w:val="24"/>
        </w:rPr>
      </w:pPr>
      <w:r w:rsidRPr="00693C85">
        <w:rPr>
          <w:rFonts w:ascii="Arial" w:hAnsi="Arial" w:cs="Arial"/>
          <w:sz w:val="24"/>
          <w:szCs w:val="24"/>
        </w:rPr>
        <w:t>parc. č. 163/1, druh pozemku: ostatní plocha, o výměře dle katastru nemovitostí: 4.452 m</w:t>
      </w:r>
      <w:r w:rsidRPr="00693C85">
        <w:rPr>
          <w:rFonts w:ascii="Arial" w:hAnsi="Arial" w:cs="Arial"/>
          <w:sz w:val="24"/>
          <w:szCs w:val="24"/>
          <w:vertAlign w:val="superscript"/>
        </w:rPr>
        <w:t>2</w:t>
      </w:r>
      <w:r w:rsidRPr="00693C85">
        <w:rPr>
          <w:rFonts w:ascii="Arial" w:hAnsi="Arial" w:cs="Arial"/>
          <w:sz w:val="24"/>
          <w:szCs w:val="24"/>
        </w:rPr>
        <w:t xml:space="preserve">; </w:t>
      </w:r>
    </w:p>
    <w:p w:rsidR="00984148" w:rsidRPr="00693C85" w:rsidRDefault="00984148" w:rsidP="00984148">
      <w:pPr>
        <w:pStyle w:val="Odstavecseseznamem"/>
        <w:numPr>
          <w:ilvl w:val="1"/>
          <w:numId w:val="6"/>
        </w:numPr>
        <w:spacing w:line="360" w:lineRule="auto"/>
        <w:ind w:left="1134" w:hanging="567"/>
        <w:jc w:val="both"/>
        <w:rPr>
          <w:rFonts w:ascii="Arial" w:hAnsi="Arial" w:cs="Arial"/>
          <w:sz w:val="24"/>
          <w:szCs w:val="24"/>
        </w:rPr>
      </w:pPr>
      <w:r w:rsidRPr="00693C85">
        <w:rPr>
          <w:rFonts w:ascii="Arial" w:hAnsi="Arial" w:cs="Arial"/>
          <w:sz w:val="24"/>
          <w:szCs w:val="24"/>
        </w:rPr>
        <w:t>parc. č. 163/5, druh pozemku: ostatní plocha, o výměře dle katastru nemovitostí: 7.700 m</w:t>
      </w:r>
      <w:r w:rsidRPr="00693C85">
        <w:rPr>
          <w:rFonts w:ascii="Arial" w:hAnsi="Arial" w:cs="Arial"/>
          <w:sz w:val="24"/>
          <w:szCs w:val="24"/>
          <w:vertAlign w:val="superscript"/>
        </w:rPr>
        <w:t>2</w:t>
      </w:r>
      <w:r w:rsidRPr="00693C85">
        <w:rPr>
          <w:rFonts w:ascii="Arial" w:hAnsi="Arial" w:cs="Arial"/>
          <w:sz w:val="24"/>
          <w:szCs w:val="24"/>
        </w:rPr>
        <w:t xml:space="preserve">; </w:t>
      </w:r>
    </w:p>
    <w:p w:rsidR="00984148" w:rsidRPr="00693C85" w:rsidRDefault="00984148" w:rsidP="00984148">
      <w:pPr>
        <w:pStyle w:val="Odstavecseseznamem"/>
        <w:numPr>
          <w:ilvl w:val="1"/>
          <w:numId w:val="6"/>
        </w:numPr>
        <w:spacing w:line="360" w:lineRule="auto"/>
        <w:ind w:left="1134" w:hanging="567"/>
        <w:jc w:val="both"/>
        <w:rPr>
          <w:rFonts w:ascii="Arial" w:hAnsi="Arial" w:cs="Arial"/>
          <w:sz w:val="24"/>
          <w:szCs w:val="24"/>
        </w:rPr>
      </w:pPr>
      <w:r w:rsidRPr="00693C85">
        <w:rPr>
          <w:rFonts w:ascii="Arial" w:hAnsi="Arial" w:cs="Arial"/>
          <w:sz w:val="24"/>
          <w:szCs w:val="24"/>
        </w:rPr>
        <w:lastRenderedPageBreak/>
        <w:t>parc. č. 163/8, druh pozemku: ostatní plocha, o výměře dle katastru nemovitostí: 22 m</w:t>
      </w:r>
      <w:r w:rsidRPr="00693C85">
        <w:rPr>
          <w:rFonts w:ascii="Arial" w:hAnsi="Arial" w:cs="Arial"/>
          <w:sz w:val="24"/>
          <w:szCs w:val="24"/>
          <w:vertAlign w:val="superscript"/>
        </w:rPr>
        <w:t>2</w:t>
      </w:r>
      <w:r w:rsidRPr="00693C85">
        <w:rPr>
          <w:rFonts w:ascii="Arial" w:hAnsi="Arial" w:cs="Arial"/>
          <w:sz w:val="24"/>
          <w:szCs w:val="24"/>
        </w:rPr>
        <w:t>;</w:t>
      </w:r>
    </w:p>
    <w:p w:rsidR="00984148" w:rsidRPr="00693C85" w:rsidRDefault="00984148" w:rsidP="00984148">
      <w:pPr>
        <w:pStyle w:val="Odstavecseseznamem"/>
        <w:numPr>
          <w:ilvl w:val="1"/>
          <w:numId w:val="6"/>
        </w:numPr>
        <w:spacing w:line="360" w:lineRule="auto"/>
        <w:ind w:left="1134" w:hanging="567"/>
        <w:jc w:val="both"/>
        <w:rPr>
          <w:rFonts w:ascii="Arial" w:hAnsi="Arial" w:cs="Arial"/>
          <w:sz w:val="24"/>
          <w:szCs w:val="24"/>
        </w:rPr>
      </w:pPr>
      <w:r w:rsidRPr="00693C85">
        <w:rPr>
          <w:rFonts w:ascii="Arial" w:hAnsi="Arial" w:cs="Arial"/>
          <w:sz w:val="24"/>
          <w:szCs w:val="24"/>
        </w:rPr>
        <w:t>parc. č. 163/11, druh pozemku: ostatní plocha, o výměře dle katastru nemovitostí: 71 m</w:t>
      </w:r>
      <w:r w:rsidRPr="00693C85">
        <w:rPr>
          <w:rFonts w:ascii="Arial" w:hAnsi="Arial" w:cs="Arial"/>
          <w:sz w:val="24"/>
          <w:szCs w:val="24"/>
          <w:vertAlign w:val="superscript"/>
        </w:rPr>
        <w:t>2</w:t>
      </w:r>
      <w:r w:rsidRPr="00693C85">
        <w:rPr>
          <w:rFonts w:ascii="Arial" w:hAnsi="Arial" w:cs="Arial"/>
          <w:sz w:val="24"/>
          <w:szCs w:val="24"/>
        </w:rPr>
        <w:t>;</w:t>
      </w:r>
    </w:p>
    <w:p w:rsidR="00984148" w:rsidRPr="00693C85" w:rsidRDefault="00984148" w:rsidP="00984148">
      <w:pPr>
        <w:pStyle w:val="Odstavecseseznamem"/>
        <w:numPr>
          <w:ilvl w:val="1"/>
          <w:numId w:val="6"/>
        </w:numPr>
        <w:spacing w:line="360" w:lineRule="auto"/>
        <w:ind w:left="1134" w:hanging="567"/>
        <w:jc w:val="both"/>
        <w:rPr>
          <w:rFonts w:ascii="Arial" w:hAnsi="Arial" w:cs="Arial"/>
          <w:sz w:val="24"/>
          <w:szCs w:val="24"/>
        </w:rPr>
      </w:pPr>
      <w:r w:rsidRPr="00693C85">
        <w:rPr>
          <w:rFonts w:ascii="Arial" w:hAnsi="Arial" w:cs="Arial"/>
          <w:sz w:val="24"/>
          <w:szCs w:val="24"/>
        </w:rPr>
        <w:t>parc. č. 163/19, druh pozemku: ostatní plocha, o výměře dle katastru nemovitostí: 51 m</w:t>
      </w:r>
      <w:r w:rsidRPr="00693C85">
        <w:rPr>
          <w:rFonts w:ascii="Arial" w:hAnsi="Arial" w:cs="Arial"/>
          <w:sz w:val="24"/>
          <w:szCs w:val="24"/>
          <w:vertAlign w:val="superscript"/>
        </w:rPr>
        <w:t>2</w:t>
      </w:r>
      <w:r w:rsidRPr="00693C85">
        <w:rPr>
          <w:rFonts w:ascii="Arial" w:hAnsi="Arial" w:cs="Arial"/>
          <w:sz w:val="24"/>
          <w:szCs w:val="24"/>
        </w:rPr>
        <w:t>;</w:t>
      </w:r>
    </w:p>
    <w:p w:rsidR="00984148" w:rsidRPr="00693C85" w:rsidRDefault="00984148" w:rsidP="00984148">
      <w:pPr>
        <w:pStyle w:val="Odstavecseseznamem"/>
        <w:numPr>
          <w:ilvl w:val="1"/>
          <w:numId w:val="6"/>
        </w:numPr>
        <w:spacing w:line="360" w:lineRule="auto"/>
        <w:ind w:left="1134" w:hanging="567"/>
        <w:jc w:val="both"/>
        <w:rPr>
          <w:rFonts w:ascii="Arial" w:hAnsi="Arial" w:cs="Arial"/>
          <w:sz w:val="24"/>
          <w:szCs w:val="24"/>
        </w:rPr>
      </w:pPr>
      <w:r w:rsidRPr="00693C85">
        <w:rPr>
          <w:rFonts w:ascii="Arial" w:hAnsi="Arial" w:cs="Arial"/>
          <w:sz w:val="24"/>
          <w:szCs w:val="24"/>
        </w:rPr>
        <w:t>parc. č. 163/20, druh pozemku: ostatní plocha, o výměře dle katastru nemovitostí: 19 m</w:t>
      </w:r>
      <w:r w:rsidRPr="00693C85">
        <w:rPr>
          <w:rFonts w:ascii="Arial" w:hAnsi="Arial" w:cs="Arial"/>
          <w:sz w:val="24"/>
          <w:szCs w:val="24"/>
          <w:vertAlign w:val="superscript"/>
        </w:rPr>
        <w:t>2</w:t>
      </w:r>
      <w:r w:rsidRPr="00693C85">
        <w:rPr>
          <w:rFonts w:ascii="Arial" w:hAnsi="Arial" w:cs="Arial"/>
          <w:sz w:val="24"/>
          <w:szCs w:val="24"/>
        </w:rPr>
        <w:t>;</w:t>
      </w:r>
    </w:p>
    <w:p w:rsidR="00984148" w:rsidRPr="00693C85" w:rsidRDefault="00984148" w:rsidP="00984148">
      <w:pPr>
        <w:pStyle w:val="Odstavecseseznamem"/>
        <w:numPr>
          <w:ilvl w:val="1"/>
          <w:numId w:val="6"/>
        </w:numPr>
        <w:spacing w:line="360" w:lineRule="auto"/>
        <w:ind w:left="1134" w:hanging="567"/>
        <w:jc w:val="both"/>
        <w:rPr>
          <w:rFonts w:ascii="Arial" w:hAnsi="Arial" w:cs="Arial"/>
          <w:sz w:val="24"/>
          <w:szCs w:val="24"/>
        </w:rPr>
      </w:pPr>
      <w:r w:rsidRPr="00693C85">
        <w:rPr>
          <w:rFonts w:ascii="Arial" w:hAnsi="Arial" w:cs="Arial"/>
          <w:sz w:val="24"/>
          <w:szCs w:val="24"/>
        </w:rPr>
        <w:t>parc. č. 163/21, druh pozemku: zastavěná plocha a nádvoří, o výměře dle katastru nemovitostí: 44 m</w:t>
      </w:r>
      <w:r w:rsidRPr="00693C85">
        <w:rPr>
          <w:rFonts w:ascii="Arial" w:hAnsi="Arial" w:cs="Arial"/>
          <w:sz w:val="24"/>
          <w:szCs w:val="24"/>
          <w:vertAlign w:val="superscript"/>
        </w:rPr>
        <w:t>2</w:t>
      </w:r>
      <w:r w:rsidRPr="00693C85">
        <w:rPr>
          <w:rFonts w:ascii="Arial" w:hAnsi="Arial" w:cs="Arial"/>
          <w:sz w:val="24"/>
          <w:szCs w:val="24"/>
        </w:rPr>
        <w:t>, jehož součástí je stavba – budova bez č. p.; stavba technického vybavení;</w:t>
      </w:r>
    </w:p>
    <w:p w:rsidR="00984148" w:rsidRPr="00693C85" w:rsidRDefault="00984148" w:rsidP="00984148">
      <w:pPr>
        <w:pStyle w:val="Odstavecseseznamem"/>
        <w:numPr>
          <w:ilvl w:val="1"/>
          <w:numId w:val="6"/>
        </w:numPr>
        <w:spacing w:line="360" w:lineRule="auto"/>
        <w:ind w:left="1134" w:hanging="567"/>
        <w:jc w:val="both"/>
        <w:rPr>
          <w:rFonts w:ascii="Arial" w:hAnsi="Arial" w:cs="Arial"/>
          <w:sz w:val="24"/>
          <w:szCs w:val="24"/>
        </w:rPr>
      </w:pPr>
      <w:r w:rsidRPr="00693C85">
        <w:rPr>
          <w:rFonts w:ascii="Arial" w:hAnsi="Arial" w:cs="Arial"/>
          <w:sz w:val="24"/>
          <w:szCs w:val="24"/>
        </w:rPr>
        <w:t>parc. č. 166/7, druh pozemku: zastavěná plocha a nádvoří, o výměře dle katastru nemovitostí: 916 m</w:t>
      </w:r>
      <w:r w:rsidRPr="00693C85">
        <w:rPr>
          <w:rFonts w:ascii="Arial" w:hAnsi="Arial" w:cs="Arial"/>
          <w:sz w:val="24"/>
          <w:szCs w:val="24"/>
          <w:vertAlign w:val="superscript"/>
        </w:rPr>
        <w:t>2</w:t>
      </w:r>
      <w:r w:rsidRPr="00693C85">
        <w:rPr>
          <w:rFonts w:ascii="Arial" w:hAnsi="Arial" w:cs="Arial"/>
          <w:sz w:val="24"/>
          <w:szCs w:val="24"/>
        </w:rPr>
        <w:t>, jehož součástí je stavba – budova bez č. p.; jiná stavba; a</w:t>
      </w:r>
    </w:p>
    <w:p w:rsidR="00984148" w:rsidRPr="00693C85" w:rsidRDefault="00984148" w:rsidP="00984148">
      <w:pPr>
        <w:pStyle w:val="Odstavecseseznamem"/>
        <w:numPr>
          <w:ilvl w:val="1"/>
          <w:numId w:val="6"/>
        </w:numPr>
        <w:spacing w:line="360" w:lineRule="auto"/>
        <w:ind w:left="1134" w:hanging="567"/>
        <w:jc w:val="both"/>
        <w:rPr>
          <w:rFonts w:ascii="Arial" w:hAnsi="Arial" w:cs="Arial"/>
          <w:sz w:val="24"/>
          <w:szCs w:val="24"/>
        </w:rPr>
      </w:pPr>
      <w:r w:rsidRPr="00693C85">
        <w:rPr>
          <w:rFonts w:ascii="Arial" w:hAnsi="Arial" w:cs="Arial"/>
          <w:sz w:val="24"/>
          <w:szCs w:val="24"/>
        </w:rPr>
        <w:t>parc. č. 166/21, druh pozemku: zastavěná plocha a nádvoří, o výměře dle katastru nemovitostí: 115 m</w:t>
      </w:r>
      <w:r w:rsidRPr="00693C85">
        <w:rPr>
          <w:rFonts w:ascii="Arial" w:hAnsi="Arial" w:cs="Arial"/>
          <w:sz w:val="24"/>
          <w:szCs w:val="24"/>
          <w:vertAlign w:val="superscript"/>
        </w:rPr>
        <w:t>2</w:t>
      </w:r>
      <w:r w:rsidRPr="00693C85">
        <w:rPr>
          <w:rFonts w:ascii="Arial" w:hAnsi="Arial" w:cs="Arial"/>
          <w:sz w:val="24"/>
          <w:szCs w:val="24"/>
        </w:rPr>
        <w:t xml:space="preserve">, jehož součástí je stavba – budova s č. p. 2871; stavba občanského vybavení; </w:t>
      </w:r>
    </w:p>
    <w:p w:rsidR="00984148" w:rsidRPr="00693C85" w:rsidRDefault="00984148" w:rsidP="00B30D94">
      <w:pPr>
        <w:pStyle w:val="Odstavecseseznamem"/>
        <w:suppressAutoHyphens/>
        <w:spacing w:before="100" w:afterLines="120" w:after="288" w:line="360" w:lineRule="auto"/>
        <w:ind w:left="567"/>
        <w:jc w:val="both"/>
        <w:rPr>
          <w:rFonts w:ascii="Arial" w:hAnsi="Arial" w:cs="Arial"/>
          <w:sz w:val="24"/>
          <w:szCs w:val="24"/>
        </w:rPr>
      </w:pPr>
      <w:r w:rsidRPr="00693C85">
        <w:rPr>
          <w:rFonts w:ascii="Arial" w:hAnsi="Arial" w:cs="Arial"/>
          <w:sz w:val="24"/>
          <w:szCs w:val="24"/>
        </w:rPr>
        <w:t>zapsaných na LV č. 1636 v katastru nemovitostí vedeném Katastrálním úřadem pro hlavní město Prahu, Katastrální pracoviště Praha, pro obec Praha, katastrální území Žižkov, přičemž správa těchto pozemků byla svěřena MČ Praha 3 (dále jen „</w:t>
      </w:r>
      <w:r w:rsidRPr="00693C85">
        <w:rPr>
          <w:rFonts w:ascii="Arial" w:hAnsi="Arial" w:cs="Arial"/>
          <w:b/>
          <w:sz w:val="24"/>
          <w:szCs w:val="24"/>
        </w:rPr>
        <w:t>Panující pozemky</w:t>
      </w:r>
      <w:r w:rsidRPr="00693C85">
        <w:rPr>
          <w:rFonts w:ascii="Arial" w:hAnsi="Arial" w:cs="Arial"/>
          <w:sz w:val="24"/>
          <w:szCs w:val="24"/>
        </w:rPr>
        <w:t>“).</w:t>
      </w:r>
    </w:p>
    <w:p w:rsidR="00984148" w:rsidRPr="00693C85" w:rsidRDefault="00984148" w:rsidP="00B30D94">
      <w:pPr>
        <w:pStyle w:val="Odstavecseseznamem"/>
        <w:numPr>
          <w:ilvl w:val="1"/>
          <w:numId w:val="3"/>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Smluvní strany mají zájem touto Smlouvou umožnit Oprávněnému a všem případným budoucím vlastníkům Panujících pozemků v</w:t>
      </w:r>
      <w:r w:rsidR="0047683E" w:rsidRPr="00693C85">
        <w:rPr>
          <w:rFonts w:ascii="Arial" w:hAnsi="Arial" w:cs="Arial"/>
          <w:color w:val="FF0000"/>
          <w:sz w:val="24"/>
          <w:szCs w:val="24"/>
        </w:rPr>
        <w:t xml:space="preserve"> </w:t>
      </w:r>
      <w:r w:rsidR="00F41430" w:rsidRPr="00F41430">
        <w:rPr>
          <w:rFonts w:ascii="Arial" w:hAnsi="Arial" w:cs="Arial"/>
          <w:sz w:val="24"/>
          <w:szCs w:val="24"/>
        </w:rPr>
        <w:t>jakémkoliv</w:t>
      </w:r>
      <w:r w:rsidR="00EA6D2C" w:rsidRPr="00693C85">
        <w:rPr>
          <w:rFonts w:ascii="Arial" w:hAnsi="Arial" w:cs="Arial"/>
          <w:color w:val="FF0000"/>
          <w:sz w:val="24"/>
          <w:szCs w:val="24"/>
        </w:rPr>
        <w:t xml:space="preserve"> </w:t>
      </w:r>
      <w:r w:rsidRPr="00693C85">
        <w:rPr>
          <w:rFonts w:ascii="Arial" w:hAnsi="Arial" w:cs="Arial"/>
          <w:sz w:val="24"/>
          <w:szCs w:val="24"/>
        </w:rPr>
        <w:t>rozsahu chodit přes Služebné pozemky a dopravovat se přes ně lidskou silou a jezdit přes Služebné pozemky jakýmikoliv vozidly v souladu s</w:t>
      </w:r>
      <w:r w:rsidRPr="00693C85">
        <w:rPr>
          <w:rFonts w:ascii="Arial" w:hAnsi="Arial" w:cs="Arial"/>
          <w:iCs/>
          <w:sz w:val="24"/>
          <w:szCs w:val="24"/>
        </w:rPr>
        <w:t> obecně závaznými právními předpisy a povolením příslušných veřejnoprávních orgánů</w:t>
      </w:r>
      <w:r w:rsidRPr="00693C85">
        <w:rPr>
          <w:rFonts w:ascii="Arial" w:hAnsi="Arial" w:cs="Arial"/>
          <w:sz w:val="24"/>
          <w:szCs w:val="24"/>
        </w:rPr>
        <w:t>, a to prostřednictvím zřízení služebnosti stezky a cesty ve prospěch Panujících pozemků.</w:t>
      </w:r>
    </w:p>
    <w:p w:rsidR="00984148" w:rsidRPr="00693C85" w:rsidRDefault="00984148" w:rsidP="00984148">
      <w:pPr>
        <w:pStyle w:val="Nadpis1"/>
        <w:spacing w:line="360" w:lineRule="auto"/>
        <w:rPr>
          <w:rFonts w:ascii="Arial" w:hAnsi="Arial" w:cs="Arial"/>
          <w:b/>
          <w:szCs w:val="24"/>
        </w:rPr>
      </w:pPr>
      <w:r w:rsidRPr="00693C85">
        <w:rPr>
          <w:rFonts w:ascii="Arial" w:hAnsi="Arial" w:cs="Arial"/>
          <w:szCs w:val="24"/>
        </w:rPr>
        <w:t>Článek II.</w:t>
      </w:r>
    </w:p>
    <w:p w:rsidR="00984148" w:rsidRPr="00693C85" w:rsidRDefault="00984148" w:rsidP="00984148">
      <w:pPr>
        <w:pStyle w:val="Nadpis2"/>
        <w:spacing w:line="360" w:lineRule="auto"/>
        <w:rPr>
          <w:rFonts w:ascii="Arial" w:hAnsi="Arial" w:cs="Arial"/>
        </w:rPr>
      </w:pPr>
      <w:r w:rsidRPr="00693C85">
        <w:rPr>
          <w:rFonts w:ascii="Arial" w:hAnsi="Arial" w:cs="Arial"/>
        </w:rPr>
        <w:t>Předmět Smlouvy</w:t>
      </w:r>
    </w:p>
    <w:p w:rsidR="00984148" w:rsidRPr="00693C85" w:rsidRDefault="00984148" w:rsidP="003846B7">
      <w:pPr>
        <w:pStyle w:val="Odstavecseseznamem"/>
        <w:numPr>
          <w:ilvl w:val="1"/>
          <w:numId w:val="4"/>
        </w:numPr>
        <w:suppressAutoHyphens/>
        <w:spacing w:before="100" w:afterLines="120" w:after="288" w:line="360" w:lineRule="auto"/>
        <w:ind w:left="567" w:hanging="567"/>
        <w:jc w:val="both"/>
        <w:rPr>
          <w:rFonts w:ascii="Arial" w:hAnsi="Arial" w:cs="Arial"/>
          <w:sz w:val="24"/>
          <w:szCs w:val="24"/>
        </w:rPr>
      </w:pPr>
      <w:r w:rsidRPr="00401A20">
        <w:rPr>
          <w:rFonts w:ascii="Arial" w:hAnsi="Arial" w:cs="Arial"/>
          <w:sz w:val="24"/>
          <w:szCs w:val="24"/>
        </w:rPr>
        <w:t>Povinný touto Smlouvou zřizuje ve prospěch Panujících pozemků pozemkovou služebnost stezky a cesty spočívající v neomezeném právu přístupu a příjezdu k</w:t>
      </w:r>
      <w:r w:rsidRPr="00693C85">
        <w:rPr>
          <w:rFonts w:ascii="Arial" w:hAnsi="Arial" w:cs="Arial"/>
          <w:sz w:val="24"/>
          <w:szCs w:val="24"/>
        </w:rPr>
        <w:t xml:space="preserve"> </w:t>
      </w:r>
      <w:r w:rsidRPr="00693C85">
        <w:rPr>
          <w:rFonts w:ascii="Arial" w:hAnsi="Arial" w:cs="Arial"/>
          <w:sz w:val="24"/>
          <w:szCs w:val="24"/>
        </w:rPr>
        <w:lastRenderedPageBreak/>
        <w:t>Panujícím pozemkům přes Služebné pozemky, vše v souladu s</w:t>
      </w:r>
      <w:r w:rsidRPr="00693C85">
        <w:rPr>
          <w:rFonts w:ascii="Arial" w:hAnsi="Arial" w:cs="Arial"/>
          <w:iCs/>
          <w:sz w:val="24"/>
          <w:szCs w:val="24"/>
        </w:rPr>
        <w:t> obecně závaznými právními předpisy a povolením příslušných veřejnoprávních orgánů</w:t>
      </w:r>
      <w:r w:rsidR="00AF033F">
        <w:rPr>
          <w:rFonts w:ascii="Arial" w:hAnsi="Arial" w:cs="Arial"/>
          <w:iCs/>
          <w:sz w:val="24"/>
          <w:szCs w:val="24"/>
        </w:rPr>
        <w:t xml:space="preserve"> (dále jen </w:t>
      </w:r>
      <w:r w:rsidR="00AF033F" w:rsidRPr="00AF033F">
        <w:rPr>
          <w:rFonts w:ascii="Arial" w:hAnsi="Arial" w:cs="Arial"/>
          <w:b/>
          <w:iCs/>
          <w:sz w:val="24"/>
          <w:szCs w:val="24"/>
        </w:rPr>
        <w:t>„Služebnost“</w:t>
      </w:r>
      <w:r w:rsidR="00AF033F">
        <w:rPr>
          <w:rFonts w:ascii="Arial" w:hAnsi="Arial" w:cs="Arial"/>
          <w:iCs/>
          <w:sz w:val="24"/>
          <w:szCs w:val="24"/>
        </w:rPr>
        <w:t>)</w:t>
      </w:r>
      <w:r w:rsidR="0047683E" w:rsidRPr="00693C85">
        <w:rPr>
          <w:rFonts w:ascii="Arial" w:hAnsi="Arial" w:cs="Arial"/>
          <w:iCs/>
          <w:sz w:val="24"/>
          <w:szCs w:val="24"/>
        </w:rPr>
        <w:t xml:space="preserve">. </w:t>
      </w:r>
    </w:p>
    <w:p w:rsidR="00984148" w:rsidRPr="00693C85" w:rsidRDefault="00984148" w:rsidP="00B30D94">
      <w:pPr>
        <w:pStyle w:val="Odstavecseseznamem"/>
        <w:numPr>
          <w:ilvl w:val="1"/>
          <w:numId w:val="4"/>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Oprávněný práva vyplývající pro něj a všechny případné budoucí vlastníky Panujících pozemků ze Služebnosti dle této Smlouvy přijímá.</w:t>
      </w:r>
    </w:p>
    <w:p w:rsidR="00984148" w:rsidRPr="00693C85" w:rsidRDefault="00984148" w:rsidP="00B30D94">
      <w:pPr>
        <w:pStyle w:val="Odstavecseseznamem"/>
        <w:numPr>
          <w:ilvl w:val="1"/>
          <w:numId w:val="4"/>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Povinný a každý další vlastník Služebných pozemků se ve sjednaném rozsahu zavazuje ve prospěch Panujících pozemků strpět právo chodit po Služebných pozemcích a dopravovat se po nich lidskou silou a právo, aby po Služebných pozemcích k vlastníkovi Panujících pozemků chodili jiní a odcházeli od něj nebo se lidskou silou dopravovali. Každý další vlastník Služebných pozemků je dále ve sjednaném rozsahu povinen ve prospěch Panujících pozemků strpět právo jezdit přes Služebné pozemky jakýmikoliv vozidly a právo, aby po Služebných pozemcích k vlastníkovi Panujících pozemků přijížděli jiní jakýmikoliv vozidly a odjížděli od něj, pokud výše uvedené bude v souladu s</w:t>
      </w:r>
      <w:r w:rsidRPr="00693C85">
        <w:rPr>
          <w:rFonts w:ascii="Arial" w:hAnsi="Arial" w:cs="Arial"/>
          <w:iCs/>
          <w:sz w:val="24"/>
          <w:szCs w:val="24"/>
        </w:rPr>
        <w:t> obecně závaznými právními předpisy a povolením příslušných veřejnoprávních orgánů</w:t>
      </w:r>
      <w:r w:rsidRPr="00693C85">
        <w:rPr>
          <w:rFonts w:ascii="Arial" w:hAnsi="Arial" w:cs="Arial"/>
          <w:sz w:val="24"/>
          <w:szCs w:val="24"/>
        </w:rPr>
        <w:t>.</w:t>
      </w:r>
    </w:p>
    <w:p w:rsidR="00984148" w:rsidRPr="00693C85" w:rsidRDefault="00984148" w:rsidP="00984148">
      <w:pPr>
        <w:pStyle w:val="Nadpis1"/>
        <w:spacing w:line="360" w:lineRule="auto"/>
        <w:rPr>
          <w:rFonts w:ascii="Arial" w:hAnsi="Arial" w:cs="Arial"/>
          <w:b/>
          <w:szCs w:val="24"/>
        </w:rPr>
      </w:pPr>
      <w:r w:rsidRPr="00693C85">
        <w:rPr>
          <w:rFonts w:ascii="Arial" w:hAnsi="Arial" w:cs="Arial"/>
          <w:szCs w:val="24"/>
        </w:rPr>
        <w:t>Článek III.</w:t>
      </w:r>
    </w:p>
    <w:p w:rsidR="00984148" w:rsidRPr="00693C85" w:rsidRDefault="00984148" w:rsidP="00984148">
      <w:pPr>
        <w:pStyle w:val="Nadpis2"/>
        <w:spacing w:line="360" w:lineRule="auto"/>
        <w:rPr>
          <w:rFonts w:ascii="Arial" w:hAnsi="Arial" w:cs="Arial"/>
        </w:rPr>
      </w:pPr>
      <w:r w:rsidRPr="00693C85">
        <w:rPr>
          <w:rFonts w:ascii="Arial" w:hAnsi="Arial" w:cs="Arial"/>
        </w:rPr>
        <w:t>Podmínky Služebnosti a další závazky Smluvních stran</w:t>
      </w:r>
    </w:p>
    <w:p w:rsidR="00984148" w:rsidRPr="00693C85" w:rsidRDefault="00984148" w:rsidP="00B30D94">
      <w:pPr>
        <w:pStyle w:val="Odstavecseseznamem"/>
        <w:numPr>
          <w:ilvl w:val="1"/>
          <w:numId w:val="1"/>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Služebnost dle této Smlouvy se zřizuje na dobu neurčitou a za jednorázovou úplatu sjednanou dohodou Smluvních stran ve výši 1.000,- Kč (slovy:</w:t>
      </w:r>
      <w:r w:rsidR="00712104">
        <w:rPr>
          <w:rFonts w:ascii="Arial" w:hAnsi="Arial" w:cs="Arial"/>
          <w:sz w:val="24"/>
          <w:szCs w:val="24"/>
        </w:rPr>
        <w:t xml:space="preserve"> jeden</w:t>
      </w:r>
      <w:r w:rsidRPr="00693C85">
        <w:rPr>
          <w:rFonts w:ascii="Arial" w:hAnsi="Arial" w:cs="Arial"/>
          <w:sz w:val="24"/>
          <w:szCs w:val="24"/>
        </w:rPr>
        <w:t xml:space="preserve"> tisíc korun českých) bez DPH. K této ceně bude připočtena sazba DPH v zákonné výši. Úhrada bude Oprávněným provedena na základě daňového dokladu vystaveného Povinným s náležitostmi dle § 29 zákona č. 235/2004 Sb., o dani z přidané hodnoty, bezhotovostním převodem do 30 dnů ode dne doručení daňového dokladu na adresu Oprávněného uvedenou v záhlaví této Smlouvy na účet uvedený v daňovém dokladu. Za den uskutečnění zdanitelného plnění bude považován den právních účinků vkladu do příslušného katastru nemovitostí, tj. den, který je shodný se dnem podání návrhu na vklad do příslušného katastru nemovitostí. Daňový doklad je Povinný oprávněn vystavit nejdříve v den podání návrhu na vklad Služebnosti do příslušného katastru nemovitostí.</w:t>
      </w:r>
    </w:p>
    <w:p w:rsidR="00984148" w:rsidRPr="00693C85" w:rsidRDefault="00984148" w:rsidP="00B30D94">
      <w:pPr>
        <w:pStyle w:val="Odstavecseseznamem"/>
        <w:numPr>
          <w:ilvl w:val="1"/>
          <w:numId w:val="1"/>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lastRenderedPageBreak/>
        <w:t xml:space="preserve">Služebnost zřízená na základě této Smlouvy nezaniká změnou v </w:t>
      </w:r>
      <w:r w:rsidR="00F41430">
        <w:rPr>
          <w:rFonts w:ascii="Arial" w:hAnsi="Arial" w:cs="Arial"/>
          <w:sz w:val="24"/>
          <w:szCs w:val="24"/>
        </w:rPr>
        <w:t>rozsahu</w:t>
      </w:r>
      <w:r w:rsidR="00003A36">
        <w:rPr>
          <w:rFonts w:ascii="Arial" w:hAnsi="Arial" w:cs="Arial"/>
          <w:sz w:val="24"/>
          <w:szCs w:val="24"/>
        </w:rPr>
        <w:t xml:space="preserve"> </w:t>
      </w:r>
      <w:r w:rsidR="00003A36" w:rsidRPr="003846B7">
        <w:rPr>
          <w:rFonts w:ascii="Arial" w:hAnsi="Arial" w:cs="Arial"/>
          <w:sz w:val="24"/>
          <w:szCs w:val="24"/>
        </w:rPr>
        <w:t>pozemků parc.č. 167/8 a 167/9, vše v k.ú. Žižkov, obec Praha,</w:t>
      </w:r>
      <w:r w:rsidR="00003A36">
        <w:rPr>
          <w:rFonts w:ascii="Arial" w:hAnsi="Arial" w:cs="Arial"/>
          <w:sz w:val="24"/>
          <w:szCs w:val="24"/>
        </w:rPr>
        <w:t xml:space="preserve"> </w:t>
      </w:r>
      <w:r w:rsidRPr="00693C85">
        <w:rPr>
          <w:rFonts w:ascii="Arial" w:hAnsi="Arial" w:cs="Arial"/>
          <w:sz w:val="24"/>
          <w:szCs w:val="24"/>
        </w:rPr>
        <w:t xml:space="preserve"> a/nebo Panujících pozemků. </w:t>
      </w:r>
    </w:p>
    <w:p w:rsidR="00984148" w:rsidRPr="00693C85" w:rsidRDefault="00984148" w:rsidP="00B30D94">
      <w:pPr>
        <w:pStyle w:val="Odstavecseseznamem"/>
        <w:numPr>
          <w:ilvl w:val="1"/>
          <w:numId w:val="1"/>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 xml:space="preserve">Služebnost zřízená na základě této Smlouvy nezaniká změnou v osobě vlastníka Služebných pozemků a/nebo Panujících pozemků. </w:t>
      </w:r>
    </w:p>
    <w:p w:rsidR="00984148" w:rsidRPr="00693C85" w:rsidRDefault="00984148" w:rsidP="00B30D94">
      <w:pPr>
        <w:pStyle w:val="Odstavecseseznamem"/>
        <w:numPr>
          <w:ilvl w:val="1"/>
          <w:numId w:val="1"/>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Smluvní strany se dohodly, že společný návrh obou Smluvních stran na vklad práv odpovídajících Služebnosti do katastru nemovitostí, který vyhotoví Oprávněný a podepíší obě Smluvní strany, si za účelem podání příslušnému katastru nemovitostí ponechá Oprávněný. Návrh na vklad práva odpovídajícího Služebnosti je oprávněn podat výlučně Oprávněný. Povinný bere na vědomí, že Oprávněný je povinen před podáním návrhu na povolení vkladu Služebnosti do katastru nemovitostí předložit tento návrh Magistrátu hlavního města Prahy k potvrzení jeho správnosti.</w:t>
      </w:r>
    </w:p>
    <w:p w:rsidR="00984148" w:rsidRPr="00693C85" w:rsidRDefault="00984148" w:rsidP="00B30D94">
      <w:pPr>
        <w:pStyle w:val="Odstavecseseznamem"/>
        <w:numPr>
          <w:ilvl w:val="1"/>
          <w:numId w:val="1"/>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 xml:space="preserve">Správní poplatek za podání návrhu na vklad Služebnosti do katastru nemovitostí uhradí Oprávněný. </w:t>
      </w:r>
    </w:p>
    <w:p w:rsidR="00984148" w:rsidRPr="00693C85" w:rsidRDefault="00984148" w:rsidP="00B30D94">
      <w:pPr>
        <w:pStyle w:val="Odstavecseseznamem"/>
        <w:numPr>
          <w:ilvl w:val="1"/>
          <w:numId w:val="1"/>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Služebnost dle této Smlouvy vznikne dnem právní moci rozhodnutí katastrálního úřadu o provedení jejího vkladu do katastru nemovitostí s účinností ke dni podání návrhu na vklad.</w:t>
      </w:r>
    </w:p>
    <w:p w:rsidR="00984148" w:rsidRPr="00693C85" w:rsidRDefault="00984148" w:rsidP="00B30D94">
      <w:pPr>
        <w:pStyle w:val="Odstavecseseznamem"/>
        <w:numPr>
          <w:ilvl w:val="1"/>
          <w:numId w:val="1"/>
        </w:numPr>
        <w:suppressAutoHyphens/>
        <w:spacing w:before="100" w:afterLines="120" w:after="288" w:line="360" w:lineRule="auto"/>
        <w:ind w:left="567" w:hanging="567"/>
        <w:jc w:val="both"/>
        <w:rPr>
          <w:rFonts w:ascii="Arial" w:hAnsi="Arial" w:cs="Arial"/>
          <w:sz w:val="24"/>
          <w:szCs w:val="24"/>
        </w:rPr>
      </w:pPr>
      <w:bookmarkStart w:id="2" w:name="_Hlk3793921"/>
      <w:bookmarkStart w:id="3" w:name="_Hlk3741459"/>
      <w:r w:rsidRPr="00693C85">
        <w:rPr>
          <w:rFonts w:ascii="Arial" w:hAnsi="Arial" w:cs="Arial"/>
          <w:sz w:val="24"/>
          <w:szCs w:val="24"/>
        </w:rPr>
        <w:t>Pokud katastrální úřad přeruší, a to z jakéhokoliv důvodu, řízení o povolení vkladu Služebnosti, zavazují se Smluvní strany k odstranění katastrálním úřadem uvedených vad ve lhůtách stanovených katastrálním úřadem.</w:t>
      </w:r>
    </w:p>
    <w:p w:rsidR="002B73C0" w:rsidRPr="00E35DE0" w:rsidRDefault="00984148" w:rsidP="00E35DE0">
      <w:pPr>
        <w:pStyle w:val="Odstavecseseznamem"/>
        <w:numPr>
          <w:ilvl w:val="1"/>
          <w:numId w:val="1"/>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 xml:space="preserve">V případě, že příslušný katastrální úřad pravomocně zamítne, a to z jakéhokoliv důvodu, návrh na povolení vkladu </w:t>
      </w:r>
      <w:r w:rsidR="00401A20" w:rsidRPr="003846B7">
        <w:rPr>
          <w:rFonts w:ascii="Arial" w:hAnsi="Arial" w:cs="Arial"/>
          <w:sz w:val="24"/>
          <w:szCs w:val="24"/>
        </w:rPr>
        <w:t>S</w:t>
      </w:r>
      <w:r w:rsidRPr="003846B7">
        <w:rPr>
          <w:rFonts w:ascii="Arial" w:hAnsi="Arial" w:cs="Arial"/>
          <w:sz w:val="24"/>
          <w:szCs w:val="24"/>
        </w:rPr>
        <w:t>lužebnost</w:t>
      </w:r>
      <w:r w:rsidR="00003A36" w:rsidRPr="003846B7">
        <w:rPr>
          <w:rFonts w:ascii="Arial" w:hAnsi="Arial" w:cs="Arial"/>
          <w:sz w:val="24"/>
          <w:szCs w:val="24"/>
        </w:rPr>
        <w:t>i</w:t>
      </w:r>
      <w:r w:rsidRPr="003846B7">
        <w:rPr>
          <w:rFonts w:ascii="Arial" w:hAnsi="Arial" w:cs="Arial"/>
          <w:sz w:val="24"/>
          <w:szCs w:val="24"/>
        </w:rPr>
        <w:t xml:space="preserve"> </w:t>
      </w:r>
      <w:r w:rsidRPr="00693C85">
        <w:rPr>
          <w:rFonts w:ascii="Arial" w:hAnsi="Arial" w:cs="Arial"/>
          <w:sz w:val="24"/>
          <w:szCs w:val="24"/>
        </w:rPr>
        <w:t xml:space="preserve"> ve prospěch Panujících pozemků dle této Smlouvy do katastru nemovitostí, zavazují se Smluvní strany poskytnout si vzájemně součinnost, aby v takovém případě došlo k odstranění příslušných vad, případně k uzavření nové smlouvy o zřízení služebnosti, kterou budou vytýkané vady odstraněny, a to nejpozději do 90 (devadesáti) dnů od právní moci zamítavého rozhodnutí příslušného katastrálního úřadu.</w:t>
      </w:r>
    </w:p>
    <w:bookmarkEnd w:id="2"/>
    <w:bookmarkEnd w:id="3"/>
    <w:p w:rsidR="00984148" w:rsidRPr="00693C85" w:rsidRDefault="00984148" w:rsidP="00984148">
      <w:pPr>
        <w:pStyle w:val="Nadpis1"/>
        <w:spacing w:line="360" w:lineRule="auto"/>
        <w:rPr>
          <w:rFonts w:ascii="Arial" w:hAnsi="Arial" w:cs="Arial"/>
          <w:b/>
          <w:szCs w:val="24"/>
        </w:rPr>
      </w:pPr>
      <w:r w:rsidRPr="00693C85">
        <w:rPr>
          <w:rFonts w:ascii="Arial" w:hAnsi="Arial" w:cs="Arial"/>
          <w:szCs w:val="24"/>
        </w:rPr>
        <w:lastRenderedPageBreak/>
        <w:t>Článek IV.</w:t>
      </w:r>
    </w:p>
    <w:p w:rsidR="00984148" w:rsidRPr="00693C85" w:rsidRDefault="00984148" w:rsidP="00984148">
      <w:pPr>
        <w:pStyle w:val="Nadpis2"/>
        <w:spacing w:line="360" w:lineRule="auto"/>
        <w:rPr>
          <w:rFonts w:ascii="Arial" w:hAnsi="Arial" w:cs="Arial"/>
        </w:rPr>
      </w:pPr>
      <w:r w:rsidRPr="00693C85">
        <w:rPr>
          <w:rFonts w:ascii="Arial" w:hAnsi="Arial" w:cs="Arial"/>
        </w:rPr>
        <w:t>Ustanovení společná a závěrečná</w:t>
      </w:r>
    </w:p>
    <w:p w:rsidR="00984148" w:rsidRPr="00693C85" w:rsidRDefault="00984148" w:rsidP="00B30D94">
      <w:pPr>
        <w:pStyle w:val="Odstavecseseznamem"/>
        <w:numPr>
          <w:ilvl w:val="1"/>
          <w:numId w:val="7"/>
        </w:numPr>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Tato Smlouva, jakož i práva a povinnosti vzniklé na základě této Smlouvy nebo v souvislosti s ní, se řídí právním řádem České republiky, zejména Občanským zákoníkem.</w:t>
      </w:r>
    </w:p>
    <w:p w:rsidR="00984148" w:rsidRPr="00693C85"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Tuto Smlouvu je možno měnit a doplňovat pouze písemnými vzestupně číslovanými dodatky podepsanými oběma Smluvními stranami. Změna této Smlouvy v jiné než písemné formě je tímto vyloučena.</w:t>
      </w:r>
    </w:p>
    <w:p w:rsidR="00984148" w:rsidRPr="00693C85"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Smluvní strany se zavazují, že pokud se kterékoli ustanovení Smlouvy nebo s ní související ujednání či jakákoli její část ukážou být neplatnými, zdánlivými či se neplatnými nebo zdánlivými stanou, neovlivní tato skutečnost platnost Smlouvy jako takové. V takovém případ</w:t>
      </w:r>
      <w:r w:rsidR="002B715B">
        <w:rPr>
          <w:rFonts w:ascii="Arial" w:hAnsi="Arial" w:cs="Arial"/>
          <w:sz w:val="24"/>
          <w:szCs w:val="24"/>
        </w:rPr>
        <w:t>ě</w:t>
      </w:r>
      <w:r w:rsidRPr="00693C85">
        <w:rPr>
          <w:rFonts w:ascii="Arial" w:hAnsi="Arial" w:cs="Arial"/>
          <w:sz w:val="24"/>
          <w:szCs w:val="24"/>
        </w:rPr>
        <w:t xml:space="preserve"> se strany zavazují nahradit neplatné či zdánlivé ustanovení ustanovením platným, které se svým ekonomickým účelem pokud možno nejvíce podobá neplatnému nebo zdánlivému ustanovení. Obdobně se bude postupovat v případě ostatních zmíněných nedostatků Smlouvy či souvisejících ujednání.</w:t>
      </w:r>
    </w:p>
    <w:p w:rsidR="00984148" w:rsidRPr="00693C85" w:rsidRDefault="00984148" w:rsidP="00B30D94">
      <w:pPr>
        <w:pStyle w:val="Odstavecseseznamem"/>
        <w:numPr>
          <w:ilvl w:val="1"/>
          <w:numId w:val="7"/>
        </w:numPr>
        <w:shd w:val="clear" w:color="auto" w:fill="FFFFFF" w:themeFill="background1"/>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Povinný bere na vědomí, že Oprávněný je subjektem veřejného práva hospodařícím s veřejnými prostředky, a proto tato Smlouva a všechny její případné součásti, přílohy či pozdější dodatky mohou být zveřejněny. Smluvní strany prohlašují, že souhlasí se zveřejněním smlouvy v registru smluv ve smyslu zákona č. 340/2015 Sb.</w:t>
      </w:r>
      <w:r w:rsidRPr="00693C85">
        <w:rPr>
          <w:rFonts w:ascii="Arial" w:hAnsi="Arial" w:cs="Arial"/>
          <w:iCs/>
          <w:sz w:val="24"/>
          <w:szCs w:val="24"/>
        </w:rPr>
        <w:t>, o registru smluv, v platném znění (dále jen „</w:t>
      </w:r>
      <w:r w:rsidRPr="00693C85">
        <w:rPr>
          <w:rFonts w:ascii="Arial" w:hAnsi="Arial" w:cs="Arial"/>
          <w:b/>
          <w:iCs/>
          <w:sz w:val="24"/>
          <w:szCs w:val="24"/>
        </w:rPr>
        <w:t>Registr smluv</w:t>
      </w:r>
      <w:r w:rsidRPr="00693C85">
        <w:rPr>
          <w:rFonts w:ascii="Arial" w:hAnsi="Arial" w:cs="Arial"/>
          <w:iCs/>
          <w:sz w:val="24"/>
          <w:szCs w:val="24"/>
        </w:rPr>
        <w:t xml:space="preserve">“). </w:t>
      </w:r>
      <w:r w:rsidRPr="00693C85">
        <w:rPr>
          <w:rFonts w:ascii="Arial" w:hAnsi="Arial" w:cs="Arial"/>
          <w:sz w:val="24"/>
          <w:szCs w:val="24"/>
        </w:rPr>
        <w:t>Smluvní strany též prohlašují, že veškeré informace uvedené v této smlouvě nepovažují za obchodní tajemství ve smyslu § 504 Občanského zákoníku a udělují svolení k jejich užití a uveřejnění bez stanovení jakýchkoliv dalších podmínek.</w:t>
      </w:r>
      <w:r w:rsidR="00151071">
        <w:rPr>
          <w:rFonts w:ascii="Arial" w:hAnsi="Arial" w:cs="Arial"/>
          <w:sz w:val="24"/>
          <w:szCs w:val="24"/>
        </w:rPr>
        <w:t xml:space="preserve"> Zveřejnění </w:t>
      </w:r>
      <w:r w:rsidR="00003A36" w:rsidRPr="003846B7">
        <w:rPr>
          <w:rFonts w:ascii="Arial" w:hAnsi="Arial" w:cs="Arial"/>
          <w:sz w:val="24"/>
          <w:szCs w:val="24"/>
        </w:rPr>
        <w:t xml:space="preserve">Smlouvy </w:t>
      </w:r>
      <w:r w:rsidR="00151071">
        <w:rPr>
          <w:rFonts w:ascii="Arial" w:hAnsi="Arial" w:cs="Arial"/>
          <w:sz w:val="24"/>
          <w:szCs w:val="24"/>
        </w:rPr>
        <w:t>v registru smluv provede Oprávněný.</w:t>
      </w:r>
    </w:p>
    <w:p w:rsidR="00984148" w:rsidRPr="00693C85"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Tato smlouva nabývá platnosti dnem jejího podpisu oběma Smluvními stranami a účinnosti dnem jejího zveřejnění v Registru smluv.</w:t>
      </w:r>
    </w:p>
    <w:p w:rsidR="00984148" w:rsidRPr="00693C85"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Smluvní strany prohlašují, že zpracovávají osobní údaje dle Obecného nařízení Evropského parlamentu a rady (EU) 2016/679 o ochraně osobních údajů.</w:t>
      </w:r>
    </w:p>
    <w:p w:rsidR="00984148" w:rsidRPr="00693C85"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lastRenderedPageBreak/>
        <w:t>V případě, že se druhá smluvní strana rozhodne za účelem zkvalitnění vzájemné komunikace poskytnout MČ Praha 3 své kontaktní údaje (zejména telefon, e-mail), činí tak dobrovolně a souhlas s tímto zpracováním svých osobních údajů může kdykoli odvolat.</w:t>
      </w:r>
    </w:p>
    <w:p w:rsidR="00984148" w:rsidRPr="00693C85"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Smlouva obsahuje úplné ujednání o předmětu smlouvy a všech náležitostech, které Smluvní strany měly a chtěly ve Smlouvě ujednat, a které považují za důležité pro závaznost Smlouvy. Žádný projev Smluvních stran učiněný při jednání o Smlouvě ani projev učiněný po uzavření Smlouvy nesmí být vykládán v rozporu s výslovnými ustanoveními Smlouvy a nezakládá žádný závazek žádné ze Smluvních stran.</w:t>
      </w:r>
    </w:p>
    <w:p w:rsidR="00984148" w:rsidRPr="00693C85"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Smluvní strany výslovně prohlašují, že základní podmínky Smlouvy jsou výsledkem jednání Smluvních stran a každá ze Smluvních stran měla příležitost ovlivnit obsah základních podmínek Smlouvy.</w:t>
      </w:r>
    </w:p>
    <w:p w:rsidR="00984148" w:rsidRPr="00693C85"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Smlouva je sepsána ve 4 (čtyřech) originálních stejnopisech, z nichž 2 (dva) obdrží Oprávněný, 1 (jeden) Povinný a 1 (jeden) stejnopis opatřený úředně ověřenými podpisy Smluvních stran bude použit pro účely příslušného řízení o povolení vkladu Služebnosti do katastru nemovitostí.</w:t>
      </w:r>
    </w:p>
    <w:p w:rsidR="00984148" w:rsidRPr="00693C85"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Nedílnou součástí této Smlouvy j</w:t>
      </w:r>
      <w:r w:rsidR="0034421D">
        <w:rPr>
          <w:rFonts w:ascii="Arial" w:hAnsi="Arial" w:cs="Arial"/>
          <w:sz w:val="24"/>
          <w:szCs w:val="24"/>
        </w:rPr>
        <w:t>sou</w:t>
      </w:r>
      <w:r w:rsidRPr="00693C85">
        <w:rPr>
          <w:rFonts w:ascii="Arial" w:hAnsi="Arial" w:cs="Arial"/>
          <w:sz w:val="24"/>
          <w:szCs w:val="24"/>
        </w:rPr>
        <w:t xml:space="preserve"> následující příloh</w:t>
      </w:r>
      <w:r w:rsidR="0034421D">
        <w:rPr>
          <w:rFonts w:ascii="Arial" w:hAnsi="Arial" w:cs="Arial"/>
          <w:sz w:val="24"/>
          <w:szCs w:val="24"/>
        </w:rPr>
        <w:t>y</w:t>
      </w:r>
      <w:r w:rsidR="00156C2A" w:rsidRPr="00693C85">
        <w:rPr>
          <w:rFonts w:ascii="Arial" w:hAnsi="Arial" w:cs="Arial"/>
          <w:sz w:val="24"/>
          <w:szCs w:val="24"/>
        </w:rPr>
        <w:t xml:space="preserve">: </w:t>
      </w:r>
    </w:p>
    <w:p w:rsidR="0034421D" w:rsidRDefault="00984148" w:rsidP="003846B7">
      <w:pPr>
        <w:pStyle w:val="Odstavecseseznamem"/>
        <w:suppressAutoHyphens/>
        <w:spacing w:before="100" w:afterLines="120" w:after="288" w:line="360" w:lineRule="auto"/>
        <w:ind w:left="851"/>
        <w:jc w:val="both"/>
        <w:rPr>
          <w:rFonts w:ascii="Arial" w:hAnsi="Arial" w:cs="Arial"/>
          <w:sz w:val="24"/>
          <w:szCs w:val="24"/>
        </w:rPr>
      </w:pPr>
      <w:r w:rsidRPr="00693C85">
        <w:rPr>
          <w:rFonts w:ascii="Arial" w:hAnsi="Arial" w:cs="Arial"/>
          <w:sz w:val="24"/>
          <w:szCs w:val="24"/>
        </w:rPr>
        <w:t>Příloha č. 1: Geometrický plán pro vymezení rozsahu Služebnosti č. </w:t>
      </w:r>
      <w:r w:rsidR="00156C2A" w:rsidRPr="00693C85">
        <w:rPr>
          <w:rFonts w:ascii="Arial" w:hAnsi="Arial" w:cs="Arial"/>
          <w:sz w:val="24"/>
          <w:szCs w:val="24"/>
        </w:rPr>
        <w:t>3312-18/2019</w:t>
      </w:r>
      <w:r w:rsidR="00C24DD1">
        <w:rPr>
          <w:rFonts w:ascii="Arial" w:hAnsi="Arial" w:cs="Arial"/>
          <w:sz w:val="24"/>
          <w:szCs w:val="24"/>
        </w:rPr>
        <w:t xml:space="preserve">, </w:t>
      </w:r>
      <w:bookmarkStart w:id="4" w:name="_Hlk9866040"/>
      <w:r w:rsidR="00C24DD1">
        <w:rPr>
          <w:rFonts w:ascii="Arial" w:hAnsi="Arial" w:cs="Arial"/>
          <w:sz w:val="24"/>
          <w:szCs w:val="24"/>
        </w:rPr>
        <w:t xml:space="preserve">vypracovaný </w:t>
      </w:r>
      <w:r w:rsidR="00C24DD1" w:rsidRPr="003846B7">
        <w:rPr>
          <w:rFonts w:ascii="Arial" w:hAnsi="Arial" w:cs="Arial"/>
          <w:sz w:val="24"/>
          <w:szCs w:val="24"/>
        </w:rPr>
        <w:t xml:space="preserve">RSGeo-pro s.r.o., IČ 016 30 962, </w:t>
      </w:r>
      <w:r w:rsidRPr="00693C85">
        <w:rPr>
          <w:rFonts w:ascii="Arial" w:hAnsi="Arial" w:cs="Arial"/>
          <w:sz w:val="24"/>
          <w:szCs w:val="24"/>
        </w:rPr>
        <w:t xml:space="preserve"> </w:t>
      </w:r>
      <w:r w:rsidR="00C24DD1" w:rsidRPr="00B11B22">
        <w:rPr>
          <w:rFonts w:ascii="Arial" w:eastAsiaTheme="minorHAnsi" w:hAnsi="Arial" w:cs="Arial"/>
          <w:sz w:val="24"/>
          <w:szCs w:val="24"/>
          <w:lang w:eastAsia="en-US"/>
        </w:rPr>
        <w:t xml:space="preserve">Varšavská 947/16, 120 00 Praha 2 </w:t>
      </w:r>
      <w:r w:rsidR="00C24DD1" w:rsidRPr="00B11B22">
        <w:rPr>
          <w:rFonts w:ascii="Arial" w:hAnsi="Arial" w:cs="Arial"/>
          <w:sz w:val="24"/>
          <w:szCs w:val="24"/>
        </w:rPr>
        <w:t>a odsouhlasený dne 12.4.2019 Katastrálním úřadem pro hlavní město Prahu, Katastrální pracoviště Praha pod číslem PGP-1728/2019-101</w:t>
      </w:r>
      <w:bookmarkEnd w:id="4"/>
    </w:p>
    <w:p w:rsidR="00984148" w:rsidRPr="003846B7" w:rsidRDefault="0034421D" w:rsidP="003846B7">
      <w:pPr>
        <w:pStyle w:val="Odstavecseseznamem"/>
        <w:suppressAutoHyphens/>
        <w:spacing w:before="100" w:afterLines="120" w:after="288" w:line="360" w:lineRule="auto"/>
        <w:ind w:left="851"/>
        <w:jc w:val="both"/>
        <w:rPr>
          <w:rFonts w:ascii="Arial" w:hAnsi="Arial" w:cs="Arial"/>
          <w:sz w:val="24"/>
          <w:szCs w:val="24"/>
        </w:rPr>
      </w:pPr>
      <w:r>
        <w:rPr>
          <w:rFonts w:ascii="Arial" w:hAnsi="Arial" w:cs="Arial"/>
          <w:sz w:val="24"/>
          <w:szCs w:val="24"/>
        </w:rPr>
        <w:t>Příloha č. 2:  Plná moc k podpisu smlouvy pro pí. Michaelu Mertovou a ing. Davida Tůmu ze dne</w:t>
      </w:r>
      <w:r w:rsidR="009A123D">
        <w:rPr>
          <w:rFonts w:ascii="Arial" w:hAnsi="Arial" w:cs="Arial"/>
          <w:sz w:val="24"/>
          <w:szCs w:val="24"/>
        </w:rPr>
        <w:t xml:space="preserve"> </w:t>
      </w:r>
      <w:r>
        <w:rPr>
          <w:rFonts w:ascii="Arial" w:hAnsi="Arial" w:cs="Arial"/>
          <w:sz w:val="24"/>
          <w:szCs w:val="24"/>
        </w:rPr>
        <w:t>11.4. 2019</w:t>
      </w:r>
    </w:p>
    <w:p w:rsidR="00984148" w:rsidRDefault="00984148" w:rsidP="00B30D94">
      <w:pPr>
        <w:pStyle w:val="Odstavecseseznamem"/>
        <w:numPr>
          <w:ilvl w:val="1"/>
          <w:numId w:val="7"/>
        </w:numPr>
        <w:suppressAutoHyphens/>
        <w:spacing w:before="100" w:afterLines="120" w:after="288" w:line="360" w:lineRule="auto"/>
        <w:ind w:left="567" w:hanging="567"/>
        <w:jc w:val="both"/>
        <w:rPr>
          <w:rFonts w:ascii="Arial" w:hAnsi="Arial" w:cs="Arial"/>
          <w:sz w:val="24"/>
          <w:szCs w:val="24"/>
        </w:rPr>
      </w:pPr>
      <w:r w:rsidRPr="00693C85">
        <w:rPr>
          <w:rFonts w:ascii="Arial" w:hAnsi="Arial" w:cs="Arial"/>
          <w:sz w:val="24"/>
          <w:szCs w:val="24"/>
        </w:rPr>
        <w:t xml:space="preserve">Smluvní strany prohlašují, že si Smlouvu před jejím podpisem přečetly a jsou seznámeny s jejím obsahem, že byla uzavřena po vzájemné dohodě, podle jejich vážné a svobodné vůle, dobrovolně, určitě a srozumitelně, což stvrzují svými podpisy. Smluvní strany prohlašují, že Smlouva představuje úplnou dohodu o </w:t>
      </w:r>
      <w:r w:rsidRPr="00693C85">
        <w:rPr>
          <w:rFonts w:ascii="Arial" w:hAnsi="Arial" w:cs="Arial"/>
          <w:sz w:val="24"/>
          <w:szCs w:val="24"/>
        </w:rPr>
        <w:lastRenderedPageBreak/>
        <w:t>veškerých jejích náležitostech a neexistují náležitosti, které by smluvní strany neujednaly.</w:t>
      </w:r>
    </w:p>
    <w:p w:rsidR="00151071" w:rsidRDefault="00151071" w:rsidP="00B30D94">
      <w:pPr>
        <w:pStyle w:val="Odstavecseseznamem"/>
        <w:suppressAutoHyphens/>
        <w:spacing w:before="100" w:afterLines="120" w:after="288" w:line="360" w:lineRule="auto"/>
        <w:ind w:left="567"/>
        <w:jc w:val="both"/>
        <w:rPr>
          <w:rFonts w:ascii="Arial" w:hAnsi="Arial" w:cs="Arial"/>
          <w:sz w:val="24"/>
          <w:szCs w:val="24"/>
        </w:rPr>
      </w:pPr>
    </w:p>
    <w:p w:rsidR="00151071" w:rsidRPr="00693C85" w:rsidRDefault="00151071" w:rsidP="00B30D94">
      <w:pPr>
        <w:pStyle w:val="Odstavecseseznamem"/>
        <w:suppressAutoHyphens/>
        <w:spacing w:before="100" w:afterLines="120" w:after="288" w:line="360" w:lineRule="auto"/>
        <w:ind w:left="567"/>
        <w:jc w:val="both"/>
        <w:rPr>
          <w:rFonts w:ascii="Arial" w:hAnsi="Arial" w:cs="Arial"/>
          <w:sz w:val="24"/>
          <w:szCs w:val="24"/>
        </w:rPr>
      </w:pPr>
    </w:p>
    <w:tbl>
      <w:tblPr>
        <w:tblW w:w="0" w:type="auto"/>
        <w:tblLook w:val="04A0" w:firstRow="1" w:lastRow="0" w:firstColumn="1" w:lastColumn="0" w:noHBand="0" w:noVBand="1"/>
      </w:tblPr>
      <w:tblGrid>
        <w:gridCol w:w="4536"/>
        <w:gridCol w:w="4536"/>
      </w:tblGrid>
      <w:tr w:rsidR="00984148" w:rsidRPr="00693C85" w:rsidTr="002B715B">
        <w:trPr>
          <w:trHeight w:val="2777"/>
        </w:trPr>
        <w:tc>
          <w:tcPr>
            <w:tcW w:w="4574" w:type="dxa"/>
            <w:shd w:val="clear" w:color="auto" w:fill="auto"/>
          </w:tcPr>
          <w:p w:rsidR="00984148" w:rsidRPr="00693C85" w:rsidRDefault="00984148" w:rsidP="00995F23">
            <w:pPr>
              <w:spacing w:line="360" w:lineRule="auto"/>
              <w:rPr>
                <w:rFonts w:ascii="Arial" w:hAnsi="Arial" w:cs="Arial"/>
                <w:sz w:val="24"/>
              </w:rPr>
            </w:pPr>
            <w:r w:rsidRPr="00693C85">
              <w:rPr>
                <w:rFonts w:ascii="Arial" w:hAnsi="Arial" w:cs="Arial"/>
                <w:sz w:val="24"/>
              </w:rPr>
              <w:t>V Praze dne ………………..</w:t>
            </w:r>
          </w:p>
          <w:p w:rsidR="00984148" w:rsidRPr="00693C85" w:rsidRDefault="00984148" w:rsidP="00995F23">
            <w:pPr>
              <w:spacing w:line="360" w:lineRule="auto"/>
              <w:rPr>
                <w:rFonts w:ascii="Arial" w:hAnsi="Arial" w:cs="Arial"/>
                <w:sz w:val="24"/>
              </w:rPr>
            </w:pPr>
          </w:p>
          <w:p w:rsidR="00984148" w:rsidRPr="00693C85" w:rsidRDefault="00984148" w:rsidP="00995F23">
            <w:pPr>
              <w:spacing w:line="360" w:lineRule="auto"/>
              <w:contextualSpacing/>
              <w:jc w:val="both"/>
              <w:rPr>
                <w:rFonts w:ascii="Arial" w:hAnsi="Arial" w:cs="Arial"/>
                <w:b/>
                <w:sz w:val="24"/>
              </w:rPr>
            </w:pPr>
            <w:r w:rsidRPr="00693C85">
              <w:rPr>
                <w:rFonts w:ascii="Arial" w:hAnsi="Arial" w:cs="Arial"/>
                <w:b/>
                <w:sz w:val="24"/>
              </w:rPr>
              <w:t>Městská část Praha 3</w:t>
            </w:r>
          </w:p>
          <w:p w:rsidR="00984148" w:rsidRPr="00693C85" w:rsidRDefault="00984148" w:rsidP="00995F23">
            <w:pPr>
              <w:spacing w:line="360" w:lineRule="auto"/>
              <w:rPr>
                <w:rFonts w:ascii="Arial" w:hAnsi="Arial" w:cs="Arial"/>
                <w:sz w:val="24"/>
              </w:rPr>
            </w:pPr>
          </w:p>
          <w:p w:rsidR="00151071" w:rsidRDefault="00151071" w:rsidP="00995F23">
            <w:pPr>
              <w:spacing w:line="360" w:lineRule="auto"/>
              <w:rPr>
                <w:rFonts w:ascii="Arial" w:hAnsi="Arial" w:cs="Arial"/>
                <w:sz w:val="24"/>
              </w:rPr>
            </w:pPr>
          </w:p>
          <w:p w:rsidR="00984148" w:rsidRPr="00693C85" w:rsidRDefault="008E46BA" w:rsidP="00995F23">
            <w:pPr>
              <w:spacing w:line="360" w:lineRule="auto"/>
              <w:rPr>
                <w:rFonts w:ascii="Arial" w:hAnsi="Arial" w:cs="Arial"/>
                <w:sz w:val="24"/>
              </w:rPr>
            </w:pPr>
            <w:r w:rsidRPr="00693C85">
              <w:rPr>
                <w:rFonts w:ascii="Arial" w:hAnsi="Arial" w:cs="Arial"/>
                <w:sz w:val="24"/>
              </w:rPr>
              <w:t xml:space="preserve"> </w:t>
            </w:r>
            <w:r w:rsidR="00984148" w:rsidRPr="00693C85">
              <w:rPr>
                <w:rFonts w:ascii="Arial" w:hAnsi="Arial" w:cs="Arial"/>
                <w:sz w:val="24"/>
              </w:rPr>
              <w:t>______________________</w:t>
            </w:r>
          </w:p>
          <w:p w:rsidR="00003A36" w:rsidRDefault="00693C85" w:rsidP="00693C85">
            <w:pPr>
              <w:spacing w:line="360" w:lineRule="auto"/>
              <w:rPr>
                <w:rFonts w:ascii="Arial" w:hAnsi="Arial" w:cs="Arial"/>
                <w:sz w:val="24"/>
              </w:rPr>
            </w:pPr>
            <w:r>
              <w:rPr>
                <w:rFonts w:ascii="Arial" w:hAnsi="Arial" w:cs="Arial"/>
                <w:sz w:val="24"/>
              </w:rPr>
              <w:t xml:space="preserve">              </w:t>
            </w:r>
            <w:r w:rsidR="00156C2A" w:rsidRPr="00693C85">
              <w:rPr>
                <w:rFonts w:ascii="Arial" w:hAnsi="Arial" w:cs="Arial"/>
                <w:sz w:val="24"/>
              </w:rPr>
              <w:t>Jiří Ptáček</w:t>
            </w:r>
            <w:r w:rsidR="008E46BA" w:rsidRPr="00693C85">
              <w:rPr>
                <w:rFonts w:ascii="Arial" w:hAnsi="Arial" w:cs="Arial"/>
                <w:sz w:val="24"/>
              </w:rPr>
              <w:t xml:space="preserve"> </w:t>
            </w:r>
          </w:p>
          <w:p w:rsidR="00984148" w:rsidRPr="00693C85" w:rsidRDefault="00003A36" w:rsidP="00693C85">
            <w:pPr>
              <w:spacing w:line="360" w:lineRule="auto"/>
              <w:rPr>
                <w:rFonts w:ascii="Arial" w:hAnsi="Arial" w:cs="Arial"/>
                <w:sz w:val="24"/>
              </w:rPr>
            </w:pPr>
            <w:r w:rsidRPr="002B715B">
              <w:rPr>
                <w:rFonts w:ascii="Arial" w:hAnsi="Arial" w:cs="Arial"/>
                <w:sz w:val="24"/>
              </w:rPr>
              <w:t xml:space="preserve">               starosta</w:t>
            </w:r>
            <w:r w:rsidR="00151071">
              <w:rPr>
                <w:rFonts w:ascii="Arial" w:hAnsi="Arial" w:cs="Arial"/>
                <w:sz w:val="24"/>
              </w:rPr>
              <w:t xml:space="preserve"> </w:t>
            </w:r>
          </w:p>
        </w:tc>
        <w:tc>
          <w:tcPr>
            <w:tcW w:w="4574" w:type="dxa"/>
            <w:shd w:val="clear" w:color="auto" w:fill="auto"/>
          </w:tcPr>
          <w:p w:rsidR="00984148" w:rsidRPr="00693C85" w:rsidRDefault="00984148" w:rsidP="00995F23">
            <w:pPr>
              <w:spacing w:line="360" w:lineRule="auto"/>
              <w:rPr>
                <w:rFonts w:ascii="Arial" w:hAnsi="Arial" w:cs="Arial"/>
                <w:sz w:val="24"/>
              </w:rPr>
            </w:pPr>
            <w:r w:rsidRPr="00693C85">
              <w:rPr>
                <w:rFonts w:ascii="Arial" w:hAnsi="Arial" w:cs="Arial"/>
                <w:sz w:val="24"/>
              </w:rPr>
              <w:t>V Praze dne ………………..</w:t>
            </w:r>
          </w:p>
          <w:p w:rsidR="00984148" w:rsidRPr="00693C85" w:rsidRDefault="00984148" w:rsidP="00995F23">
            <w:pPr>
              <w:spacing w:line="360" w:lineRule="auto"/>
              <w:rPr>
                <w:rFonts w:ascii="Arial" w:hAnsi="Arial" w:cs="Arial"/>
                <w:sz w:val="24"/>
              </w:rPr>
            </w:pPr>
          </w:p>
          <w:p w:rsidR="00984148" w:rsidRPr="00693C85" w:rsidRDefault="00984148" w:rsidP="00995F23">
            <w:pPr>
              <w:spacing w:line="360" w:lineRule="auto"/>
              <w:rPr>
                <w:rFonts w:ascii="Arial" w:hAnsi="Arial" w:cs="Arial"/>
                <w:sz w:val="24"/>
              </w:rPr>
            </w:pPr>
            <w:r w:rsidRPr="00693C85">
              <w:rPr>
                <w:rFonts w:ascii="Arial" w:hAnsi="Arial" w:cs="Arial"/>
                <w:b/>
                <w:sz w:val="24"/>
              </w:rPr>
              <w:t>CTR Viktoria Center s.r.o</w:t>
            </w:r>
          </w:p>
          <w:p w:rsidR="00984148" w:rsidRPr="00693C85" w:rsidRDefault="00984148" w:rsidP="00995F23">
            <w:pPr>
              <w:spacing w:line="360" w:lineRule="auto"/>
              <w:rPr>
                <w:rFonts w:ascii="Arial" w:hAnsi="Arial" w:cs="Arial"/>
                <w:sz w:val="24"/>
              </w:rPr>
            </w:pPr>
          </w:p>
          <w:p w:rsidR="00984148" w:rsidRPr="00693C85" w:rsidRDefault="00984148" w:rsidP="00995F23">
            <w:pPr>
              <w:spacing w:line="360" w:lineRule="auto"/>
              <w:rPr>
                <w:rFonts w:ascii="Arial" w:hAnsi="Arial" w:cs="Arial"/>
                <w:sz w:val="24"/>
              </w:rPr>
            </w:pPr>
          </w:p>
          <w:p w:rsidR="00984148" w:rsidRPr="00693C85" w:rsidRDefault="00984148" w:rsidP="00995F23">
            <w:pPr>
              <w:spacing w:line="360" w:lineRule="auto"/>
              <w:rPr>
                <w:rFonts w:ascii="Arial" w:hAnsi="Arial" w:cs="Arial"/>
                <w:sz w:val="24"/>
              </w:rPr>
            </w:pPr>
            <w:r w:rsidRPr="00693C85">
              <w:rPr>
                <w:rFonts w:ascii="Arial" w:hAnsi="Arial" w:cs="Arial"/>
                <w:sz w:val="24"/>
              </w:rPr>
              <w:t>______________________</w:t>
            </w:r>
          </w:p>
          <w:p w:rsidR="008E46BA" w:rsidRDefault="008E46BA" w:rsidP="00995F23">
            <w:pPr>
              <w:spacing w:line="360" w:lineRule="auto"/>
              <w:rPr>
                <w:rFonts w:ascii="Arial" w:hAnsi="Arial" w:cs="Arial"/>
                <w:sz w:val="24"/>
              </w:rPr>
            </w:pPr>
            <w:r w:rsidRPr="00693C85">
              <w:rPr>
                <w:rFonts w:ascii="Arial" w:hAnsi="Arial" w:cs="Arial"/>
                <w:sz w:val="24"/>
              </w:rPr>
              <w:t xml:space="preserve">    </w:t>
            </w:r>
            <w:r w:rsidR="00693C85">
              <w:rPr>
                <w:rFonts w:ascii="Arial" w:hAnsi="Arial" w:cs="Arial"/>
                <w:sz w:val="24"/>
              </w:rPr>
              <w:t xml:space="preserve">  </w:t>
            </w:r>
            <w:r w:rsidRPr="00693C85">
              <w:rPr>
                <w:rFonts w:ascii="Arial" w:hAnsi="Arial" w:cs="Arial"/>
                <w:sz w:val="24"/>
              </w:rPr>
              <w:t xml:space="preserve"> </w:t>
            </w:r>
            <w:r w:rsidR="00151071">
              <w:rPr>
                <w:rFonts w:ascii="Arial" w:hAnsi="Arial" w:cs="Arial"/>
                <w:sz w:val="24"/>
              </w:rPr>
              <w:t xml:space="preserve">   </w:t>
            </w:r>
            <w:r w:rsidRPr="00693C85">
              <w:rPr>
                <w:rFonts w:ascii="Arial" w:hAnsi="Arial" w:cs="Arial"/>
                <w:sz w:val="24"/>
              </w:rPr>
              <w:t xml:space="preserve"> </w:t>
            </w:r>
            <w:r w:rsidR="009609AA">
              <w:rPr>
                <w:rFonts w:ascii="Arial" w:hAnsi="Arial" w:cs="Arial"/>
                <w:sz w:val="24"/>
              </w:rPr>
              <w:t xml:space="preserve">Michaela Mertová, </w:t>
            </w:r>
            <w:r w:rsidRPr="00693C85">
              <w:rPr>
                <w:rFonts w:ascii="Arial" w:hAnsi="Arial" w:cs="Arial"/>
                <w:sz w:val="24"/>
              </w:rPr>
              <w:t xml:space="preserve"> </w:t>
            </w:r>
          </w:p>
          <w:p w:rsidR="00693C85" w:rsidRPr="00693C85" w:rsidRDefault="00340B6C" w:rsidP="002B715B">
            <w:pPr>
              <w:spacing w:line="360" w:lineRule="auto"/>
              <w:rPr>
                <w:rFonts w:ascii="Arial" w:hAnsi="Arial" w:cs="Arial"/>
                <w:sz w:val="24"/>
              </w:rPr>
            </w:pPr>
            <w:r>
              <w:rPr>
                <w:rFonts w:ascii="Arial" w:hAnsi="Arial" w:cs="Arial"/>
                <w:sz w:val="24"/>
              </w:rPr>
              <w:t xml:space="preserve">      </w:t>
            </w:r>
            <w:r w:rsidR="009609AA">
              <w:rPr>
                <w:rFonts w:ascii="Arial" w:hAnsi="Arial" w:cs="Arial"/>
                <w:sz w:val="24"/>
              </w:rPr>
              <w:t>na základě plné moci</w:t>
            </w:r>
          </w:p>
          <w:p w:rsidR="008E46BA" w:rsidRPr="00693C85" w:rsidRDefault="008E46BA" w:rsidP="00995F23">
            <w:pPr>
              <w:spacing w:line="360" w:lineRule="auto"/>
              <w:rPr>
                <w:rFonts w:ascii="Arial" w:hAnsi="Arial" w:cs="Arial"/>
                <w:sz w:val="24"/>
              </w:rPr>
            </w:pPr>
          </w:p>
          <w:p w:rsidR="008E46BA" w:rsidRPr="00693C85" w:rsidRDefault="008E46BA" w:rsidP="00995F23">
            <w:pPr>
              <w:spacing w:line="360" w:lineRule="auto"/>
              <w:rPr>
                <w:rFonts w:ascii="Arial" w:hAnsi="Arial" w:cs="Arial"/>
                <w:sz w:val="24"/>
              </w:rPr>
            </w:pPr>
          </w:p>
          <w:p w:rsidR="00984148" w:rsidRPr="00693C85" w:rsidRDefault="00984148" w:rsidP="00995F23">
            <w:pPr>
              <w:spacing w:line="360" w:lineRule="auto"/>
              <w:rPr>
                <w:rFonts w:ascii="Arial" w:hAnsi="Arial" w:cs="Arial"/>
                <w:sz w:val="24"/>
              </w:rPr>
            </w:pPr>
          </w:p>
          <w:p w:rsidR="00984148" w:rsidRPr="00693C85" w:rsidRDefault="00984148" w:rsidP="00995F23">
            <w:pPr>
              <w:spacing w:line="360" w:lineRule="auto"/>
              <w:rPr>
                <w:rFonts w:ascii="Arial" w:hAnsi="Arial" w:cs="Arial"/>
                <w:sz w:val="24"/>
              </w:rPr>
            </w:pPr>
            <w:r w:rsidRPr="00693C85">
              <w:rPr>
                <w:rFonts w:ascii="Arial" w:hAnsi="Arial" w:cs="Arial"/>
                <w:sz w:val="24"/>
              </w:rPr>
              <w:t>_____________________</w:t>
            </w:r>
          </w:p>
          <w:p w:rsidR="00984148" w:rsidRDefault="00151071" w:rsidP="00693C85">
            <w:pPr>
              <w:spacing w:line="360" w:lineRule="auto"/>
              <w:rPr>
                <w:rFonts w:ascii="Arial" w:hAnsi="Arial" w:cs="Arial"/>
                <w:sz w:val="24"/>
              </w:rPr>
            </w:pPr>
            <w:r>
              <w:rPr>
                <w:rFonts w:ascii="Arial" w:hAnsi="Arial" w:cs="Arial"/>
                <w:sz w:val="24"/>
              </w:rPr>
              <w:t xml:space="preserve">    </w:t>
            </w:r>
            <w:r w:rsidR="009609AA">
              <w:rPr>
                <w:rFonts w:ascii="Arial" w:hAnsi="Arial" w:cs="Arial"/>
                <w:sz w:val="24"/>
              </w:rPr>
              <w:t xml:space="preserve">Ing. David Tůma, </w:t>
            </w:r>
            <w:r w:rsidR="008E46BA" w:rsidRPr="00693C85">
              <w:rPr>
                <w:rFonts w:ascii="Arial" w:hAnsi="Arial" w:cs="Arial"/>
                <w:sz w:val="24"/>
              </w:rPr>
              <w:t xml:space="preserve"> </w:t>
            </w:r>
          </w:p>
          <w:p w:rsidR="00003A36" w:rsidRPr="00693C85" w:rsidRDefault="00003A36" w:rsidP="00401A20">
            <w:pPr>
              <w:spacing w:line="360" w:lineRule="auto"/>
              <w:rPr>
                <w:rFonts w:ascii="Arial" w:hAnsi="Arial" w:cs="Arial"/>
                <w:sz w:val="24"/>
              </w:rPr>
            </w:pPr>
            <w:r w:rsidRPr="002B715B">
              <w:rPr>
                <w:rFonts w:ascii="Arial" w:hAnsi="Arial" w:cs="Arial"/>
                <w:sz w:val="24"/>
              </w:rPr>
              <w:t xml:space="preserve">   </w:t>
            </w:r>
            <w:r w:rsidR="009609AA">
              <w:rPr>
                <w:rFonts w:ascii="Arial" w:hAnsi="Arial" w:cs="Arial"/>
                <w:sz w:val="24"/>
              </w:rPr>
              <w:t>na základě plné moci</w:t>
            </w:r>
          </w:p>
        </w:tc>
      </w:tr>
    </w:tbl>
    <w:p w:rsidR="00984148" w:rsidRPr="00693C85" w:rsidRDefault="00003A36" w:rsidP="00984148">
      <w:pPr>
        <w:spacing w:line="276" w:lineRule="auto"/>
        <w:ind w:left="142" w:right="4250"/>
        <w:contextualSpacing/>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D24502" w:rsidRPr="00693C85" w:rsidRDefault="00D24502">
      <w:pPr>
        <w:rPr>
          <w:rFonts w:ascii="Arial" w:hAnsi="Arial" w:cs="Arial"/>
          <w:sz w:val="24"/>
        </w:rPr>
      </w:pPr>
    </w:p>
    <w:p w:rsidR="00693C85" w:rsidRPr="00693C85" w:rsidRDefault="00693C85">
      <w:pPr>
        <w:rPr>
          <w:rFonts w:ascii="Arial" w:hAnsi="Arial" w:cs="Arial"/>
          <w:sz w:val="24"/>
        </w:rPr>
      </w:pPr>
    </w:p>
    <w:p w:rsidR="00693C85" w:rsidRPr="00693C85" w:rsidRDefault="00693C85" w:rsidP="00693C85">
      <w:pPr>
        <w:pStyle w:val="Odstavecseseznamem"/>
        <w:shd w:val="clear" w:color="auto" w:fill="FFFFFF"/>
        <w:spacing w:before="120" w:after="120"/>
        <w:ind w:left="142"/>
        <w:contextualSpacing/>
        <w:jc w:val="both"/>
        <w:rPr>
          <w:rFonts w:ascii="Arial" w:eastAsia="Calibri" w:hAnsi="Arial" w:cs="Arial"/>
          <w:color w:val="000000"/>
          <w:spacing w:val="-3"/>
          <w:sz w:val="24"/>
          <w:szCs w:val="24"/>
        </w:rPr>
      </w:pPr>
      <w:r w:rsidRPr="00693C85">
        <w:rPr>
          <w:rFonts w:ascii="Arial" w:hAnsi="Arial" w:cs="Arial"/>
          <w:sz w:val="24"/>
          <w:szCs w:val="24"/>
        </w:rPr>
        <w:tab/>
      </w:r>
    </w:p>
    <w:p w:rsidR="00003A36" w:rsidRDefault="00003A36" w:rsidP="00693C85">
      <w:pPr>
        <w:pStyle w:val="Odstavecseseznamem"/>
        <w:shd w:val="clear" w:color="auto" w:fill="FFFFFF"/>
        <w:spacing w:before="120" w:after="120"/>
        <w:ind w:left="142"/>
        <w:contextualSpacing/>
        <w:jc w:val="both"/>
        <w:rPr>
          <w:rFonts w:ascii="Arial" w:hAnsi="Arial" w:cs="Arial"/>
          <w:bCs/>
          <w:sz w:val="24"/>
          <w:szCs w:val="24"/>
        </w:rPr>
      </w:pPr>
    </w:p>
    <w:p w:rsidR="00003A36" w:rsidRDefault="00003A36" w:rsidP="00693C85">
      <w:pPr>
        <w:pStyle w:val="Odstavecseseznamem"/>
        <w:shd w:val="clear" w:color="auto" w:fill="FFFFFF"/>
        <w:spacing w:before="120" w:after="120"/>
        <w:ind w:left="142"/>
        <w:contextualSpacing/>
        <w:jc w:val="both"/>
        <w:rPr>
          <w:rFonts w:ascii="Arial" w:hAnsi="Arial" w:cs="Arial"/>
          <w:bCs/>
          <w:sz w:val="24"/>
          <w:szCs w:val="24"/>
        </w:rPr>
      </w:pPr>
    </w:p>
    <w:p w:rsidR="00003A36" w:rsidRDefault="00003A36" w:rsidP="00693C85">
      <w:pPr>
        <w:pStyle w:val="Odstavecseseznamem"/>
        <w:shd w:val="clear" w:color="auto" w:fill="FFFFFF"/>
        <w:spacing w:before="120" w:after="120"/>
        <w:ind w:left="142"/>
        <w:contextualSpacing/>
        <w:jc w:val="both"/>
        <w:rPr>
          <w:rFonts w:ascii="Arial" w:hAnsi="Arial" w:cs="Arial"/>
          <w:bCs/>
          <w:sz w:val="24"/>
          <w:szCs w:val="24"/>
        </w:rPr>
      </w:pPr>
    </w:p>
    <w:p w:rsidR="00003A36" w:rsidRDefault="00003A36" w:rsidP="00693C85">
      <w:pPr>
        <w:pStyle w:val="Odstavecseseznamem"/>
        <w:shd w:val="clear" w:color="auto" w:fill="FFFFFF"/>
        <w:spacing w:before="120" w:after="120"/>
        <w:ind w:left="142"/>
        <w:contextualSpacing/>
        <w:jc w:val="both"/>
        <w:rPr>
          <w:rFonts w:ascii="Arial" w:hAnsi="Arial" w:cs="Arial"/>
          <w:bCs/>
          <w:sz w:val="24"/>
          <w:szCs w:val="24"/>
        </w:rPr>
      </w:pPr>
    </w:p>
    <w:p w:rsidR="00003A36" w:rsidRPr="003846B7" w:rsidRDefault="00003A36" w:rsidP="003846B7">
      <w:pPr>
        <w:shd w:val="clear" w:color="auto" w:fill="FFFFFF"/>
        <w:spacing w:before="120" w:after="120"/>
        <w:contextualSpacing/>
        <w:jc w:val="both"/>
        <w:rPr>
          <w:rFonts w:ascii="Arial" w:hAnsi="Arial" w:cs="Arial"/>
          <w:bCs/>
          <w:sz w:val="24"/>
        </w:rPr>
      </w:pPr>
    </w:p>
    <w:p w:rsidR="00003A36" w:rsidRDefault="00003A36" w:rsidP="00693C85">
      <w:pPr>
        <w:pStyle w:val="Odstavecseseznamem"/>
        <w:shd w:val="clear" w:color="auto" w:fill="FFFFFF"/>
        <w:spacing w:before="120" w:after="120"/>
        <w:ind w:left="142"/>
        <w:contextualSpacing/>
        <w:jc w:val="both"/>
        <w:rPr>
          <w:rFonts w:ascii="Arial" w:hAnsi="Arial" w:cs="Arial"/>
          <w:bCs/>
          <w:sz w:val="24"/>
          <w:szCs w:val="24"/>
        </w:rPr>
      </w:pPr>
    </w:p>
    <w:p w:rsidR="00693C85" w:rsidRPr="00693C85" w:rsidRDefault="00693C85" w:rsidP="00B30D94">
      <w:pPr>
        <w:pStyle w:val="Odstavecseseznamem"/>
        <w:shd w:val="clear" w:color="auto" w:fill="FFFFFF"/>
        <w:spacing w:before="120" w:after="120" w:line="360" w:lineRule="auto"/>
        <w:ind w:left="142"/>
        <w:contextualSpacing/>
        <w:jc w:val="both"/>
        <w:rPr>
          <w:rFonts w:ascii="Arial" w:hAnsi="Arial" w:cs="Arial"/>
          <w:bCs/>
          <w:sz w:val="24"/>
          <w:szCs w:val="24"/>
        </w:rPr>
      </w:pPr>
      <w:r w:rsidRPr="00693C85">
        <w:rPr>
          <w:rFonts w:ascii="Arial" w:hAnsi="Arial" w:cs="Arial"/>
          <w:bCs/>
          <w:sz w:val="24"/>
          <w:szCs w:val="24"/>
        </w:rPr>
        <w:t xml:space="preserve">Doložka dle § 43 odst. 1 zákona č. 131/2000 Sb., o hlavním městě Praze, v platném znění, potvrzující splnění podmínek pro platnost právního jednání městské části Praha 3. Uzavření této smlouvy bylo schváleno rozhodnutím RMČ Praha 3, a to usnesením ze dne </w:t>
      </w:r>
      <w:r w:rsidR="00002D88">
        <w:rPr>
          <w:rFonts w:ascii="Arial" w:hAnsi="Arial" w:cs="Arial"/>
          <w:bCs/>
          <w:sz w:val="24"/>
          <w:szCs w:val="24"/>
        </w:rPr>
        <w:t>3.6.2019</w:t>
      </w:r>
      <w:r w:rsidRPr="00693C85">
        <w:rPr>
          <w:rFonts w:ascii="Arial" w:hAnsi="Arial" w:cs="Arial"/>
          <w:bCs/>
          <w:sz w:val="24"/>
          <w:szCs w:val="24"/>
        </w:rPr>
        <w:t xml:space="preserve"> </w:t>
      </w:r>
      <w:r w:rsidR="00E31AAA">
        <w:rPr>
          <w:rFonts w:ascii="Arial" w:hAnsi="Arial" w:cs="Arial"/>
          <w:bCs/>
          <w:sz w:val="24"/>
          <w:szCs w:val="24"/>
        </w:rPr>
        <w:t xml:space="preserve"> </w:t>
      </w:r>
      <w:r w:rsidRPr="00693C85">
        <w:rPr>
          <w:rFonts w:ascii="Arial" w:hAnsi="Arial" w:cs="Arial"/>
          <w:bCs/>
          <w:sz w:val="24"/>
          <w:szCs w:val="24"/>
        </w:rPr>
        <w:t xml:space="preserve"> č</w:t>
      </w:r>
      <w:r w:rsidR="00002D88">
        <w:rPr>
          <w:rFonts w:ascii="Arial" w:hAnsi="Arial" w:cs="Arial"/>
          <w:bCs/>
          <w:sz w:val="24"/>
          <w:szCs w:val="24"/>
        </w:rPr>
        <w:t>. 339</w:t>
      </w:r>
      <w:r w:rsidR="00E212AA">
        <w:rPr>
          <w:rFonts w:ascii="Arial" w:hAnsi="Arial" w:cs="Arial"/>
          <w:bCs/>
          <w:sz w:val="24"/>
          <w:szCs w:val="24"/>
        </w:rPr>
        <w:t>.</w:t>
      </w:r>
      <w:bookmarkStart w:id="5" w:name="_GoBack"/>
      <w:bookmarkEnd w:id="5"/>
    </w:p>
    <w:sectPr w:rsidR="00693C85" w:rsidRPr="00693C85" w:rsidSect="00D245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B64" w:rsidRDefault="004D7B64" w:rsidP="00F02E97">
      <w:r>
        <w:separator/>
      </w:r>
    </w:p>
  </w:endnote>
  <w:endnote w:type="continuationSeparator" w:id="0">
    <w:p w:rsidR="004D7B64" w:rsidRDefault="004D7B64" w:rsidP="00F0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B64" w:rsidRDefault="004D7B64" w:rsidP="00F02E97">
      <w:r>
        <w:separator/>
      </w:r>
    </w:p>
  </w:footnote>
  <w:footnote w:type="continuationSeparator" w:id="0">
    <w:p w:rsidR="004D7B64" w:rsidRDefault="004D7B64" w:rsidP="00F02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9137B"/>
    <w:multiLevelType w:val="hybridMultilevel"/>
    <w:tmpl w:val="55808988"/>
    <w:lvl w:ilvl="0" w:tplc="90523DEE">
      <w:start w:val="3"/>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 w15:restartNumberingAfterBreak="0">
    <w:nsid w:val="2D123A32"/>
    <w:multiLevelType w:val="multilevel"/>
    <w:tmpl w:val="7FFA32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D915ABF"/>
    <w:multiLevelType w:val="hybridMultilevel"/>
    <w:tmpl w:val="C50E5AEA"/>
    <w:lvl w:ilvl="0" w:tplc="4C0CD6A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226E21"/>
    <w:multiLevelType w:val="multilevel"/>
    <w:tmpl w:val="6F14E29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A425AED"/>
    <w:multiLevelType w:val="multilevel"/>
    <w:tmpl w:val="E51AC61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64206DC1"/>
    <w:multiLevelType w:val="multilevel"/>
    <w:tmpl w:val="A1DC18A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79395D"/>
    <w:multiLevelType w:val="multilevel"/>
    <w:tmpl w:val="BC14F5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48"/>
    <w:rsid w:val="00002D88"/>
    <w:rsid w:val="00003A36"/>
    <w:rsid w:val="00056F2C"/>
    <w:rsid w:val="00077504"/>
    <w:rsid w:val="0009264C"/>
    <w:rsid w:val="0009750D"/>
    <w:rsid w:val="000C16DE"/>
    <w:rsid w:val="000D0F9E"/>
    <w:rsid w:val="00140BDC"/>
    <w:rsid w:val="00141088"/>
    <w:rsid w:val="00151071"/>
    <w:rsid w:val="00156C2A"/>
    <w:rsid w:val="0018661D"/>
    <w:rsid w:val="0018758C"/>
    <w:rsid w:val="001A384A"/>
    <w:rsid w:val="0021541B"/>
    <w:rsid w:val="00266B1B"/>
    <w:rsid w:val="002803E1"/>
    <w:rsid w:val="002B0286"/>
    <w:rsid w:val="002B715B"/>
    <w:rsid w:val="002B73C0"/>
    <w:rsid w:val="002D1730"/>
    <w:rsid w:val="00304FC7"/>
    <w:rsid w:val="00340B6C"/>
    <w:rsid w:val="0034421D"/>
    <w:rsid w:val="003479C2"/>
    <w:rsid w:val="003563B3"/>
    <w:rsid w:val="003770C1"/>
    <w:rsid w:val="003846B7"/>
    <w:rsid w:val="003A2D73"/>
    <w:rsid w:val="00401A20"/>
    <w:rsid w:val="0040635F"/>
    <w:rsid w:val="0047683E"/>
    <w:rsid w:val="004D7B64"/>
    <w:rsid w:val="004E7D40"/>
    <w:rsid w:val="005A7990"/>
    <w:rsid w:val="005E68C6"/>
    <w:rsid w:val="00656DD0"/>
    <w:rsid w:val="006762BE"/>
    <w:rsid w:val="00693C85"/>
    <w:rsid w:val="006A0A09"/>
    <w:rsid w:val="006B701F"/>
    <w:rsid w:val="006C57D2"/>
    <w:rsid w:val="006C71E3"/>
    <w:rsid w:val="006E4BB7"/>
    <w:rsid w:val="00712104"/>
    <w:rsid w:val="00743EB6"/>
    <w:rsid w:val="0078767F"/>
    <w:rsid w:val="007C42EB"/>
    <w:rsid w:val="00800F60"/>
    <w:rsid w:val="00807DF7"/>
    <w:rsid w:val="008E07A9"/>
    <w:rsid w:val="008E46BA"/>
    <w:rsid w:val="0090568E"/>
    <w:rsid w:val="00934427"/>
    <w:rsid w:val="009609AA"/>
    <w:rsid w:val="00984148"/>
    <w:rsid w:val="009A123D"/>
    <w:rsid w:val="00A43011"/>
    <w:rsid w:val="00A61C8C"/>
    <w:rsid w:val="00A73A98"/>
    <w:rsid w:val="00AE7F94"/>
    <w:rsid w:val="00AF033F"/>
    <w:rsid w:val="00B11B22"/>
    <w:rsid w:val="00B2351C"/>
    <w:rsid w:val="00B30119"/>
    <w:rsid w:val="00B30D94"/>
    <w:rsid w:val="00B50009"/>
    <w:rsid w:val="00B53322"/>
    <w:rsid w:val="00BC25B2"/>
    <w:rsid w:val="00BE4263"/>
    <w:rsid w:val="00C24DD1"/>
    <w:rsid w:val="00C46526"/>
    <w:rsid w:val="00C508F3"/>
    <w:rsid w:val="00C84F4D"/>
    <w:rsid w:val="00C90706"/>
    <w:rsid w:val="00CB37DE"/>
    <w:rsid w:val="00CE1F48"/>
    <w:rsid w:val="00D24502"/>
    <w:rsid w:val="00D7733B"/>
    <w:rsid w:val="00D77D84"/>
    <w:rsid w:val="00DA0CCB"/>
    <w:rsid w:val="00DC4765"/>
    <w:rsid w:val="00DD4DA5"/>
    <w:rsid w:val="00DE6E8D"/>
    <w:rsid w:val="00E212AA"/>
    <w:rsid w:val="00E31AAA"/>
    <w:rsid w:val="00E35DE0"/>
    <w:rsid w:val="00EA419B"/>
    <w:rsid w:val="00EA6D2C"/>
    <w:rsid w:val="00EA6F9B"/>
    <w:rsid w:val="00EC2807"/>
    <w:rsid w:val="00EE7325"/>
    <w:rsid w:val="00F02E97"/>
    <w:rsid w:val="00F3097D"/>
    <w:rsid w:val="00F41430"/>
    <w:rsid w:val="00F97FEC"/>
    <w:rsid w:val="00FE50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166D8F-802F-4AA4-B8B4-8F763D7B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84148"/>
    <w:pPr>
      <w:spacing w:after="0" w:line="240" w:lineRule="auto"/>
    </w:pPr>
    <w:rPr>
      <w:rFonts w:ascii="Calibri" w:eastAsia="Times New Roman" w:hAnsi="Calibri" w:cs="Times New Roman"/>
      <w:sz w:val="20"/>
      <w:szCs w:val="24"/>
      <w:lang w:eastAsia="cs-CZ"/>
    </w:rPr>
  </w:style>
  <w:style w:type="paragraph" w:styleId="Nadpis1">
    <w:name w:val="heading 1"/>
    <w:basedOn w:val="Normln"/>
    <w:next w:val="Normln"/>
    <w:link w:val="Nadpis1Char"/>
    <w:qFormat/>
    <w:rsid w:val="00984148"/>
    <w:pPr>
      <w:keepNext/>
      <w:spacing w:before="120"/>
      <w:jc w:val="center"/>
      <w:outlineLvl w:val="0"/>
    </w:pPr>
    <w:rPr>
      <w:bCs/>
      <w:iCs/>
      <w:sz w:val="24"/>
      <w:szCs w:val="22"/>
    </w:rPr>
  </w:style>
  <w:style w:type="paragraph" w:styleId="Nadpis2">
    <w:name w:val="heading 2"/>
    <w:basedOn w:val="Normln"/>
    <w:next w:val="Normln"/>
    <w:link w:val="Nadpis2Char"/>
    <w:qFormat/>
    <w:rsid w:val="00984148"/>
    <w:pPr>
      <w:keepNext/>
      <w:tabs>
        <w:tab w:val="num" w:pos="540"/>
      </w:tabs>
      <w:spacing w:after="120"/>
      <w:ind w:left="539" w:hanging="539"/>
      <w:jc w:val="center"/>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84148"/>
    <w:rPr>
      <w:rFonts w:ascii="Calibri" w:eastAsia="Times New Roman" w:hAnsi="Calibri" w:cs="Times New Roman"/>
      <w:bCs/>
      <w:iCs/>
      <w:sz w:val="24"/>
      <w:lang w:eastAsia="cs-CZ"/>
    </w:rPr>
  </w:style>
  <w:style w:type="character" w:customStyle="1" w:styleId="Nadpis2Char">
    <w:name w:val="Nadpis 2 Char"/>
    <w:basedOn w:val="Standardnpsmoodstavce"/>
    <w:link w:val="Nadpis2"/>
    <w:rsid w:val="00984148"/>
    <w:rPr>
      <w:rFonts w:ascii="Calibri" w:eastAsia="Times New Roman" w:hAnsi="Calibri" w:cs="Times New Roman"/>
      <w:b/>
      <w:sz w:val="24"/>
      <w:szCs w:val="24"/>
      <w:lang w:eastAsia="cs-CZ"/>
    </w:rPr>
  </w:style>
  <w:style w:type="paragraph" w:styleId="Zkladntext">
    <w:name w:val="Body Text"/>
    <w:basedOn w:val="Normln"/>
    <w:link w:val="ZkladntextChar"/>
    <w:rsid w:val="00984148"/>
    <w:pPr>
      <w:overflowPunct w:val="0"/>
      <w:autoSpaceDE w:val="0"/>
      <w:autoSpaceDN w:val="0"/>
      <w:adjustRightInd w:val="0"/>
      <w:spacing w:before="120" w:line="240" w:lineRule="atLeast"/>
      <w:jc w:val="both"/>
      <w:textAlignment w:val="baseline"/>
    </w:pPr>
    <w:rPr>
      <w:rFonts w:ascii="Times New Roman" w:hAnsi="Times New Roman"/>
      <w:sz w:val="22"/>
      <w:szCs w:val="20"/>
    </w:rPr>
  </w:style>
  <w:style w:type="character" w:customStyle="1" w:styleId="ZkladntextChar">
    <w:name w:val="Základní text Char"/>
    <w:basedOn w:val="Standardnpsmoodstavce"/>
    <w:link w:val="Zkladntext"/>
    <w:rsid w:val="00984148"/>
    <w:rPr>
      <w:rFonts w:ascii="Times New Roman" w:eastAsia="Times New Roman" w:hAnsi="Times New Roman" w:cs="Times New Roman"/>
      <w:szCs w:val="20"/>
      <w:lang w:eastAsia="cs-CZ"/>
    </w:rPr>
  </w:style>
  <w:style w:type="paragraph" w:styleId="Odstavecseseznamem">
    <w:name w:val="List Paragraph"/>
    <w:basedOn w:val="Normln"/>
    <w:uiPriority w:val="34"/>
    <w:qFormat/>
    <w:rsid w:val="00984148"/>
    <w:pPr>
      <w:ind w:left="708"/>
    </w:pPr>
    <w:rPr>
      <w:szCs w:val="20"/>
    </w:rPr>
  </w:style>
  <w:style w:type="paragraph" w:customStyle="1" w:styleId="Identifikacestran">
    <w:name w:val="Identifikace stran"/>
    <w:basedOn w:val="Normln"/>
    <w:rsid w:val="00984148"/>
    <w:pPr>
      <w:spacing w:line="280" w:lineRule="atLeast"/>
      <w:jc w:val="center"/>
    </w:pPr>
    <w:rPr>
      <w:rFonts w:ascii="Garamond" w:hAnsi="Garamond"/>
    </w:rPr>
  </w:style>
  <w:style w:type="character" w:customStyle="1" w:styleId="platne1">
    <w:name w:val="platne1"/>
    <w:basedOn w:val="Standardnpsmoodstavce"/>
    <w:rsid w:val="00984148"/>
  </w:style>
  <w:style w:type="paragraph" w:styleId="Zhlav">
    <w:name w:val="header"/>
    <w:basedOn w:val="Normln"/>
    <w:link w:val="ZhlavChar"/>
    <w:uiPriority w:val="99"/>
    <w:semiHidden/>
    <w:unhideWhenUsed/>
    <w:rsid w:val="00F02E97"/>
    <w:pPr>
      <w:tabs>
        <w:tab w:val="center" w:pos="4536"/>
        <w:tab w:val="right" w:pos="9072"/>
      </w:tabs>
    </w:pPr>
  </w:style>
  <w:style w:type="character" w:customStyle="1" w:styleId="ZhlavChar">
    <w:name w:val="Záhlaví Char"/>
    <w:basedOn w:val="Standardnpsmoodstavce"/>
    <w:link w:val="Zhlav"/>
    <w:uiPriority w:val="99"/>
    <w:semiHidden/>
    <w:rsid w:val="00F02E97"/>
    <w:rPr>
      <w:rFonts w:ascii="Calibri" w:eastAsia="Times New Roman" w:hAnsi="Calibri" w:cs="Times New Roman"/>
      <w:sz w:val="20"/>
      <w:szCs w:val="24"/>
      <w:lang w:eastAsia="cs-CZ"/>
    </w:rPr>
  </w:style>
  <w:style w:type="paragraph" w:styleId="Zpat">
    <w:name w:val="footer"/>
    <w:basedOn w:val="Normln"/>
    <w:link w:val="ZpatChar"/>
    <w:uiPriority w:val="99"/>
    <w:semiHidden/>
    <w:unhideWhenUsed/>
    <w:rsid w:val="00F02E97"/>
    <w:pPr>
      <w:tabs>
        <w:tab w:val="center" w:pos="4536"/>
        <w:tab w:val="right" w:pos="9072"/>
      </w:tabs>
    </w:pPr>
  </w:style>
  <w:style w:type="character" w:customStyle="1" w:styleId="ZpatChar">
    <w:name w:val="Zápatí Char"/>
    <w:basedOn w:val="Standardnpsmoodstavce"/>
    <w:link w:val="Zpat"/>
    <w:uiPriority w:val="99"/>
    <w:semiHidden/>
    <w:rsid w:val="00F02E97"/>
    <w:rPr>
      <w:rFonts w:ascii="Calibri" w:eastAsia="Times New Roman" w:hAnsi="Calibri" w:cs="Times New Roman"/>
      <w:sz w:val="20"/>
      <w:szCs w:val="24"/>
      <w:lang w:eastAsia="cs-CZ"/>
    </w:rPr>
  </w:style>
  <w:style w:type="paragraph" w:styleId="Textbubliny">
    <w:name w:val="Balloon Text"/>
    <w:basedOn w:val="Normln"/>
    <w:link w:val="TextbublinyChar"/>
    <w:uiPriority w:val="99"/>
    <w:semiHidden/>
    <w:unhideWhenUsed/>
    <w:rsid w:val="00F02E97"/>
    <w:rPr>
      <w:rFonts w:ascii="Tahoma" w:hAnsi="Tahoma" w:cs="Tahoma"/>
      <w:sz w:val="16"/>
      <w:szCs w:val="16"/>
    </w:rPr>
  </w:style>
  <w:style w:type="character" w:customStyle="1" w:styleId="TextbublinyChar">
    <w:name w:val="Text bubliny Char"/>
    <w:basedOn w:val="Standardnpsmoodstavce"/>
    <w:link w:val="Textbubliny"/>
    <w:uiPriority w:val="99"/>
    <w:semiHidden/>
    <w:rsid w:val="00F02E97"/>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8264">
      <w:bodyDiv w:val="1"/>
      <w:marLeft w:val="0"/>
      <w:marRight w:val="0"/>
      <w:marTop w:val="0"/>
      <w:marBottom w:val="0"/>
      <w:divBdr>
        <w:top w:val="none" w:sz="0" w:space="0" w:color="auto"/>
        <w:left w:val="none" w:sz="0" w:space="0" w:color="auto"/>
        <w:bottom w:val="none" w:sz="0" w:space="0" w:color="auto"/>
        <w:right w:val="none" w:sz="0" w:space="0" w:color="auto"/>
      </w:divBdr>
    </w:div>
    <w:div w:id="62684139">
      <w:bodyDiv w:val="1"/>
      <w:marLeft w:val="0"/>
      <w:marRight w:val="0"/>
      <w:marTop w:val="0"/>
      <w:marBottom w:val="0"/>
      <w:divBdr>
        <w:top w:val="none" w:sz="0" w:space="0" w:color="auto"/>
        <w:left w:val="none" w:sz="0" w:space="0" w:color="auto"/>
        <w:bottom w:val="none" w:sz="0" w:space="0" w:color="auto"/>
        <w:right w:val="none" w:sz="0" w:space="0" w:color="auto"/>
      </w:divBdr>
    </w:div>
    <w:div w:id="177054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1894</Words>
  <Characters>11177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Šafránková Zuzana ing. (ÚMČ Praha 3)</cp:lastModifiedBy>
  <cp:revision>15</cp:revision>
  <cp:lastPrinted>2019-06-05T11:57:00Z</cp:lastPrinted>
  <dcterms:created xsi:type="dcterms:W3CDTF">2019-06-05T11:55:00Z</dcterms:created>
  <dcterms:modified xsi:type="dcterms:W3CDTF">2019-06-25T07:46:00Z</dcterms:modified>
</cp:coreProperties>
</file>