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pPr w:leftFromText="141" w:rightFromText="141" w:vertAnchor="text" w:tblpXSpec="right" w:tblpY="1"/>
        <w:tblOverlap w:val="never"/>
        <w:tblW w:w="3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6C5F28">
        <w:trPr>
          <w:trHeight w:hRule="exact" w:val="1871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6C5F28" w:rsidP="006C5F28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TopGis</w:t>
            </w:r>
            <w:proofErr w:type="spellEnd"/>
            <w:r>
              <w:rPr>
                <w:sz w:val="22"/>
              </w:rPr>
              <w:t>, s.r.o.</w:t>
            </w:r>
          </w:p>
          <w:p w:rsidR="00F80DE3" w:rsidRPr="00B44B07" w:rsidRDefault="00F80DE3" w:rsidP="006C5F28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6C5F28">
              <w:rPr>
                <w:sz w:val="22"/>
              </w:rPr>
              <w:t>29182263</w:t>
            </w:r>
          </w:p>
          <w:p w:rsidR="00F80DE3" w:rsidRPr="00B44B07" w:rsidRDefault="006C5F28" w:rsidP="006C5F28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Hněvkovského 30/65</w:t>
            </w:r>
          </w:p>
          <w:p w:rsidR="00F80DE3" w:rsidRPr="00B44B07" w:rsidRDefault="006C5F28" w:rsidP="006C5F2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617 00 Brno - Komárov</w:t>
            </w:r>
          </w:p>
          <w:p w:rsidR="00BF51C6" w:rsidRPr="00B44B07" w:rsidRDefault="00BF51C6" w:rsidP="006C5F2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6C5F28" w:rsidP="00FD0277">
      <w:pPr>
        <w:rPr>
          <w:sz w:val="29"/>
          <w:szCs w:val="29"/>
        </w:rPr>
      </w:pPr>
      <w:r>
        <w:rPr>
          <w:sz w:val="29"/>
          <w:szCs w:val="29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6C5F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6C5F28">
              <w:rPr>
                <w:b/>
                <w:bCs/>
                <w:sz w:val="22"/>
              </w:rPr>
              <w:t>324</w:t>
            </w:r>
            <w:r>
              <w:rPr>
                <w:b/>
                <w:bCs/>
                <w:sz w:val="22"/>
              </w:rPr>
              <w:t>/o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80DE3" w:rsidRDefault="00BF51C6" w:rsidP="00D8698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</w:t>
      </w:r>
      <w:r w:rsidR="00D86987">
        <w:rPr>
          <w:sz w:val="22"/>
          <w:szCs w:val="22"/>
        </w:rPr>
        <w:t xml:space="preserve">Vás </w:t>
      </w:r>
      <w:r w:rsidR="006C5F28">
        <w:rPr>
          <w:sz w:val="22"/>
          <w:szCs w:val="22"/>
        </w:rPr>
        <w:t xml:space="preserve">pořízení barevných </w:t>
      </w:r>
      <w:proofErr w:type="spellStart"/>
      <w:r w:rsidR="006C5F28">
        <w:rPr>
          <w:sz w:val="22"/>
          <w:szCs w:val="22"/>
        </w:rPr>
        <w:t>ortofot</w:t>
      </w:r>
      <w:proofErr w:type="spellEnd"/>
      <w:r w:rsidR="006C5F28">
        <w:rPr>
          <w:sz w:val="22"/>
          <w:szCs w:val="22"/>
        </w:rPr>
        <w:t xml:space="preserve"> z vegetačního období na vymezeném území v okolí Prahy</w:t>
      </w:r>
      <w:r w:rsidR="008240BF">
        <w:rPr>
          <w:sz w:val="22"/>
          <w:szCs w:val="22"/>
        </w:rPr>
        <w:t xml:space="preserve"> </w:t>
      </w:r>
      <w:r w:rsidR="006C5F28">
        <w:rPr>
          <w:sz w:val="22"/>
          <w:szCs w:val="22"/>
        </w:rPr>
        <w:t>dle přiložené přílohy</w:t>
      </w:r>
      <w:r w:rsidR="00FD701F">
        <w:rPr>
          <w:sz w:val="22"/>
          <w:szCs w:val="22"/>
        </w:rPr>
        <w:t>:</w:t>
      </w:r>
      <w:r w:rsidR="006C5F28">
        <w:rPr>
          <w:sz w:val="22"/>
          <w:szCs w:val="22"/>
        </w:rPr>
        <w:t xml:space="preserve"> </w:t>
      </w:r>
    </w:p>
    <w:p w:rsidR="00FD701F" w:rsidRDefault="00182F00" w:rsidP="00FD701F">
      <w:pPr>
        <w:rPr>
          <w:color w:val="1F497D"/>
        </w:rPr>
      </w:pPr>
      <w:hyperlink r:id="rId9" w:history="1">
        <w:r w:rsidR="00FD701F">
          <w:rPr>
            <w:rStyle w:val="Hypertextovodkaz"/>
          </w:rPr>
          <w:t>\\urm.mepnet.cz\WrkSpc\Osobni\Minksová\od_tou\Ortofoto_okolí\</w:t>
        </w:r>
      </w:hyperlink>
      <w:r w:rsidR="00FD701F">
        <w:rPr>
          <w:color w:val="1F497D"/>
        </w:rPr>
        <w:t xml:space="preserve"> </w:t>
      </w:r>
      <w:r w:rsidR="00FD701F">
        <w:rPr>
          <w:sz w:val="22"/>
          <w:szCs w:val="22"/>
        </w:rPr>
        <w:t>(dále jen „předmět objednávky“).</w:t>
      </w: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6C5F28">
        <w:rPr>
          <w:sz w:val="22"/>
          <w:szCs w:val="22"/>
        </w:rPr>
        <w:t>Ing. Marta Toušková</w:t>
      </w:r>
      <w:r>
        <w:rPr>
          <w:sz w:val="22"/>
          <w:szCs w:val="22"/>
        </w:rPr>
        <w:t xml:space="preserve">, </w:t>
      </w:r>
      <w:r w:rsidR="00182F00">
        <w:rPr>
          <w:sz w:val="22"/>
          <w:szCs w:val="22"/>
        </w:rPr>
        <w:t>xxxxxxxxxxxxxxxxxxxxxxx</w:t>
      </w:r>
      <w:bookmarkStart w:id="0" w:name="_GoBack"/>
      <w:bookmarkEnd w:id="0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D86ED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</w:t>
      </w:r>
      <w:proofErr w:type="gramStart"/>
      <w:r w:rsidR="002D66B3">
        <w:rPr>
          <w:bCs/>
          <w:sz w:val="22"/>
          <w:szCs w:val="22"/>
        </w:rPr>
        <w:t>5.</w:t>
      </w:r>
      <w:r w:rsidR="00FD701F">
        <w:rPr>
          <w:bCs/>
          <w:sz w:val="22"/>
          <w:szCs w:val="22"/>
        </w:rPr>
        <w:t>12</w:t>
      </w:r>
      <w:r w:rsidR="00D86987">
        <w:rPr>
          <w:bCs/>
          <w:sz w:val="22"/>
          <w:szCs w:val="22"/>
        </w:rPr>
        <w:t>.2016</w:t>
      </w:r>
      <w:proofErr w:type="gramEnd"/>
      <w:r w:rsidR="003E40AB">
        <w:rPr>
          <w:bCs/>
          <w:sz w:val="22"/>
          <w:szCs w:val="22"/>
        </w:rPr>
        <w:t>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>ena předmětu objednávky činí</w:t>
      </w:r>
      <w:r>
        <w:rPr>
          <w:sz w:val="22"/>
          <w:szCs w:val="22"/>
        </w:rPr>
        <w:t xml:space="preserve"> dle cenové nabídky</w:t>
      </w:r>
      <w:r w:rsidR="00BF51C6">
        <w:rPr>
          <w:sz w:val="22"/>
          <w:szCs w:val="22"/>
        </w:rPr>
        <w:t xml:space="preserve">: </w:t>
      </w:r>
      <w:r w:rsidR="006C5F28">
        <w:rPr>
          <w:sz w:val="22"/>
          <w:szCs w:val="22"/>
        </w:rPr>
        <w:t>223.000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Platba se uskuteční po dodání předmětu objednávky, a to na základě potvrzeného </w:t>
      </w:r>
      <w:r w:rsidR="006C5F28">
        <w:rPr>
          <w:sz w:val="22"/>
          <w:szCs w:val="22"/>
        </w:rPr>
        <w:t>akceptačního protokolu.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Default="0085107F" w:rsidP="0085107F">
      <w:pPr>
        <w:spacing w:before="240"/>
        <w:jc w:val="both"/>
        <w:rPr>
          <w:b/>
          <w:sz w:val="22"/>
          <w:szCs w:val="22"/>
        </w:rPr>
      </w:pPr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6C5F28" w:rsidRDefault="006C5F28" w:rsidP="00BF51C6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C5F28">
        <w:rPr>
          <w:b/>
          <w:sz w:val="22"/>
          <w:szCs w:val="22"/>
        </w:rPr>
        <w:t>Mgr. Ondřej Boháč</w:t>
      </w:r>
    </w:p>
    <w:p w:rsidR="006C5F28" w:rsidRPr="006C5F28" w:rsidRDefault="006C5F28" w:rsidP="00BF51C6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p</w:t>
      </w:r>
      <w:r w:rsidRPr="006C5F28">
        <w:rPr>
          <w:b/>
          <w:sz w:val="22"/>
          <w:szCs w:val="22"/>
        </w:rPr>
        <w:t>ověřený řízením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6C5F28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6C5F28" w:rsidRDefault="006C5F28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1 – Vymezení zájmového území</w:t>
      </w:r>
    </w:p>
    <w:p w:rsidR="006C5F28" w:rsidRDefault="006C5F28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2 – Akceptační protokol</w:t>
      </w:r>
    </w:p>
    <w:sectPr w:rsidR="006C5F28" w:rsidSect="00952A7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2F0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82F0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6C5F28">
      <w:t>324</w:t>
    </w:r>
    <w:r w:rsidR="00ED63AA">
      <w:t>/</w:t>
    </w:r>
    <w:r w:rsidR="004E71F8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93939"/>
    <w:rsid w:val="000C0BB1"/>
    <w:rsid w:val="000D0BC1"/>
    <w:rsid w:val="00100346"/>
    <w:rsid w:val="00111F3A"/>
    <w:rsid w:val="001526C6"/>
    <w:rsid w:val="001660D0"/>
    <w:rsid w:val="001678AF"/>
    <w:rsid w:val="00174B52"/>
    <w:rsid w:val="00182F00"/>
    <w:rsid w:val="00197B30"/>
    <w:rsid w:val="001C488D"/>
    <w:rsid w:val="001D70AA"/>
    <w:rsid w:val="001E7944"/>
    <w:rsid w:val="001F4319"/>
    <w:rsid w:val="00204F47"/>
    <w:rsid w:val="0020776D"/>
    <w:rsid w:val="0026571F"/>
    <w:rsid w:val="00293BD2"/>
    <w:rsid w:val="002A08BF"/>
    <w:rsid w:val="002D0DB3"/>
    <w:rsid w:val="002D1E43"/>
    <w:rsid w:val="002D66B3"/>
    <w:rsid w:val="002E1388"/>
    <w:rsid w:val="00311890"/>
    <w:rsid w:val="00312958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C3021"/>
    <w:rsid w:val="005E5CFB"/>
    <w:rsid w:val="00645762"/>
    <w:rsid w:val="006764E8"/>
    <w:rsid w:val="00681E66"/>
    <w:rsid w:val="006C5F28"/>
    <w:rsid w:val="006F1FA4"/>
    <w:rsid w:val="00723B68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75922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43573"/>
    <w:rsid w:val="00F605EC"/>
    <w:rsid w:val="00F80DE3"/>
    <w:rsid w:val="00FB2631"/>
    <w:rsid w:val="00FC0A24"/>
    <w:rsid w:val="00FD0277"/>
    <w:rsid w:val="00FD701F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FD7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FD7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urm.mepnet.cz\WrkSpc\Osobni\Minksov&#225;\od_tou\Ortofoto_okol&#237;\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C3FF-B87C-42E1-A58D-CC6DB0AC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363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2016-11-29T08:36:00Z</cp:lastPrinted>
  <dcterms:created xsi:type="dcterms:W3CDTF">2016-11-28T13:15:00Z</dcterms:created>
  <dcterms:modified xsi:type="dcterms:W3CDTF">2016-12-19T09:36:00Z</dcterms:modified>
</cp:coreProperties>
</file>