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70" w:rsidRPr="001D1E04" w:rsidRDefault="000B7B70" w:rsidP="000B7B70">
      <w:pPr>
        <w:pStyle w:val="Nzev"/>
        <w:jc w:val="center"/>
        <w:rPr>
          <w:rFonts w:ascii="Arial" w:eastAsia="Calibri" w:hAnsi="Arial" w:cs="Arial"/>
        </w:rPr>
      </w:pPr>
      <w:r w:rsidRPr="001D1E04">
        <w:rPr>
          <w:rFonts w:ascii="Arial" w:eastAsia="Calibri" w:hAnsi="Arial" w:cs="Arial"/>
        </w:rPr>
        <w:t>Dodatek č. 1</w:t>
      </w:r>
    </w:p>
    <w:p w:rsidR="0009028D" w:rsidRPr="001D1E04" w:rsidRDefault="0009028D" w:rsidP="0009028D">
      <w:pPr>
        <w:jc w:val="center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K Prováděcí s</w:t>
      </w:r>
      <w:r w:rsidR="0001349A" w:rsidRPr="001D1E04">
        <w:rPr>
          <w:rFonts w:ascii="Arial" w:eastAsia="Calibri" w:hAnsi="Arial" w:cs="Arial"/>
          <w:szCs w:val="24"/>
        </w:rPr>
        <w:t xml:space="preserve">mlouvě </w:t>
      </w:r>
      <w:r w:rsidRPr="001D1E04">
        <w:rPr>
          <w:rFonts w:ascii="Arial" w:eastAsia="Calibri" w:hAnsi="Arial" w:cs="Arial"/>
          <w:szCs w:val="24"/>
        </w:rPr>
        <w:t>evidovan</w:t>
      </w:r>
      <w:r w:rsidR="000B7B70" w:rsidRPr="001D1E04">
        <w:rPr>
          <w:rFonts w:ascii="Arial" w:eastAsia="Calibri" w:hAnsi="Arial" w:cs="Arial"/>
          <w:szCs w:val="24"/>
        </w:rPr>
        <w:t>é</w:t>
      </w:r>
      <w:r w:rsidRPr="001D1E04">
        <w:rPr>
          <w:rFonts w:ascii="Arial" w:eastAsia="Calibri" w:hAnsi="Arial" w:cs="Arial"/>
          <w:szCs w:val="24"/>
        </w:rPr>
        <w:t xml:space="preserve"> u Objednatele pod číslem.: 18/7700/0304 a u Dodavatele pod č. 153/2018</w:t>
      </w:r>
    </w:p>
    <w:p w:rsidR="009F1E06" w:rsidRPr="001D1E04" w:rsidRDefault="009F1E06" w:rsidP="009F1E06">
      <w:pPr>
        <w:keepNext/>
        <w:keepLines/>
        <w:jc w:val="center"/>
        <w:rPr>
          <w:rFonts w:ascii="Arial" w:hAnsi="Arial" w:cs="Arial"/>
          <w:b/>
          <w:sz w:val="40"/>
        </w:rPr>
      </w:pPr>
    </w:p>
    <w:p w:rsidR="009F1E06" w:rsidRPr="001D1E04" w:rsidRDefault="009F1E06" w:rsidP="000B7B70">
      <w:pPr>
        <w:keepNext/>
        <w:keepLines/>
        <w:jc w:val="left"/>
        <w:rPr>
          <w:rFonts w:ascii="Arial" w:hAnsi="Arial" w:cs="Arial"/>
          <w:b/>
          <w:sz w:val="24"/>
        </w:rPr>
      </w:pPr>
      <w:r w:rsidRPr="001D1E04">
        <w:rPr>
          <w:rFonts w:ascii="Arial" w:hAnsi="Arial" w:cs="Arial"/>
          <w:b/>
          <w:sz w:val="24"/>
        </w:rPr>
        <w:t xml:space="preserve">Číslo </w:t>
      </w:r>
      <w:r w:rsidR="0001349A" w:rsidRPr="001D1E04">
        <w:rPr>
          <w:rFonts w:ascii="Arial" w:hAnsi="Arial" w:cs="Arial"/>
          <w:b/>
          <w:sz w:val="24"/>
        </w:rPr>
        <w:t>dodatku</w:t>
      </w:r>
      <w:r w:rsidRPr="001D1E04">
        <w:rPr>
          <w:rFonts w:ascii="Arial" w:hAnsi="Arial" w:cs="Arial"/>
          <w:b/>
          <w:sz w:val="24"/>
        </w:rPr>
        <w:t xml:space="preserve"> Objednatele: </w:t>
      </w:r>
      <w:r w:rsidR="008D38FB" w:rsidRPr="008D38FB">
        <w:rPr>
          <w:rFonts w:ascii="Arial" w:hAnsi="Arial" w:cs="Arial"/>
        </w:rPr>
        <w:t>18/7700/0304/01</w:t>
      </w:r>
    </w:p>
    <w:p w:rsidR="000B7B70" w:rsidRPr="001D1E04" w:rsidRDefault="000B7B70" w:rsidP="000B7B70">
      <w:pPr>
        <w:keepNext/>
        <w:keepLines/>
        <w:jc w:val="left"/>
        <w:rPr>
          <w:rFonts w:ascii="Arial" w:hAnsi="Arial" w:cs="Arial"/>
          <w:b/>
          <w:sz w:val="28"/>
        </w:rPr>
      </w:pPr>
    </w:p>
    <w:p w:rsidR="009F1E06" w:rsidRPr="001D1E04" w:rsidRDefault="009F1E06" w:rsidP="009F1E06">
      <w:pPr>
        <w:keepNext/>
        <w:keepLines/>
        <w:jc w:val="left"/>
        <w:rPr>
          <w:rFonts w:ascii="Arial" w:hAnsi="Arial" w:cs="Arial"/>
          <w:sz w:val="28"/>
          <w:szCs w:val="28"/>
        </w:rPr>
      </w:pPr>
    </w:p>
    <w:p w:rsidR="0009028D" w:rsidRPr="001D1E04" w:rsidRDefault="0009028D" w:rsidP="0009028D">
      <w:pPr>
        <w:rPr>
          <w:rFonts w:ascii="Arial" w:hAnsi="Arial" w:cs="Arial"/>
          <w:b/>
          <w:bCs/>
        </w:rPr>
      </w:pPr>
      <w:r w:rsidRPr="001D1E04">
        <w:rPr>
          <w:rFonts w:ascii="Arial" w:eastAsia="Calibri" w:hAnsi="Arial" w:cs="Arial"/>
        </w:rPr>
        <w:t>Objednatel:</w:t>
      </w:r>
      <w:r w:rsidRPr="001D1E04">
        <w:rPr>
          <w:rFonts w:ascii="Arial" w:eastAsia="Calibri" w:hAnsi="Arial" w:cs="Arial"/>
        </w:rPr>
        <w:tab/>
      </w:r>
      <w:r w:rsidRPr="001D1E04">
        <w:rPr>
          <w:rFonts w:ascii="Arial" w:eastAsia="Calibri" w:hAnsi="Arial" w:cs="Arial"/>
        </w:rPr>
        <w:tab/>
      </w:r>
      <w:r w:rsidRPr="001D1E04">
        <w:rPr>
          <w:rFonts w:ascii="Arial" w:eastAsia="Calibri" w:hAnsi="Arial" w:cs="Arial"/>
          <w:b/>
        </w:rPr>
        <w:t xml:space="preserve">Česká republika </w:t>
      </w:r>
      <w:r w:rsidRPr="001D1E04">
        <w:rPr>
          <w:rFonts w:ascii="Arial" w:hAnsi="Arial" w:cs="Arial"/>
          <w:b/>
          <w:bCs/>
        </w:rPr>
        <w:t xml:space="preserve">- Generální finanční ředitelství </w:t>
      </w:r>
    </w:p>
    <w:p w:rsidR="0009028D" w:rsidRPr="001D1E04" w:rsidRDefault="0009028D" w:rsidP="0009028D">
      <w:pPr>
        <w:ind w:left="1416" w:hanging="1416"/>
        <w:rPr>
          <w:rFonts w:ascii="Arial" w:hAnsi="Arial" w:cs="Arial"/>
        </w:rPr>
      </w:pPr>
      <w:r w:rsidRPr="001D1E04">
        <w:rPr>
          <w:rFonts w:ascii="Arial" w:hAnsi="Arial" w:cs="Arial"/>
        </w:rPr>
        <w:t xml:space="preserve">se sídlem: </w:t>
      </w:r>
      <w:r w:rsidRPr="001D1E04">
        <w:rPr>
          <w:rFonts w:ascii="Arial" w:hAnsi="Arial" w:cs="Arial"/>
        </w:rPr>
        <w:tab/>
      </w:r>
      <w:r w:rsidR="000574FF">
        <w:rPr>
          <w:rFonts w:ascii="Arial" w:hAnsi="Arial" w:cs="Arial"/>
        </w:rPr>
        <w:tab/>
      </w:r>
      <w:r w:rsidRPr="001D1E04">
        <w:rPr>
          <w:rFonts w:ascii="Arial" w:hAnsi="Arial" w:cs="Arial"/>
        </w:rPr>
        <w:tab/>
        <w:t>Lazarská 15/7, 117 22 Praha 1</w:t>
      </w:r>
    </w:p>
    <w:p w:rsidR="0009028D" w:rsidRPr="001D1E04" w:rsidRDefault="0009028D" w:rsidP="0009028D">
      <w:pPr>
        <w:ind w:left="1416" w:hanging="1416"/>
        <w:rPr>
          <w:rFonts w:ascii="Arial" w:hAnsi="Arial" w:cs="Arial"/>
          <w:lang w:val="en-US"/>
        </w:rPr>
      </w:pPr>
      <w:r w:rsidRPr="001D1E04">
        <w:rPr>
          <w:rFonts w:ascii="Arial" w:hAnsi="Arial" w:cs="Arial"/>
        </w:rPr>
        <w:t>IČO:</w:t>
      </w:r>
      <w:r w:rsidRPr="001D1E04">
        <w:rPr>
          <w:rFonts w:ascii="Arial" w:hAnsi="Arial" w:cs="Arial"/>
        </w:rPr>
        <w:tab/>
      </w:r>
      <w:r w:rsidRPr="001D1E04">
        <w:rPr>
          <w:rFonts w:ascii="Arial" w:hAnsi="Arial" w:cs="Arial"/>
        </w:rPr>
        <w:tab/>
      </w:r>
      <w:r w:rsidR="000574FF">
        <w:rPr>
          <w:rFonts w:ascii="Arial" w:hAnsi="Arial" w:cs="Arial"/>
        </w:rPr>
        <w:tab/>
      </w:r>
      <w:r w:rsidRPr="001D1E04">
        <w:rPr>
          <w:rFonts w:ascii="Arial" w:hAnsi="Arial" w:cs="Arial"/>
        </w:rPr>
        <w:t>72080043</w:t>
      </w:r>
    </w:p>
    <w:p w:rsidR="0009028D" w:rsidRPr="001D1E04" w:rsidRDefault="0009028D" w:rsidP="0009028D">
      <w:pPr>
        <w:ind w:left="1416" w:hanging="1416"/>
        <w:rPr>
          <w:rFonts w:ascii="Arial" w:hAnsi="Arial" w:cs="Arial"/>
        </w:rPr>
      </w:pPr>
      <w:r w:rsidRPr="001D1E04">
        <w:rPr>
          <w:rFonts w:ascii="Arial" w:hAnsi="Arial" w:cs="Arial"/>
        </w:rPr>
        <w:t>DIČ:</w:t>
      </w:r>
      <w:r w:rsidRPr="001D1E04">
        <w:rPr>
          <w:rFonts w:ascii="Arial" w:hAnsi="Arial" w:cs="Arial"/>
        </w:rPr>
        <w:tab/>
      </w:r>
      <w:r w:rsidR="000574FF">
        <w:rPr>
          <w:rFonts w:ascii="Arial" w:hAnsi="Arial" w:cs="Arial"/>
        </w:rPr>
        <w:tab/>
      </w:r>
      <w:r w:rsidRPr="001D1E04">
        <w:rPr>
          <w:rFonts w:ascii="Arial" w:hAnsi="Arial" w:cs="Arial"/>
        </w:rPr>
        <w:tab/>
        <w:t>CZ72080043</w:t>
      </w:r>
    </w:p>
    <w:p w:rsidR="0009028D" w:rsidRPr="001D1E04" w:rsidRDefault="0009028D" w:rsidP="0009028D">
      <w:pPr>
        <w:ind w:left="1416" w:hanging="1416"/>
        <w:rPr>
          <w:rFonts w:ascii="Arial" w:hAnsi="Arial" w:cs="Arial"/>
        </w:rPr>
      </w:pPr>
      <w:r w:rsidRPr="001D1E04">
        <w:rPr>
          <w:rFonts w:ascii="Arial" w:hAnsi="Arial" w:cs="Arial"/>
        </w:rPr>
        <w:t>zastoupené:</w:t>
      </w:r>
      <w:r w:rsidRPr="001D1E04">
        <w:rPr>
          <w:rFonts w:ascii="Arial" w:hAnsi="Arial" w:cs="Arial"/>
        </w:rPr>
        <w:tab/>
      </w:r>
      <w:r w:rsidR="000574FF">
        <w:rPr>
          <w:rFonts w:ascii="Arial" w:hAnsi="Arial" w:cs="Arial"/>
        </w:rPr>
        <w:tab/>
      </w:r>
      <w:r w:rsidRPr="001D1E04">
        <w:rPr>
          <w:rFonts w:ascii="Arial" w:hAnsi="Arial" w:cs="Arial"/>
        </w:rPr>
        <w:tab/>
      </w:r>
      <w:r w:rsidR="00985B82" w:rsidRPr="00985B82">
        <w:rPr>
          <w:rFonts w:ascii="Arial" w:hAnsi="Arial" w:cs="Arial"/>
          <w:highlight w:val="lightGray"/>
        </w:rPr>
        <w:t>………………</w:t>
      </w:r>
      <w:proofErr w:type="gramStart"/>
      <w:r w:rsidR="00985B82" w:rsidRPr="00985B82">
        <w:rPr>
          <w:rFonts w:ascii="Arial" w:hAnsi="Arial" w:cs="Arial"/>
          <w:highlight w:val="lightGray"/>
        </w:rPr>
        <w:t>…..</w:t>
      </w:r>
      <w:r w:rsidRPr="001D1E04">
        <w:rPr>
          <w:rFonts w:ascii="Arial" w:hAnsi="Arial" w:cs="Arial"/>
        </w:rPr>
        <w:t>, ředitelem</w:t>
      </w:r>
      <w:proofErr w:type="gramEnd"/>
      <w:r w:rsidRPr="001D1E04">
        <w:rPr>
          <w:rFonts w:ascii="Arial" w:hAnsi="Arial" w:cs="Arial"/>
        </w:rPr>
        <w:t xml:space="preserve"> Sekce informatiky</w:t>
      </w:r>
    </w:p>
    <w:p w:rsidR="0009028D" w:rsidRPr="001D1E04" w:rsidRDefault="0009028D" w:rsidP="0009028D">
      <w:pPr>
        <w:ind w:left="1416" w:hanging="1416"/>
        <w:rPr>
          <w:rFonts w:ascii="Arial" w:hAnsi="Arial" w:cs="Arial"/>
        </w:rPr>
      </w:pPr>
      <w:r w:rsidRPr="001D1E04">
        <w:rPr>
          <w:rFonts w:ascii="Arial" w:hAnsi="Arial" w:cs="Arial"/>
        </w:rPr>
        <w:t xml:space="preserve">Bankovní spojení: </w:t>
      </w:r>
      <w:r w:rsidRPr="001D1E04">
        <w:rPr>
          <w:rFonts w:ascii="Arial" w:hAnsi="Arial" w:cs="Arial"/>
        </w:rPr>
        <w:tab/>
      </w:r>
      <w:r w:rsidR="00985B82" w:rsidRPr="00985B82">
        <w:rPr>
          <w:rFonts w:ascii="Arial" w:hAnsi="Arial" w:cs="Arial"/>
          <w:highlight w:val="lightGray"/>
        </w:rPr>
        <w:t>………………</w:t>
      </w:r>
      <w:proofErr w:type="gramStart"/>
      <w:r w:rsidR="00985B82" w:rsidRPr="00985B82">
        <w:rPr>
          <w:rFonts w:ascii="Arial" w:hAnsi="Arial" w:cs="Arial"/>
          <w:highlight w:val="lightGray"/>
        </w:rPr>
        <w:t>…..</w:t>
      </w:r>
      <w:proofErr w:type="gramEnd"/>
    </w:p>
    <w:p w:rsidR="0009028D" w:rsidRPr="001D1E04" w:rsidRDefault="0009028D" w:rsidP="0009028D">
      <w:pPr>
        <w:ind w:left="1416" w:hanging="1416"/>
        <w:rPr>
          <w:rFonts w:ascii="Arial" w:hAnsi="Arial" w:cs="Arial"/>
        </w:rPr>
      </w:pPr>
      <w:r w:rsidRPr="001D1E04">
        <w:rPr>
          <w:rFonts w:ascii="Arial" w:hAnsi="Arial" w:cs="Arial"/>
        </w:rPr>
        <w:t xml:space="preserve">Číslo účtu: </w:t>
      </w:r>
      <w:r w:rsidRPr="001D1E04">
        <w:rPr>
          <w:rFonts w:ascii="Arial" w:hAnsi="Arial" w:cs="Arial"/>
        </w:rPr>
        <w:tab/>
      </w:r>
      <w:r w:rsidRPr="001D1E04">
        <w:rPr>
          <w:rFonts w:ascii="Arial" w:hAnsi="Arial" w:cs="Arial"/>
        </w:rPr>
        <w:tab/>
      </w:r>
      <w:r w:rsidR="000574FF">
        <w:rPr>
          <w:rFonts w:ascii="Arial" w:hAnsi="Arial" w:cs="Arial"/>
        </w:rPr>
        <w:tab/>
      </w:r>
      <w:r w:rsidR="00985B82" w:rsidRPr="00985B82">
        <w:rPr>
          <w:rFonts w:ascii="Arial" w:hAnsi="Arial" w:cs="Arial"/>
          <w:highlight w:val="lightGray"/>
        </w:rPr>
        <w:t>………………</w:t>
      </w:r>
      <w:proofErr w:type="gramStart"/>
      <w:r w:rsidR="00985B82" w:rsidRPr="00985B82">
        <w:rPr>
          <w:rFonts w:ascii="Arial" w:hAnsi="Arial" w:cs="Arial"/>
          <w:highlight w:val="lightGray"/>
        </w:rPr>
        <w:t>…..</w:t>
      </w:r>
      <w:proofErr w:type="gramEnd"/>
    </w:p>
    <w:p w:rsidR="0009028D" w:rsidRPr="001D1E04" w:rsidRDefault="0009028D" w:rsidP="0009028D">
      <w:pPr>
        <w:ind w:left="1416" w:hanging="1416"/>
        <w:rPr>
          <w:rFonts w:ascii="Arial" w:hAnsi="Arial" w:cs="Arial"/>
        </w:rPr>
      </w:pPr>
      <w:r w:rsidRPr="001D1E04">
        <w:rPr>
          <w:rFonts w:ascii="Arial" w:hAnsi="Arial" w:cs="Arial"/>
        </w:rPr>
        <w:t>ID datové schránky:</w:t>
      </w:r>
      <w:r w:rsidRPr="001D1E04">
        <w:rPr>
          <w:rFonts w:ascii="Arial" w:hAnsi="Arial" w:cs="Arial"/>
        </w:rPr>
        <w:tab/>
        <w:t>p9iwj4f</w:t>
      </w:r>
    </w:p>
    <w:p w:rsidR="0009028D" w:rsidRPr="001D1E04" w:rsidRDefault="0009028D" w:rsidP="0009028D">
      <w:pPr>
        <w:pStyle w:val="Zkladntext"/>
        <w:numPr>
          <w:ilvl w:val="12"/>
          <w:numId w:val="0"/>
        </w:numPr>
        <w:spacing w:line="276" w:lineRule="auto"/>
        <w:rPr>
          <w:rFonts w:ascii="Arial" w:eastAsia="Calibri" w:hAnsi="Arial" w:cs="Arial"/>
          <w:sz w:val="20"/>
          <w:lang w:val="cs-CZ"/>
        </w:rPr>
      </w:pPr>
    </w:p>
    <w:p w:rsidR="0009028D" w:rsidRPr="001D1E04" w:rsidRDefault="0009028D" w:rsidP="0009028D">
      <w:pPr>
        <w:pStyle w:val="Zkladntext"/>
        <w:numPr>
          <w:ilvl w:val="12"/>
          <w:numId w:val="0"/>
        </w:numPr>
        <w:spacing w:after="0" w:line="276" w:lineRule="auto"/>
        <w:rPr>
          <w:rFonts w:ascii="Arial" w:eastAsia="Calibri" w:hAnsi="Arial" w:cs="Arial"/>
          <w:sz w:val="20"/>
          <w:lang w:val="cs-CZ"/>
        </w:rPr>
      </w:pPr>
      <w:r w:rsidRPr="001D1E04">
        <w:rPr>
          <w:rFonts w:ascii="Arial" w:eastAsia="Calibri" w:hAnsi="Arial" w:cs="Arial"/>
          <w:sz w:val="20"/>
          <w:lang w:val="cs-CZ"/>
        </w:rPr>
        <w:t>(dále jen „</w:t>
      </w:r>
      <w:r w:rsidRPr="001D1E04">
        <w:rPr>
          <w:rFonts w:ascii="Arial" w:eastAsia="Calibri" w:hAnsi="Arial" w:cs="Arial"/>
          <w:b/>
          <w:i/>
          <w:sz w:val="20"/>
          <w:lang w:val="cs-CZ"/>
        </w:rPr>
        <w:t>Objednatel</w:t>
      </w:r>
      <w:r w:rsidRPr="001D1E04">
        <w:rPr>
          <w:rFonts w:ascii="Arial" w:eastAsia="Calibri" w:hAnsi="Arial" w:cs="Arial"/>
          <w:sz w:val="20"/>
          <w:lang w:val="cs-CZ"/>
        </w:rPr>
        <w:t>")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</w:rPr>
      </w:pPr>
      <w:r w:rsidRPr="001D1E04">
        <w:rPr>
          <w:rFonts w:ascii="Arial" w:eastAsia="Calibri" w:hAnsi="Arial" w:cs="Arial"/>
        </w:rPr>
        <w:t>na straně jedné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a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b/>
          <w:szCs w:val="24"/>
        </w:rPr>
      </w:pPr>
      <w:r w:rsidRPr="001D1E04">
        <w:rPr>
          <w:rFonts w:ascii="Arial" w:eastAsia="Calibri" w:hAnsi="Arial" w:cs="Arial"/>
          <w:szCs w:val="24"/>
        </w:rPr>
        <w:t>Dodavatel:</w:t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b/>
          <w:szCs w:val="24"/>
        </w:rPr>
        <w:t>STÁTNÍ TISKÁRNA CENIN, státní podnik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se sídlem:</w:t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</w:r>
      <w:r w:rsidR="000574FF">
        <w:rPr>
          <w:rFonts w:ascii="Arial" w:eastAsia="Calibri" w:hAnsi="Arial" w:cs="Arial"/>
          <w:szCs w:val="24"/>
        </w:rPr>
        <w:t>Praha 1, Růžová 6</w:t>
      </w:r>
      <w:r w:rsidR="000574FF" w:rsidRPr="000574FF">
        <w:rPr>
          <w:rFonts w:ascii="Arial" w:eastAsia="Calibri" w:hAnsi="Arial" w:cs="Arial"/>
          <w:szCs w:val="24"/>
        </w:rPr>
        <w:t>, čp. 943, PSČ 11000</w:t>
      </w:r>
    </w:p>
    <w:p w:rsidR="0009028D" w:rsidRPr="001D1E04" w:rsidRDefault="000574FF" w:rsidP="0009028D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zastoupený:</w:t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 w:rsidR="00985B82" w:rsidRPr="00985B82">
        <w:rPr>
          <w:rFonts w:ascii="Arial" w:hAnsi="Arial" w:cs="Arial"/>
          <w:highlight w:val="lightGray"/>
        </w:rPr>
        <w:t>………………</w:t>
      </w:r>
      <w:proofErr w:type="gramStart"/>
      <w:r w:rsidR="00985B82" w:rsidRPr="00985B82">
        <w:rPr>
          <w:rFonts w:ascii="Arial" w:hAnsi="Arial" w:cs="Arial"/>
          <w:highlight w:val="lightGray"/>
        </w:rPr>
        <w:t>…..</w:t>
      </w:r>
      <w:r w:rsidR="0009028D" w:rsidRPr="001D1E04">
        <w:rPr>
          <w:rFonts w:ascii="Arial" w:eastAsia="Calibri" w:hAnsi="Arial" w:cs="Arial"/>
          <w:szCs w:val="24"/>
        </w:rPr>
        <w:t>, generální</w:t>
      </w:r>
      <w:proofErr w:type="gramEnd"/>
      <w:r w:rsidR="0009028D" w:rsidRPr="001D1E04">
        <w:rPr>
          <w:rFonts w:ascii="Arial" w:eastAsia="Calibri" w:hAnsi="Arial" w:cs="Arial"/>
          <w:szCs w:val="24"/>
        </w:rPr>
        <w:t xml:space="preserve"> ředitel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IČ</w:t>
      </w:r>
      <w:r w:rsidR="000574FF">
        <w:rPr>
          <w:rFonts w:ascii="Arial" w:eastAsia="Calibri" w:hAnsi="Arial" w:cs="Arial"/>
          <w:szCs w:val="24"/>
        </w:rPr>
        <w:t>O</w:t>
      </w:r>
      <w:r w:rsidRPr="001D1E04">
        <w:rPr>
          <w:rFonts w:ascii="Arial" w:eastAsia="Calibri" w:hAnsi="Arial" w:cs="Arial"/>
          <w:szCs w:val="24"/>
        </w:rPr>
        <w:t>:</w:t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  <w:t>00001279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DIČ:</w:t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  <w:t>CZ00001279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Bankovní spojení:</w:t>
      </w:r>
      <w:r w:rsidRPr="001D1E04">
        <w:rPr>
          <w:rFonts w:ascii="Arial" w:eastAsia="Calibri" w:hAnsi="Arial" w:cs="Arial"/>
          <w:szCs w:val="24"/>
        </w:rPr>
        <w:tab/>
      </w:r>
      <w:r w:rsidR="00985B82" w:rsidRPr="00985B82">
        <w:rPr>
          <w:rFonts w:ascii="Arial" w:hAnsi="Arial" w:cs="Arial"/>
          <w:highlight w:val="lightGray"/>
        </w:rPr>
        <w:t>………………</w:t>
      </w:r>
      <w:proofErr w:type="gramStart"/>
      <w:r w:rsidR="00985B82" w:rsidRPr="00985B82">
        <w:rPr>
          <w:rFonts w:ascii="Arial" w:hAnsi="Arial" w:cs="Arial"/>
          <w:highlight w:val="lightGray"/>
        </w:rPr>
        <w:t>…..</w:t>
      </w:r>
      <w:proofErr w:type="gramEnd"/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Číslo účtu:</w:t>
      </w:r>
      <w:r w:rsidRPr="001D1E04">
        <w:rPr>
          <w:rFonts w:ascii="Arial" w:eastAsia="Calibri" w:hAnsi="Arial" w:cs="Arial"/>
          <w:szCs w:val="24"/>
        </w:rPr>
        <w:tab/>
      </w:r>
      <w:r w:rsidRPr="001D1E04">
        <w:rPr>
          <w:rFonts w:ascii="Arial" w:eastAsia="Calibri" w:hAnsi="Arial" w:cs="Arial"/>
          <w:szCs w:val="24"/>
        </w:rPr>
        <w:tab/>
      </w:r>
      <w:r w:rsidR="00985B82" w:rsidRPr="00985B82">
        <w:rPr>
          <w:rFonts w:ascii="Arial" w:hAnsi="Arial" w:cs="Arial"/>
          <w:highlight w:val="lightGray"/>
        </w:rPr>
        <w:t>………………</w:t>
      </w:r>
      <w:proofErr w:type="gramStart"/>
      <w:r w:rsidR="00985B82" w:rsidRPr="00985B82">
        <w:rPr>
          <w:rFonts w:ascii="Arial" w:hAnsi="Arial" w:cs="Arial"/>
          <w:highlight w:val="lightGray"/>
        </w:rPr>
        <w:t>…..</w:t>
      </w:r>
      <w:proofErr w:type="gramEnd"/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ID datové schránky:</w:t>
      </w:r>
      <w:r w:rsidRPr="001D1E04">
        <w:rPr>
          <w:rFonts w:ascii="Arial" w:eastAsia="Calibri" w:hAnsi="Arial" w:cs="Arial"/>
          <w:szCs w:val="24"/>
        </w:rPr>
        <w:tab/>
        <w:t>hqe39ah</w:t>
      </w:r>
    </w:p>
    <w:p w:rsidR="0009028D" w:rsidRPr="001D1E04" w:rsidRDefault="0009028D" w:rsidP="0009028D">
      <w:p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zapsána v obchodním rejstříku vedeném Městským soudem v Praze, oddíl ALX, vložka 296</w:t>
      </w:r>
    </w:p>
    <w:p w:rsidR="0009028D" w:rsidRPr="001D1E04" w:rsidRDefault="0009028D" w:rsidP="0009028D">
      <w:pPr>
        <w:numPr>
          <w:ilvl w:val="12"/>
          <w:numId w:val="0"/>
        </w:numPr>
        <w:spacing w:line="276" w:lineRule="auto"/>
        <w:rPr>
          <w:rFonts w:ascii="Arial" w:eastAsia="Calibri" w:hAnsi="Arial" w:cs="Arial"/>
          <w:szCs w:val="24"/>
        </w:rPr>
      </w:pPr>
    </w:p>
    <w:p w:rsidR="0009028D" w:rsidRPr="001D1E04" w:rsidRDefault="0009028D" w:rsidP="0009028D">
      <w:pPr>
        <w:numPr>
          <w:ilvl w:val="12"/>
          <w:numId w:val="0"/>
        </w:numPr>
        <w:spacing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(dále jen „</w:t>
      </w:r>
      <w:r w:rsidRPr="001D1E04">
        <w:rPr>
          <w:rFonts w:ascii="Arial" w:eastAsia="Calibri" w:hAnsi="Arial" w:cs="Arial"/>
          <w:b/>
          <w:i/>
          <w:szCs w:val="24"/>
        </w:rPr>
        <w:t>Dodavatel</w:t>
      </w:r>
      <w:r w:rsidRPr="001D1E04">
        <w:rPr>
          <w:rFonts w:ascii="Arial" w:eastAsia="Calibri" w:hAnsi="Arial" w:cs="Arial"/>
          <w:szCs w:val="24"/>
        </w:rPr>
        <w:t xml:space="preserve">“) </w:t>
      </w:r>
    </w:p>
    <w:p w:rsidR="0009028D" w:rsidRPr="001D1E04" w:rsidRDefault="0009028D" w:rsidP="0009028D">
      <w:pPr>
        <w:numPr>
          <w:ilvl w:val="12"/>
          <w:numId w:val="0"/>
        </w:numPr>
        <w:spacing w:after="120" w:line="276" w:lineRule="auto"/>
        <w:rPr>
          <w:rFonts w:ascii="Arial" w:eastAsia="Calibri" w:hAnsi="Arial" w:cs="Arial"/>
          <w:szCs w:val="24"/>
        </w:rPr>
      </w:pPr>
      <w:r w:rsidRPr="001D1E04">
        <w:rPr>
          <w:rFonts w:ascii="Arial" w:eastAsia="Calibri" w:hAnsi="Arial" w:cs="Arial"/>
          <w:szCs w:val="24"/>
        </w:rPr>
        <w:t>na straně druhé</w:t>
      </w:r>
    </w:p>
    <w:p w:rsidR="0009028D" w:rsidRPr="001D1E04" w:rsidRDefault="0009028D" w:rsidP="0009028D">
      <w:pPr>
        <w:numPr>
          <w:ilvl w:val="12"/>
          <w:numId w:val="0"/>
        </w:numPr>
        <w:spacing w:after="120" w:line="276" w:lineRule="auto"/>
        <w:ind w:left="360" w:hanging="360"/>
        <w:rPr>
          <w:rFonts w:ascii="Arial" w:hAnsi="Arial" w:cs="Arial"/>
          <w:szCs w:val="22"/>
        </w:rPr>
      </w:pPr>
    </w:p>
    <w:p w:rsidR="0009028D" w:rsidRPr="001D1E04" w:rsidRDefault="0009028D" w:rsidP="0009028D">
      <w:pPr>
        <w:numPr>
          <w:ilvl w:val="12"/>
          <w:numId w:val="0"/>
        </w:numPr>
        <w:spacing w:after="120" w:line="276" w:lineRule="auto"/>
        <w:ind w:left="360" w:hanging="360"/>
        <w:rPr>
          <w:rFonts w:ascii="Arial" w:hAnsi="Arial" w:cs="Arial"/>
        </w:rPr>
      </w:pPr>
      <w:r w:rsidRPr="001D1E04">
        <w:rPr>
          <w:rFonts w:ascii="Arial" w:hAnsi="Arial" w:cs="Arial"/>
        </w:rPr>
        <w:t>(Objednatel a Dodavatel dále jednotlivě též jen „</w:t>
      </w:r>
      <w:r w:rsidRPr="001D1E04">
        <w:rPr>
          <w:rFonts w:ascii="Arial" w:hAnsi="Arial" w:cs="Arial"/>
          <w:b/>
          <w:i/>
        </w:rPr>
        <w:t>Smluvní strana</w:t>
      </w:r>
      <w:r w:rsidRPr="001D1E04">
        <w:rPr>
          <w:rFonts w:ascii="Arial" w:hAnsi="Arial" w:cs="Arial"/>
        </w:rPr>
        <w:t>“ nebo společně „</w:t>
      </w:r>
      <w:r w:rsidRPr="001D1E04">
        <w:rPr>
          <w:rFonts w:ascii="Arial" w:hAnsi="Arial" w:cs="Arial"/>
          <w:b/>
          <w:i/>
        </w:rPr>
        <w:t>Smluvní strany</w:t>
      </w:r>
      <w:r w:rsidRPr="001D1E04">
        <w:rPr>
          <w:rFonts w:ascii="Arial" w:hAnsi="Arial" w:cs="Arial"/>
        </w:rPr>
        <w:t>“)</w:t>
      </w:r>
    </w:p>
    <w:p w:rsidR="009F1E06" w:rsidRPr="001D1E04" w:rsidRDefault="009F1E06" w:rsidP="009F1E06">
      <w:pPr>
        <w:spacing w:before="120"/>
        <w:rPr>
          <w:rFonts w:ascii="Arial" w:hAnsi="Arial" w:cs="Arial"/>
          <w:szCs w:val="22"/>
        </w:rPr>
      </w:pPr>
    </w:p>
    <w:p w:rsidR="001D1E04" w:rsidRDefault="00B73BF4" w:rsidP="006B026F">
      <w:pPr>
        <w:spacing w:after="300" w:line="276" w:lineRule="auto"/>
        <w:ind w:right="-142"/>
        <w:rPr>
          <w:rFonts w:ascii="Arial" w:eastAsia="Calibri" w:hAnsi="Arial" w:cs="Arial"/>
          <w:szCs w:val="24"/>
        </w:rPr>
      </w:pPr>
      <w:r w:rsidRPr="001D1E04">
        <w:rPr>
          <w:rFonts w:ascii="Arial" w:hAnsi="Arial" w:cs="Arial"/>
        </w:rPr>
        <w:t>uzavírají dle zákona č. 89/2012 Sb., občanský zákoník, v</w:t>
      </w:r>
      <w:r w:rsidR="00426A44" w:rsidRPr="001D1E04">
        <w:rPr>
          <w:rFonts w:ascii="Arial" w:hAnsi="Arial" w:cs="Arial"/>
        </w:rPr>
        <w:t>e znění pozdějších předpisů (dále jen „občanský zákoník“)</w:t>
      </w:r>
      <w:r w:rsidR="00F2636E" w:rsidRPr="001D1E04">
        <w:rPr>
          <w:rFonts w:ascii="Arial" w:hAnsi="Arial" w:cs="Arial"/>
        </w:rPr>
        <w:t xml:space="preserve"> Dodatek č. 1</w:t>
      </w:r>
      <w:r w:rsidRPr="001D1E04">
        <w:rPr>
          <w:rFonts w:ascii="Arial" w:hAnsi="Arial" w:cs="Arial"/>
        </w:rPr>
        <w:t xml:space="preserve"> k</w:t>
      </w:r>
      <w:r w:rsidR="006E5ECD" w:rsidRPr="001D1E04">
        <w:rPr>
          <w:rFonts w:ascii="Arial" w:hAnsi="Arial" w:cs="Arial"/>
        </w:rPr>
        <w:t> Prováděcí smlouvě</w:t>
      </w:r>
      <w:r w:rsidR="00F2636E" w:rsidRPr="001D1E04">
        <w:rPr>
          <w:rFonts w:ascii="Arial" w:hAnsi="Arial" w:cs="Arial"/>
        </w:rPr>
        <w:t xml:space="preserve"> </w:t>
      </w:r>
      <w:r w:rsidR="001D1E04" w:rsidRPr="001D1E04">
        <w:rPr>
          <w:rFonts w:ascii="Arial" w:eastAsia="Calibri" w:hAnsi="Arial" w:cs="Arial"/>
          <w:szCs w:val="24"/>
        </w:rPr>
        <w:t>evidované u Objednatele pod číslem.: 18/7700/0304 a u Dodavatele pod č. 153/2018</w:t>
      </w:r>
      <w:r w:rsidR="001D1E04">
        <w:rPr>
          <w:rFonts w:ascii="Arial" w:eastAsia="Calibri" w:hAnsi="Arial" w:cs="Arial"/>
          <w:szCs w:val="24"/>
        </w:rPr>
        <w:t xml:space="preserve"> </w:t>
      </w:r>
      <w:r w:rsidR="00F2636E" w:rsidRPr="001D1E04">
        <w:rPr>
          <w:rFonts w:ascii="Arial" w:hAnsi="Arial" w:cs="Arial"/>
        </w:rPr>
        <w:t>uzav</w:t>
      </w:r>
      <w:r w:rsidR="00426A44" w:rsidRPr="001D1E04">
        <w:rPr>
          <w:rFonts w:ascii="Arial" w:hAnsi="Arial" w:cs="Arial"/>
        </w:rPr>
        <w:t xml:space="preserve">řené dne </w:t>
      </w:r>
      <w:r w:rsidR="000B7B70" w:rsidRPr="001D1E04">
        <w:rPr>
          <w:rFonts w:ascii="Arial" w:hAnsi="Arial" w:cs="Arial"/>
        </w:rPr>
        <w:t>4</w:t>
      </w:r>
      <w:r w:rsidR="006E5ECD" w:rsidRPr="001D1E04">
        <w:rPr>
          <w:rFonts w:ascii="Arial" w:hAnsi="Arial" w:cs="Arial"/>
        </w:rPr>
        <w:t>.</w:t>
      </w:r>
      <w:r w:rsidR="000B7B70" w:rsidRPr="001D1E04">
        <w:rPr>
          <w:rFonts w:ascii="Arial" w:hAnsi="Arial" w:cs="Arial"/>
        </w:rPr>
        <w:t xml:space="preserve"> 10</w:t>
      </w:r>
      <w:r w:rsidR="006E5ECD" w:rsidRPr="001D1E04">
        <w:rPr>
          <w:rFonts w:ascii="Arial" w:hAnsi="Arial" w:cs="Arial"/>
        </w:rPr>
        <w:t>.</w:t>
      </w:r>
      <w:r w:rsidR="000B7B70" w:rsidRPr="001D1E04">
        <w:rPr>
          <w:rFonts w:ascii="Arial" w:hAnsi="Arial" w:cs="Arial"/>
        </w:rPr>
        <w:t xml:space="preserve"> </w:t>
      </w:r>
      <w:r w:rsidR="006E5ECD" w:rsidRPr="001D1E04">
        <w:rPr>
          <w:rFonts w:ascii="Arial" w:hAnsi="Arial" w:cs="Arial"/>
        </w:rPr>
        <w:t>2018</w:t>
      </w:r>
      <w:r w:rsidR="00FC01B1" w:rsidRPr="001D1E04">
        <w:rPr>
          <w:rFonts w:ascii="Arial" w:hAnsi="Arial" w:cs="Arial"/>
        </w:rPr>
        <w:t xml:space="preserve"> </w:t>
      </w:r>
      <w:r w:rsidR="000B7B70" w:rsidRPr="001D1E04">
        <w:rPr>
          <w:rFonts w:ascii="Arial" w:eastAsia="Calibri" w:hAnsi="Arial" w:cs="Arial"/>
          <w:szCs w:val="24"/>
        </w:rPr>
        <w:t>(dále jen „</w:t>
      </w:r>
      <w:r w:rsidR="000B7B70" w:rsidRPr="001D1E04">
        <w:rPr>
          <w:rFonts w:ascii="Arial" w:eastAsia="Calibri" w:hAnsi="Arial" w:cs="Arial"/>
          <w:b/>
          <w:szCs w:val="24"/>
        </w:rPr>
        <w:t>Smlouva</w:t>
      </w:r>
      <w:r w:rsidR="000B7B70" w:rsidRPr="001D1E04">
        <w:rPr>
          <w:rFonts w:ascii="Arial" w:eastAsia="Calibri" w:hAnsi="Arial" w:cs="Arial"/>
          <w:szCs w:val="24"/>
        </w:rPr>
        <w:t>“ nebo „</w:t>
      </w:r>
      <w:r w:rsidR="000B7B70" w:rsidRPr="001D1E04">
        <w:rPr>
          <w:rFonts w:ascii="Arial" w:eastAsia="Calibri" w:hAnsi="Arial" w:cs="Arial"/>
          <w:b/>
          <w:szCs w:val="24"/>
        </w:rPr>
        <w:t>Prováděcí Smlouva</w:t>
      </w:r>
      <w:r w:rsidR="000B7B70" w:rsidRPr="001D1E04">
        <w:rPr>
          <w:rFonts w:ascii="Arial" w:eastAsia="Calibri" w:hAnsi="Arial" w:cs="Arial"/>
          <w:szCs w:val="24"/>
        </w:rPr>
        <w:t>“).</w:t>
      </w:r>
    </w:p>
    <w:p w:rsidR="001D1E04" w:rsidRDefault="001D1E04" w:rsidP="001D1E04">
      <w:pPr>
        <w:rPr>
          <w:rFonts w:eastAsia="Calibri"/>
        </w:rPr>
      </w:pPr>
      <w:r>
        <w:rPr>
          <w:rFonts w:eastAsia="Calibri"/>
        </w:rPr>
        <w:br w:type="page"/>
      </w:r>
    </w:p>
    <w:p w:rsidR="00FC01B1" w:rsidRDefault="006E1740" w:rsidP="006B026F">
      <w:pPr>
        <w:pStyle w:val="Odstavecseseznamem"/>
        <w:numPr>
          <w:ilvl w:val="0"/>
          <w:numId w:val="1"/>
        </w:numPr>
        <w:spacing w:before="360" w:after="180"/>
        <w:ind w:left="425" w:hanging="425"/>
        <w:contextualSpacing w:val="0"/>
        <w:rPr>
          <w:rFonts w:ascii="Arial" w:hAnsi="Arial" w:cs="Arial"/>
          <w:b/>
          <w:sz w:val="28"/>
          <w:szCs w:val="28"/>
        </w:rPr>
      </w:pPr>
      <w:r w:rsidRPr="001D1E04">
        <w:rPr>
          <w:rFonts w:ascii="Arial" w:hAnsi="Arial" w:cs="Arial"/>
          <w:b/>
          <w:sz w:val="28"/>
          <w:szCs w:val="28"/>
        </w:rPr>
        <w:lastRenderedPageBreak/>
        <w:t>P</w:t>
      </w:r>
      <w:r w:rsidR="0021593E" w:rsidRPr="001D1E04">
        <w:rPr>
          <w:rFonts w:ascii="Arial" w:hAnsi="Arial" w:cs="Arial"/>
          <w:b/>
          <w:sz w:val="28"/>
          <w:szCs w:val="28"/>
        </w:rPr>
        <w:t>reambule</w:t>
      </w:r>
    </w:p>
    <w:p w:rsidR="006438E5" w:rsidRPr="003C05F5" w:rsidRDefault="006438E5" w:rsidP="00642DB4">
      <w:pPr>
        <w:pStyle w:val="Odstavecseseznamem"/>
        <w:numPr>
          <w:ilvl w:val="1"/>
          <w:numId w:val="13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t xml:space="preserve">Smluvní strany se v souladu s ustanovením </w:t>
      </w:r>
      <w:r w:rsidR="000574FF">
        <w:rPr>
          <w:rFonts w:ascii="Arial" w:hAnsi="Arial" w:cs="Arial"/>
          <w:szCs w:val="22"/>
        </w:rPr>
        <w:t>odst.</w:t>
      </w:r>
      <w:r w:rsidRPr="003C05F5">
        <w:rPr>
          <w:rFonts w:ascii="Arial" w:hAnsi="Arial" w:cs="Arial"/>
          <w:szCs w:val="22"/>
        </w:rPr>
        <w:t xml:space="preserve"> 13.3 Smlouvy dohodly na uzavření tohoto Dodatku č. 1, kterým se Smlouva mění a doplňuje způsobem a v rozsahu uvedeném v čl. 2. tohoto Dodatku.</w:t>
      </w:r>
    </w:p>
    <w:p w:rsidR="006438E5" w:rsidRPr="003C05F5" w:rsidRDefault="006438E5" w:rsidP="00642DB4">
      <w:pPr>
        <w:pStyle w:val="Odstavecseseznamem"/>
        <w:numPr>
          <w:ilvl w:val="1"/>
          <w:numId w:val="13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t>Smluvní strany se na základě platnosti nové vyhlášky č. 81/2019 o vzorech služebního průkazu v orgánu finanční správy přijaté dne 14. března 2019 s datem účinnosti 1. dubna 2019 dohodly na změně vzhledu a počtu typů čipových karet, přičemž čipovou kartou se pro účely této Smlouvy rozumí identifikační prostředek zaměstnance Objednatele a dalších osob, jimž jsou zpřístupněny objekty Objednatele, odpovídající technické specifikaci uvedené v Příloze č.</w:t>
      </w:r>
      <w:r w:rsidRPr="003C05F5">
        <w:rPr>
          <w:rFonts w:ascii="Arial" w:hAnsi="Arial" w:cs="Arial"/>
        </w:rPr>
        <w:t> </w:t>
      </w:r>
      <w:r w:rsidRPr="003C05F5">
        <w:rPr>
          <w:rFonts w:ascii="Arial" w:hAnsi="Arial" w:cs="Arial"/>
          <w:szCs w:val="22"/>
        </w:rPr>
        <w:t>1 – Technická specifikace karet (dále jen „Karty“)</w:t>
      </w:r>
    </w:p>
    <w:p w:rsidR="003C05F5" w:rsidRPr="003C05F5" w:rsidRDefault="003C05F5" w:rsidP="003C05F5">
      <w:pPr>
        <w:pStyle w:val="Odstavecseseznamem"/>
        <w:numPr>
          <w:ilvl w:val="1"/>
          <w:numId w:val="13"/>
        </w:numPr>
        <w:spacing w:before="120" w:after="120" w:line="276" w:lineRule="auto"/>
        <w:ind w:left="567" w:hanging="567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t>Smluvní stran</w:t>
      </w:r>
      <w:r w:rsidR="00642DB4">
        <w:rPr>
          <w:rFonts w:ascii="Arial" w:hAnsi="Arial" w:cs="Arial"/>
          <w:szCs w:val="22"/>
        </w:rPr>
        <w:t xml:space="preserve">y se </w:t>
      </w:r>
      <w:r w:rsidR="002E33C3">
        <w:rPr>
          <w:rFonts w:ascii="Arial" w:hAnsi="Arial" w:cs="Arial"/>
          <w:szCs w:val="22"/>
        </w:rPr>
        <w:t>mimo jiné také</w:t>
      </w:r>
      <w:r w:rsidR="00642DB4">
        <w:rPr>
          <w:rFonts w:ascii="Arial" w:hAnsi="Arial" w:cs="Arial"/>
          <w:szCs w:val="22"/>
        </w:rPr>
        <w:t xml:space="preserve"> do</w:t>
      </w:r>
      <w:r w:rsidR="002E33C3">
        <w:rPr>
          <w:rFonts w:ascii="Arial" w:hAnsi="Arial" w:cs="Arial"/>
          <w:szCs w:val="22"/>
        </w:rPr>
        <w:t>hodly</w:t>
      </w:r>
      <w:r w:rsidR="00642DB4">
        <w:rPr>
          <w:rFonts w:ascii="Arial" w:hAnsi="Arial" w:cs="Arial"/>
          <w:szCs w:val="22"/>
        </w:rPr>
        <w:t xml:space="preserve"> na další</w:t>
      </w:r>
      <w:r w:rsidR="000574FF">
        <w:rPr>
          <w:rFonts w:ascii="Arial" w:hAnsi="Arial" w:cs="Arial"/>
          <w:szCs w:val="22"/>
        </w:rPr>
        <w:t xml:space="preserve"> možnosti předávání</w:t>
      </w:r>
      <w:r w:rsidR="002E33C3">
        <w:rPr>
          <w:rFonts w:ascii="Arial" w:hAnsi="Arial" w:cs="Arial"/>
          <w:szCs w:val="22"/>
        </w:rPr>
        <w:t xml:space="preserve"> a vracení </w:t>
      </w:r>
      <w:r w:rsidRPr="003C05F5">
        <w:rPr>
          <w:rFonts w:ascii="Arial" w:hAnsi="Arial" w:cs="Arial"/>
          <w:szCs w:val="22"/>
        </w:rPr>
        <w:t>Datových vět specifikovaných v Příloze č. 3.</w:t>
      </w:r>
    </w:p>
    <w:p w:rsidR="006438E5" w:rsidRPr="003C05F5" w:rsidRDefault="006438E5" w:rsidP="00EB2036">
      <w:pPr>
        <w:pStyle w:val="Odstavecseseznamem"/>
        <w:numPr>
          <w:ilvl w:val="0"/>
          <w:numId w:val="13"/>
        </w:numPr>
        <w:spacing w:before="360" w:after="180"/>
        <w:ind w:left="425" w:hanging="425"/>
        <w:contextualSpacing w:val="0"/>
        <w:rPr>
          <w:rFonts w:ascii="Arial" w:hAnsi="Arial" w:cs="Arial"/>
          <w:b/>
          <w:sz w:val="28"/>
          <w:szCs w:val="28"/>
        </w:rPr>
      </w:pPr>
      <w:r w:rsidRPr="003C05F5">
        <w:rPr>
          <w:rFonts w:ascii="Arial" w:hAnsi="Arial" w:cs="Arial"/>
          <w:b/>
          <w:sz w:val="28"/>
          <w:szCs w:val="28"/>
        </w:rPr>
        <w:t>Změna závazku ze Smlouvy</w:t>
      </w:r>
    </w:p>
    <w:p w:rsidR="00C36B56" w:rsidRPr="003C05F5" w:rsidRDefault="00C36B56" w:rsidP="003C05F5">
      <w:pPr>
        <w:pStyle w:val="Odstavecseseznamem"/>
        <w:numPr>
          <w:ilvl w:val="1"/>
          <w:numId w:val="13"/>
        </w:numPr>
        <w:spacing w:before="120" w:line="276" w:lineRule="auto"/>
        <w:ind w:left="567" w:hanging="567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t>V souladu s výše uvedenou změnou se smluvní strany dohodly, že čl. 1 odst. 1.3 Smlouvy se mění a nahrazuje se v plném rozsahu v tomto znění:</w:t>
      </w:r>
    </w:p>
    <w:p w:rsidR="001E41CC" w:rsidRPr="004F355C" w:rsidRDefault="00050E72" w:rsidP="003C05F5">
      <w:pPr>
        <w:pStyle w:val="Odstavecseseznamem"/>
        <w:spacing w:before="120"/>
        <w:ind w:hanging="153"/>
        <w:contextualSpacing w:val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1.3</w:t>
      </w:r>
      <w:r>
        <w:rPr>
          <w:rFonts w:ascii="Arial" w:hAnsi="Arial" w:cs="Arial"/>
          <w:i/>
          <w:szCs w:val="22"/>
        </w:rPr>
        <w:tab/>
      </w:r>
      <w:r w:rsidR="001E41CC" w:rsidRPr="004F355C">
        <w:rPr>
          <w:rFonts w:ascii="Arial" w:hAnsi="Arial" w:cs="Arial"/>
          <w:i/>
          <w:szCs w:val="22"/>
        </w:rPr>
        <w:t>Předmětem plnění Smlouvy je dodávka Karet, a to:</w:t>
      </w:r>
    </w:p>
    <w:p w:rsidR="001E41CC" w:rsidRPr="004F355C" w:rsidRDefault="001E41CC" w:rsidP="001D1E04">
      <w:pPr>
        <w:numPr>
          <w:ilvl w:val="0"/>
          <w:numId w:val="7"/>
        </w:numPr>
        <w:tabs>
          <w:tab w:val="center" w:pos="4536"/>
          <w:tab w:val="right" w:pos="9072"/>
        </w:tabs>
        <w:spacing w:before="240" w:after="120"/>
        <w:ind w:left="1134" w:hanging="283"/>
        <w:outlineLvl w:val="1"/>
        <w:rPr>
          <w:rFonts w:ascii="Arial" w:hAnsi="Arial" w:cs="Arial"/>
          <w:i/>
          <w:szCs w:val="22"/>
        </w:rPr>
      </w:pPr>
      <w:r w:rsidRPr="004F355C">
        <w:rPr>
          <w:rFonts w:ascii="Arial" w:hAnsi="Arial" w:cs="Arial"/>
          <w:i/>
          <w:szCs w:val="22"/>
        </w:rPr>
        <w:t xml:space="preserve">s personalizací, tj. potištěné barevným nátiskem dle sjednaného designu, doplněné o osobní údaje dodané Objednatelem dle odstavce 1.1 </w:t>
      </w:r>
      <w:r w:rsidR="00D90DB5" w:rsidRPr="004F355C">
        <w:rPr>
          <w:rFonts w:ascii="Arial" w:hAnsi="Arial" w:cs="Arial"/>
          <w:i/>
          <w:szCs w:val="22"/>
        </w:rPr>
        <w:t>P</w:t>
      </w:r>
      <w:r w:rsidRPr="004F355C">
        <w:rPr>
          <w:rFonts w:ascii="Arial" w:hAnsi="Arial" w:cs="Arial"/>
          <w:i/>
          <w:szCs w:val="22"/>
        </w:rPr>
        <w:t>řílohy č. 1 Smlouvy (dále jen „</w:t>
      </w:r>
      <w:r w:rsidR="0038515F" w:rsidRPr="004F355C">
        <w:rPr>
          <w:rFonts w:ascii="Arial" w:hAnsi="Arial" w:cs="Arial"/>
          <w:i/>
          <w:szCs w:val="22"/>
        </w:rPr>
        <w:t>Služební průkaz státního zaměstnance</w:t>
      </w:r>
      <w:r w:rsidRPr="004F355C">
        <w:rPr>
          <w:rFonts w:ascii="Arial" w:hAnsi="Arial" w:cs="Arial"/>
          <w:i/>
          <w:szCs w:val="22"/>
        </w:rPr>
        <w:t>“);</w:t>
      </w:r>
    </w:p>
    <w:p w:rsidR="001E41CC" w:rsidRPr="004F355C" w:rsidRDefault="001E41CC" w:rsidP="001D1E04">
      <w:pPr>
        <w:numPr>
          <w:ilvl w:val="0"/>
          <w:numId w:val="7"/>
        </w:numPr>
        <w:tabs>
          <w:tab w:val="center" w:pos="4536"/>
          <w:tab w:val="right" w:pos="9072"/>
        </w:tabs>
        <w:spacing w:before="240" w:after="120"/>
        <w:ind w:left="1134" w:hanging="283"/>
        <w:outlineLvl w:val="1"/>
        <w:rPr>
          <w:rFonts w:ascii="Arial" w:hAnsi="Arial" w:cs="Arial"/>
          <w:i/>
          <w:szCs w:val="22"/>
        </w:rPr>
      </w:pPr>
      <w:r w:rsidRPr="004F355C">
        <w:rPr>
          <w:rFonts w:ascii="Arial" w:hAnsi="Arial" w:cs="Arial"/>
          <w:i/>
          <w:szCs w:val="22"/>
        </w:rPr>
        <w:t xml:space="preserve">s personalizací, tj. potištěné barevným nátiskem dle sjednaného designu, doplněné o osobní údaje dodané Objednatelem dle odstavce 1.2 </w:t>
      </w:r>
      <w:r w:rsidR="00D90DB5" w:rsidRPr="004F355C">
        <w:rPr>
          <w:rFonts w:ascii="Arial" w:hAnsi="Arial" w:cs="Arial"/>
          <w:i/>
          <w:szCs w:val="22"/>
        </w:rPr>
        <w:t>P</w:t>
      </w:r>
      <w:r w:rsidRPr="004F355C">
        <w:rPr>
          <w:rFonts w:ascii="Arial" w:hAnsi="Arial" w:cs="Arial"/>
          <w:i/>
          <w:szCs w:val="22"/>
        </w:rPr>
        <w:t>řílohy č. 1 Smlouvy (dále jen „</w:t>
      </w:r>
      <w:r w:rsidR="0038515F" w:rsidRPr="004F355C">
        <w:rPr>
          <w:rFonts w:ascii="Arial" w:hAnsi="Arial" w:cs="Arial"/>
          <w:i/>
          <w:szCs w:val="22"/>
        </w:rPr>
        <w:t>Služební průkaz zaměstnance</w:t>
      </w:r>
      <w:r w:rsidRPr="004F355C">
        <w:rPr>
          <w:rFonts w:ascii="Arial" w:hAnsi="Arial" w:cs="Arial"/>
          <w:i/>
          <w:szCs w:val="22"/>
        </w:rPr>
        <w:t>“);</w:t>
      </w:r>
    </w:p>
    <w:p w:rsidR="001E41CC" w:rsidRPr="004F355C" w:rsidRDefault="001E41CC" w:rsidP="001D1E04">
      <w:pPr>
        <w:numPr>
          <w:ilvl w:val="0"/>
          <w:numId w:val="7"/>
        </w:numPr>
        <w:tabs>
          <w:tab w:val="center" w:pos="4536"/>
          <w:tab w:val="right" w:pos="9072"/>
        </w:tabs>
        <w:spacing w:before="240" w:after="120"/>
        <w:ind w:left="1134" w:hanging="283"/>
        <w:outlineLvl w:val="1"/>
        <w:rPr>
          <w:rFonts w:ascii="Arial" w:hAnsi="Arial" w:cs="Arial"/>
          <w:i/>
          <w:szCs w:val="22"/>
        </w:rPr>
      </w:pPr>
      <w:r w:rsidRPr="004F355C">
        <w:rPr>
          <w:rFonts w:ascii="Arial" w:hAnsi="Arial" w:cs="Arial"/>
          <w:i/>
          <w:szCs w:val="22"/>
        </w:rPr>
        <w:t xml:space="preserve">s personalizací, tj. potištěné barevným nátiskem dle sjednaného designu, doplněné o osobní údaje dodané Objednatelem dle odstavce 1.3 </w:t>
      </w:r>
      <w:r w:rsidR="00D90DB5" w:rsidRPr="004F355C">
        <w:rPr>
          <w:rFonts w:ascii="Arial" w:hAnsi="Arial" w:cs="Arial"/>
          <w:i/>
          <w:szCs w:val="22"/>
        </w:rPr>
        <w:t>P</w:t>
      </w:r>
      <w:r w:rsidRPr="004F355C">
        <w:rPr>
          <w:rFonts w:ascii="Arial" w:hAnsi="Arial" w:cs="Arial"/>
          <w:i/>
          <w:szCs w:val="22"/>
        </w:rPr>
        <w:t>řílohy č. 1 Smlouvy (dále jen „</w:t>
      </w:r>
      <w:r w:rsidR="0038515F" w:rsidRPr="004F355C">
        <w:rPr>
          <w:rFonts w:ascii="Arial" w:hAnsi="Arial" w:cs="Arial"/>
          <w:i/>
          <w:szCs w:val="22"/>
        </w:rPr>
        <w:t>Průkaz zaměstnance</w:t>
      </w:r>
      <w:r w:rsidRPr="004F355C">
        <w:rPr>
          <w:rFonts w:ascii="Arial" w:hAnsi="Arial" w:cs="Arial"/>
          <w:i/>
          <w:szCs w:val="22"/>
        </w:rPr>
        <w:t>“);</w:t>
      </w:r>
    </w:p>
    <w:p w:rsidR="001E41CC" w:rsidRPr="004F355C" w:rsidRDefault="001E41CC" w:rsidP="001D1E04">
      <w:pPr>
        <w:numPr>
          <w:ilvl w:val="0"/>
          <w:numId w:val="7"/>
        </w:numPr>
        <w:tabs>
          <w:tab w:val="center" w:pos="4536"/>
          <w:tab w:val="right" w:pos="9072"/>
        </w:tabs>
        <w:spacing w:before="240" w:after="120"/>
        <w:ind w:left="1134" w:hanging="283"/>
        <w:outlineLvl w:val="1"/>
        <w:rPr>
          <w:rFonts w:ascii="Arial" w:hAnsi="Arial" w:cs="Arial"/>
          <w:i/>
          <w:szCs w:val="22"/>
        </w:rPr>
      </w:pPr>
      <w:r w:rsidRPr="004F355C">
        <w:rPr>
          <w:rFonts w:ascii="Arial" w:hAnsi="Arial" w:cs="Arial"/>
          <w:i/>
          <w:szCs w:val="22"/>
        </w:rPr>
        <w:t>s personalizací, tj. potištěné barevným nátiskem dle sjedn</w:t>
      </w:r>
      <w:r w:rsidR="00D90DB5" w:rsidRPr="004F355C">
        <w:rPr>
          <w:rFonts w:ascii="Arial" w:hAnsi="Arial" w:cs="Arial"/>
          <w:i/>
          <w:szCs w:val="22"/>
        </w:rPr>
        <w:t>aného designu dle odstavce 1.4 P</w:t>
      </w:r>
      <w:r w:rsidRPr="004F355C">
        <w:rPr>
          <w:rFonts w:ascii="Arial" w:hAnsi="Arial" w:cs="Arial"/>
          <w:i/>
          <w:szCs w:val="22"/>
        </w:rPr>
        <w:t>řílohy č. 1 Smlouvy (dále jen „Prozatímní průkaz“).</w:t>
      </w:r>
    </w:p>
    <w:p w:rsidR="002E33C3" w:rsidRPr="002E33C3" w:rsidRDefault="002E33C3" w:rsidP="002E33C3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2E33C3">
        <w:rPr>
          <w:rFonts w:ascii="Arial" w:hAnsi="Arial" w:cs="Arial"/>
          <w:szCs w:val="22"/>
        </w:rPr>
        <w:t>V souladu s výše uvedenou změnou se smluvní strany dohodly</w:t>
      </w:r>
      <w:r w:rsidR="004F355C">
        <w:rPr>
          <w:rFonts w:ascii="Arial" w:hAnsi="Arial" w:cs="Arial"/>
          <w:szCs w:val="22"/>
        </w:rPr>
        <w:t>,</w:t>
      </w:r>
      <w:r w:rsidRPr="002E33C3">
        <w:rPr>
          <w:rFonts w:ascii="Arial" w:hAnsi="Arial" w:cs="Arial"/>
          <w:szCs w:val="22"/>
        </w:rPr>
        <w:t xml:space="preserve"> že čl.</w:t>
      </w:r>
      <w:r>
        <w:rPr>
          <w:rFonts w:ascii="Arial" w:hAnsi="Arial" w:cs="Arial"/>
          <w:szCs w:val="22"/>
        </w:rPr>
        <w:t xml:space="preserve"> </w:t>
      </w:r>
      <w:r w:rsidRPr="002E33C3">
        <w:rPr>
          <w:rFonts w:ascii="Arial" w:hAnsi="Arial" w:cs="Arial"/>
          <w:szCs w:val="22"/>
        </w:rPr>
        <w:t>2 odst. 2.</w:t>
      </w:r>
      <w:r>
        <w:rPr>
          <w:rFonts w:ascii="Arial" w:hAnsi="Arial" w:cs="Arial"/>
          <w:szCs w:val="22"/>
        </w:rPr>
        <w:t>2</w:t>
      </w:r>
      <w:r w:rsidR="00AA5533">
        <w:rPr>
          <w:rFonts w:ascii="Arial" w:hAnsi="Arial" w:cs="Arial"/>
          <w:szCs w:val="22"/>
        </w:rPr>
        <w:t xml:space="preserve"> až 2.5</w:t>
      </w:r>
      <w:r w:rsidR="004F355C">
        <w:rPr>
          <w:rFonts w:ascii="Arial" w:hAnsi="Arial" w:cs="Arial"/>
          <w:szCs w:val="22"/>
        </w:rPr>
        <w:t xml:space="preserve"> Smlouvy </w:t>
      </w:r>
      <w:r w:rsidR="00AA5533">
        <w:rPr>
          <w:rFonts w:ascii="Arial" w:hAnsi="Arial" w:cs="Arial"/>
          <w:szCs w:val="22"/>
        </w:rPr>
        <w:t>se ruší a</w:t>
      </w:r>
      <w:r w:rsidRPr="002E33C3">
        <w:rPr>
          <w:rFonts w:ascii="Arial" w:hAnsi="Arial" w:cs="Arial"/>
          <w:szCs w:val="22"/>
        </w:rPr>
        <w:t xml:space="preserve"> nahrazuje se v plném rozsahu v tomto znění:</w:t>
      </w:r>
    </w:p>
    <w:p w:rsidR="00AA5533" w:rsidRPr="00050E72" w:rsidRDefault="00AA5533" w:rsidP="00370737">
      <w:pPr>
        <w:pStyle w:val="Odstavecseseznamem"/>
        <w:numPr>
          <w:ilvl w:val="1"/>
          <w:numId w:val="15"/>
        </w:numPr>
        <w:spacing w:after="80" w:line="276" w:lineRule="auto"/>
        <w:ind w:left="1134" w:hanging="567"/>
        <w:rPr>
          <w:rFonts w:ascii="Arial" w:hAnsi="Arial" w:cs="Arial"/>
          <w:i/>
          <w:sz w:val="20"/>
        </w:rPr>
      </w:pPr>
      <w:r w:rsidRPr="00050E72">
        <w:rPr>
          <w:rFonts w:ascii="Arial" w:hAnsi="Arial" w:cs="Arial"/>
          <w:i/>
        </w:rPr>
        <w:t xml:space="preserve">Dodavatel bude provádět plnění postupně, resp. dodá Karty Objednateli formou dílčích dodávek na základě písemných objednávek Objednatele. </w:t>
      </w:r>
    </w:p>
    <w:p w:rsidR="00AA5533" w:rsidRPr="00050E72" w:rsidRDefault="00AA5533" w:rsidP="00AA5533">
      <w:pPr>
        <w:pStyle w:val="Odstavecseseznamem"/>
        <w:spacing w:after="80" w:line="276" w:lineRule="auto"/>
        <w:ind w:left="786"/>
        <w:rPr>
          <w:rFonts w:ascii="Arial" w:hAnsi="Arial" w:cs="Arial"/>
          <w:i/>
          <w:sz w:val="20"/>
        </w:rPr>
      </w:pPr>
    </w:p>
    <w:p w:rsidR="00AA5533" w:rsidRPr="00370737" w:rsidRDefault="00AA5533" w:rsidP="00370737">
      <w:pPr>
        <w:pStyle w:val="Odstavecseseznamem"/>
        <w:numPr>
          <w:ilvl w:val="1"/>
          <w:numId w:val="15"/>
        </w:numPr>
        <w:spacing w:after="80" w:line="276" w:lineRule="auto"/>
        <w:ind w:left="1134" w:hanging="567"/>
        <w:rPr>
          <w:rFonts w:ascii="Arial" w:hAnsi="Arial" w:cs="Arial"/>
          <w:i/>
        </w:rPr>
      </w:pPr>
      <w:r w:rsidRPr="00370737">
        <w:rPr>
          <w:rFonts w:ascii="Arial" w:hAnsi="Arial" w:cs="Arial"/>
          <w:i/>
        </w:rPr>
        <w:t>Objednatel se zavazuje objednat a odebrat od Dodavatele do</w:t>
      </w:r>
      <w:r w:rsidR="001465A6" w:rsidRPr="00370737">
        <w:rPr>
          <w:rFonts w:ascii="Arial" w:hAnsi="Arial" w:cs="Arial"/>
          <w:i/>
        </w:rPr>
        <w:t xml:space="preserve"> konce roku 2020 </w:t>
      </w:r>
      <w:r w:rsidRPr="00370737">
        <w:rPr>
          <w:rFonts w:ascii="Arial" w:hAnsi="Arial" w:cs="Arial"/>
          <w:i/>
        </w:rPr>
        <w:t>minimálně:</w:t>
      </w:r>
    </w:p>
    <w:p w:rsidR="00AA5533" w:rsidRPr="00370737" w:rsidRDefault="00D85F3C" w:rsidP="00370737">
      <w:pPr>
        <w:pStyle w:val="Odstavecseseznamem"/>
        <w:numPr>
          <w:ilvl w:val="0"/>
          <w:numId w:val="17"/>
        </w:numPr>
        <w:spacing w:after="80" w:line="276" w:lineRule="auto"/>
        <w:rPr>
          <w:rFonts w:ascii="Arial" w:hAnsi="Arial" w:cs="Arial"/>
          <w:i/>
        </w:rPr>
      </w:pPr>
      <w:r w:rsidRPr="00370737">
        <w:rPr>
          <w:rFonts w:ascii="Arial" w:hAnsi="Arial" w:cs="Arial"/>
          <w:i/>
        </w:rPr>
        <w:t xml:space="preserve">1950 </w:t>
      </w:r>
      <w:r w:rsidR="00AA5533" w:rsidRPr="00370737">
        <w:rPr>
          <w:rFonts w:ascii="Arial" w:hAnsi="Arial" w:cs="Arial"/>
          <w:i/>
        </w:rPr>
        <w:t>ks Služebních průkazů státního zaměs</w:t>
      </w:r>
      <w:r w:rsidR="000574FF">
        <w:rPr>
          <w:rFonts w:ascii="Arial" w:hAnsi="Arial" w:cs="Arial"/>
          <w:i/>
        </w:rPr>
        <w:t>tnance (Karty dle čl. 1 odst. 1.</w:t>
      </w:r>
      <w:r w:rsidR="00AA5533" w:rsidRPr="00370737">
        <w:rPr>
          <w:rFonts w:ascii="Arial" w:hAnsi="Arial" w:cs="Arial"/>
          <w:i/>
        </w:rPr>
        <w:t>3 písm. a)</w:t>
      </w:r>
      <w:r w:rsidR="004F355C" w:rsidRPr="00370737">
        <w:rPr>
          <w:rFonts w:ascii="Arial" w:hAnsi="Arial" w:cs="Arial"/>
          <w:i/>
        </w:rPr>
        <w:t xml:space="preserve"> Smlouvy</w:t>
      </w:r>
      <w:r w:rsidR="00AA5533" w:rsidRPr="00370737">
        <w:rPr>
          <w:rFonts w:ascii="Arial" w:hAnsi="Arial" w:cs="Arial"/>
          <w:i/>
        </w:rPr>
        <w:t>)</w:t>
      </w:r>
      <w:r w:rsidR="004F355C" w:rsidRPr="00370737">
        <w:rPr>
          <w:rFonts w:ascii="Arial" w:hAnsi="Arial" w:cs="Arial"/>
          <w:i/>
        </w:rPr>
        <w:t>;</w:t>
      </w:r>
    </w:p>
    <w:p w:rsidR="00AA5533" w:rsidRPr="00050E72" w:rsidRDefault="00D85F3C" w:rsidP="00370737">
      <w:pPr>
        <w:pStyle w:val="Odstavecseseznamem"/>
        <w:numPr>
          <w:ilvl w:val="0"/>
          <w:numId w:val="17"/>
        </w:numPr>
        <w:spacing w:after="80" w:line="276" w:lineRule="auto"/>
        <w:rPr>
          <w:rFonts w:ascii="Arial" w:hAnsi="Arial" w:cs="Arial"/>
          <w:i/>
        </w:rPr>
      </w:pPr>
      <w:r w:rsidRPr="00370737">
        <w:rPr>
          <w:rFonts w:ascii="Arial" w:hAnsi="Arial" w:cs="Arial"/>
          <w:i/>
        </w:rPr>
        <w:t xml:space="preserve">650 </w:t>
      </w:r>
      <w:r w:rsidR="00AA5533" w:rsidRPr="00370737">
        <w:rPr>
          <w:rFonts w:ascii="Arial" w:hAnsi="Arial" w:cs="Arial"/>
          <w:i/>
        </w:rPr>
        <w:t>ks Služebních průkazů zaměs</w:t>
      </w:r>
      <w:r w:rsidR="000574FF">
        <w:rPr>
          <w:rFonts w:ascii="Arial" w:hAnsi="Arial" w:cs="Arial"/>
          <w:i/>
        </w:rPr>
        <w:t>tnance (Karty dle čl. 1 odst. 1.</w:t>
      </w:r>
      <w:r w:rsidR="00AA5533" w:rsidRPr="00370737">
        <w:rPr>
          <w:rFonts w:ascii="Arial" w:hAnsi="Arial" w:cs="Arial"/>
          <w:i/>
        </w:rPr>
        <w:t>3 písm. b)</w:t>
      </w:r>
      <w:r w:rsidR="004F355C" w:rsidRPr="00370737">
        <w:rPr>
          <w:rFonts w:ascii="Arial" w:hAnsi="Arial" w:cs="Arial"/>
          <w:i/>
        </w:rPr>
        <w:t xml:space="preserve"> Smlouvy</w:t>
      </w:r>
      <w:r w:rsidR="00AA5533" w:rsidRPr="00370737">
        <w:rPr>
          <w:rFonts w:ascii="Arial" w:hAnsi="Arial" w:cs="Arial"/>
          <w:i/>
        </w:rPr>
        <w:t>).</w:t>
      </w:r>
      <w:r w:rsidR="001465A6" w:rsidRPr="00370737">
        <w:rPr>
          <w:rFonts w:ascii="Arial" w:hAnsi="Arial" w:cs="Arial"/>
          <w:i/>
        </w:rPr>
        <w:t xml:space="preserve"> V následujících letech bude množství karet upřesněno po dohodě Smluvních stran.</w:t>
      </w:r>
      <w:r w:rsidR="002A20E2">
        <w:rPr>
          <w:rFonts w:ascii="Arial" w:hAnsi="Arial" w:cs="Arial"/>
          <w:i/>
        </w:rPr>
        <w:t xml:space="preserve"> </w:t>
      </w:r>
    </w:p>
    <w:p w:rsidR="00AA5533" w:rsidRPr="00050E72" w:rsidRDefault="00AA5533" w:rsidP="00AA5533">
      <w:pPr>
        <w:spacing w:after="80" w:line="276" w:lineRule="auto"/>
        <w:rPr>
          <w:rFonts w:ascii="Arial" w:hAnsi="Arial" w:cs="Arial"/>
          <w:i/>
          <w:sz w:val="20"/>
        </w:rPr>
      </w:pPr>
    </w:p>
    <w:p w:rsidR="00EC5B2F" w:rsidRPr="00050E72" w:rsidRDefault="00EC5B2F" w:rsidP="00370737">
      <w:pPr>
        <w:pStyle w:val="Odstavecseseznamem"/>
        <w:numPr>
          <w:ilvl w:val="1"/>
          <w:numId w:val="15"/>
        </w:numPr>
        <w:spacing w:after="80" w:line="276" w:lineRule="auto"/>
        <w:ind w:left="1134" w:hanging="567"/>
        <w:rPr>
          <w:rFonts w:ascii="Arial" w:hAnsi="Arial" w:cs="Arial"/>
          <w:i/>
          <w:szCs w:val="22"/>
        </w:rPr>
      </w:pPr>
      <w:r w:rsidRPr="00050E72">
        <w:rPr>
          <w:rFonts w:ascii="Arial" w:hAnsi="Arial" w:cs="Arial"/>
          <w:i/>
          <w:szCs w:val="22"/>
        </w:rPr>
        <w:lastRenderedPageBreak/>
        <w:t xml:space="preserve">Pro </w:t>
      </w:r>
      <w:r w:rsidR="00F331FF" w:rsidRPr="00370737">
        <w:rPr>
          <w:rFonts w:ascii="Arial" w:hAnsi="Arial" w:cs="Arial"/>
          <w:i/>
        </w:rPr>
        <w:t>účel</w:t>
      </w:r>
      <w:r w:rsidR="00C23F8D" w:rsidRPr="00370737">
        <w:rPr>
          <w:rFonts w:ascii="Arial" w:hAnsi="Arial" w:cs="Arial"/>
          <w:i/>
        </w:rPr>
        <w:t>y</w:t>
      </w:r>
      <w:r w:rsidR="00F331FF" w:rsidRPr="00050E72">
        <w:rPr>
          <w:rFonts w:ascii="Arial" w:hAnsi="Arial" w:cs="Arial"/>
          <w:i/>
          <w:szCs w:val="22"/>
        </w:rPr>
        <w:t xml:space="preserve"> objednání Karet v rámci jednotlivých objednávek</w:t>
      </w:r>
      <w:r w:rsidRPr="00050E72">
        <w:rPr>
          <w:rFonts w:ascii="Arial" w:hAnsi="Arial" w:cs="Arial"/>
          <w:i/>
          <w:szCs w:val="22"/>
        </w:rPr>
        <w:t xml:space="preserve"> </w:t>
      </w:r>
      <w:r w:rsidR="00F331FF" w:rsidRPr="00050E72">
        <w:rPr>
          <w:rFonts w:ascii="Arial" w:hAnsi="Arial" w:cs="Arial"/>
          <w:i/>
          <w:szCs w:val="22"/>
        </w:rPr>
        <w:t>bere Objednatel na vědomí, že vzhledem k počtu pozic na archu, by objednávané množství každého typu Karet mělo být minimálně</w:t>
      </w:r>
      <w:r w:rsidRPr="00050E72">
        <w:rPr>
          <w:rFonts w:ascii="Arial" w:hAnsi="Arial" w:cs="Arial"/>
          <w:i/>
          <w:szCs w:val="22"/>
        </w:rPr>
        <w:t xml:space="preserve"> 15 kusů Karet (</w:t>
      </w:r>
      <w:r w:rsidR="002E33C3" w:rsidRPr="00050E72">
        <w:rPr>
          <w:rFonts w:ascii="Arial" w:hAnsi="Arial" w:cs="Arial"/>
          <w:i/>
          <w:szCs w:val="22"/>
        </w:rPr>
        <w:t>15</w:t>
      </w:r>
      <w:r w:rsidRPr="00050E72">
        <w:rPr>
          <w:rFonts w:ascii="Arial" w:hAnsi="Arial" w:cs="Arial"/>
          <w:i/>
          <w:szCs w:val="22"/>
        </w:rPr>
        <w:t xml:space="preserve"> pozic na archu)</w:t>
      </w:r>
      <w:r w:rsidR="00F331FF" w:rsidRPr="00050E72">
        <w:rPr>
          <w:rFonts w:ascii="Arial" w:hAnsi="Arial" w:cs="Arial"/>
          <w:i/>
          <w:szCs w:val="22"/>
        </w:rPr>
        <w:t xml:space="preserve"> nebo množství </w:t>
      </w:r>
      <w:r w:rsidRPr="00050E72">
        <w:rPr>
          <w:rFonts w:ascii="Arial" w:hAnsi="Arial" w:cs="Arial"/>
          <w:i/>
          <w:szCs w:val="22"/>
        </w:rPr>
        <w:t>dělitelné 15 beze zbytku</w:t>
      </w:r>
      <w:r w:rsidR="00C23F8D" w:rsidRPr="00050E72">
        <w:rPr>
          <w:rFonts w:ascii="Arial" w:hAnsi="Arial" w:cs="Arial"/>
          <w:i/>
          <w:szCs w:val="22"/>
        </w:rPr>
        <w:t>, popř. množství, které se uvedeným počtům v maximálně možné míře přiblíží.</w:t>
      </w:r>
    </w:p>
    <w:p w:rsidR="00050E72" w:rsidRPr="00050E72" w:rsidRDefault="00050E72" w:rsidP="00050E72">
      <w:pPr>
        <w:pStyle w:val="Odstavecseseznamem"/>
        <w:spacing w:after="80" w:line="276" w:lineRule="auto"/>
        <w:ind w:left="786"/>
        <w:rPr>
          <w:rFonts w:ascii="Arial" w:hAnsi="Arial" w:cs="Arial"/>
          <w:i/>
          <w:szCs w:val="22"/>
        </w:rPr>
      </w:pPr>
    </w:p>
    <w:p w:rsidR="004F355C" w:rsidRPr="00C23F8D" w:rsidRDefault="004F355C" w:rsidP="00370737">
      <w:pPr>
        <w:pStyle w:val="Odstavecseseznamem"/>
        <w:numPr>
          <w:ilvl w:val="1"/>
          <w:numId w:val="15"/>
        </w:numPr>
        <w:spacing w:after="80" w:line="276" w:lineRule="auto"/>
        <w:ind w:left="1134" w:hanging="567"/>
        <w:rPr>
          <w:rFonts w:ascii="Arial" w:hAnsi="Arial" w:cs="Arial"/>
          <w:szCs w:val="22"/>
        </w:rPr>
      </w:pPr>
      <w:r w:rsidRPr="00050E72">
        <w:rPr>
          <w:rFonts w:ascii="Arial" w:hAnsi="Arial" w:cs="Arial"/>
          <w:i/>
          <w:szCs w:val="22"/>
        </w:rPr>
        <w:t>V </w:t>
      </w:r>
      <w:r w:rsidRPr="00370737">
        <w:rPr>
          <w:rFonts w:ascii="Arial" w:hAnsi="Arial" w:cs="Arial"/>
          <w:i/>
        </w:rPr>
        <w:t>případě</w:t>
      </w:r>
      <w:r w:rsidRPr="00050E72">
        <w:rPr>
          <w:rFonts w:ascii="Arial" w:hAnsi="Arial" w:cs="Arial"/>
          <w:i/>
          <w:szCs w:val="22"/>
        </w:rPr>
        <w:t xml:space="preserve"> požadavku Objednatele na změnu spočívající ve změně provedení Karet zejména designu, druhu čipů, materiálu apod. je Objednatel povinen sjednat s Dodavatelem prodloužení doby plnění, a to v návaznosti na druh požadované změny předmětu</w:t>
      </w:r>
      <w:r w:rsidR="002A20E2">
        <w:rPr>
          <w:rFonts w:ascii="Arial" w:hAnsi="Arial" w:cs="Arial"/>
          <w:i/>
          <w:szCs w:val="22"/>
        </w:rPr>
        <w:t>.</w:t>
      </w:r>
      <w:r w:rsidR="002A20E2" w:rsidRPr="00050E72" w:rsidDel="002A20E2">
        <w:rPr>
          <w:rFonts w:ascii="Arial" w:hAnsi="Arial" w:cs="Arial"/>
          <w:i/>
          <w:szCs w:val="22"/>
        </w:rPr>
        <w:t xml:space="preserve"> </w:t>
      </w:r>
    </w:p>
    <w:p w:rsidR="003C05F5" w:rsidRPr="00D90DB5" w:rsidRDefault="003C05F5" w:rsidP="00050E72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="001E41CC" w:rsidRPr="003C05F5">
        <w:rPr>
          <w:rFonts w:ascii="Arial" w:hAnsi="Arial" w:cs="Arial"/>
          <w:szCs w:val="22"/>
        </w:rPr>
        <w:t> souladu s</w:t>
      </w:r>
      <w:r>
        <w:rPr>
          <w:rFonts w:ascii="Arial" w:hAnsi="Arial" w:cs="Arial"/>
          <w:szCs w:val="22"/>
        </w:rPr>
        <w:t> výše uvedenou</w:t>
      </w:r>
      <w:r w:rsidR="001E41CC" w:rsidRPr="003C05F5">
        <w:rPr>
          <w:rFonts w:ascii="Arial" w:hAnsi="Arial" w:cs="Arial"/>
          <w:szCs w:val="22"/>
        </w:rPr>
        <w:t xml:space="preserve"> změnou se smluvní strany dohodly</w:t>
      </w:r>
      <w:r w:rsidR="00370737">
        <w:rPr>
          <w:rFonts w:ascii="Arial" w:hAnsi="Arial" w:cs="Arial"/>
          <w:szCs w:val="22"/>
        </w:rPr>
        <w:t>,</w:t>
      </w:r>
      <w:r w:rsidR="001E41CC" w:rsidRPr="003C05F5">
        <w:rPr>
          <w:rFonts w:ascii="Arial" w:hAnsi="Arial" w:cs="Arial"/>
          <w:szCs w:val="22"/>
        </w:rPr>
        <w:t xml:space="preserve"> že </w:t>
      </w:r>
      <w:r w:rsidR="007C448D" w:rsidRPr="003C05F5">
        <w:rPr>
          <w:rFonts w:ascii="Arial" w:hAnsi="Arial" w:cs="Arial"/>
          <w:szCs w:val="22"/>
        </w:rPr>
        <w:t>čl.</w:t>
      </w:r>
      <w:r w:rsidR="00D90EE6">
        <w:rPr>
          <w:rFonts w:ascii="Arial" w:hAnsi="Arial" w:cs="Arial"/>
          <w:szCs w:val="22"/>
        </w:rPr>
        <w:t xml:space="preserve"> </w:t>
      </w:r>
      <w:r w:rsidR="007C448D" w:rsidRPr="003C05F5">
        <w:rPr>
          <w:rFonts w:ascii="Arial" w:hAnsi="Arial" w:cs="Arial"/>
          <w:szCs w:val="22"/>
        </w:rPr>
        <w:t xml:space="preserve">3 odst. 3.5 </w:t>
      </w:r>
      <w:r w:rsidR="001E41CC" w:rsidRPr="003C05F5">
        <w:rPr>
          <w:rFonts w:ascii="Arial" w:hAnsi="Arial" w:cs="Arial"/>
          <w:szCs w:val="22"/>
        </w:rPr>
        <w:t>Smlouvy se mění a nahrazuje se v plném rozsahu v tomto znění:</w:t>
      </w:r>
    </w:p>
    <w:p w:rsidR="002E33C3" w:rsidRPr="0050754A" w:rsidRDefault="00050E72" w:rsidP="0050754A">
      <w:pPr>
        <w:pStyle w:val="Odstavecseseznamem"/>
        <w:tabs>
          <w:tab w:val="left" w:pos="1134"/>
        </w:tabs>
        <w:spacing w:before="120" w:after="120" w:line="276" w:lineRule="auto"/>
        <w:ind w:left="1134" w:hanging="567"/>
        <w:contextualSpacing w:val="0"/>
        <w:rPr>
          <w:rFonts w:ascii="Arial" w:hAnsi="Arial" w:cs="Arial"/>
          <w:i/>
          <w:szCs w:val="22"/>
        </w:rPr>
      </w:pPr>
      <w:r w:rsidRPr="0050754A">
        <w:rPr>
          <w:rFonts w:ascii="Arial" w:hAnsi="Arial" w:cs="Arial"/>
          <w:i/>
          <w:szCs w:val="22"/>
        </w:rPr>
        <w:t>3.5</w:t>
      </w:r>
      <w:r w:rsidRPr="0050754A">
        <w:rPr>
          <w:rFonts w:ascii="Arial" w:hAnsi="Arial" w:cs="Arial"/>
          <w:i/>
          <w:szCs w:val="22"/>
        </w:rPr>
        <w:tab/>
      </w:r>
      <w:r w:rsidR="001E41CC" w:rsidRPr="0050754A">
        <w:rPr>
          <w:rFonts w:ascii="Arial" w:hAnsi="Arial" w:cs="Arial"/>
          <w:i/>
          <w:szCs w:val="22"/>
        </w:rPr>
        <w:t>Specifikace Datové věty je uvedena v </w:t>
      </w:r>
      <w:r w:rsidR="00D90DB5" w:rsidRPr="0050754A">
        <w:rPr>
          <w:rFonts w:ascii="Arial" w:hAnsi="Arial" w:cs="Arial"/>
          <w:i/>
          <w:szCs w:val="22"/>
        </w:rPr>
        <w:t>P</w:t>
      </w:r>
      <w:r w:rsidR="001E41CC" w:rsidRPr="0050754A">
        <w:rPr>
          <w:rFonts w:ascii="Arial" w:hAnsi="Arial" w:cs="Arial"/>
          <w:i/>
          <w:szCs w:val="22"/>
        </w:rPr>
        <w:t xml:space="preserve">říloze č. 3 Smlouvy s tím, že Objednatel předá Datové věty formou osobního doručení pověřenou osobou Objednatele na zašifrovaném datovém médiu pověřené osobě Dodavatele, </w:t>
      </w:r>
      <w:r w:rsidR="007C448D" w:rsidRPr="0050754A">
        <w:rPr>
          <w:rFonts w:ascii="Arial" w:hAnsi="Arial" w:cs="Arial"/>
          <w:i/>
          <w:szCs w:val="22"/>
        </w:rPr>
        <w:t xml:space="preserve">nebo formou zašifrovaného datového </w:t>
      </w:r>
      <w:r w:rsidR="00EB2036" w:rsidRPr="0050754A">
        <w:rPr>
          <w:rFonts w:ascii="Arial" w:hAnsi="Arial" w:cs="Arial"/>
          <w:i/>
          <w:szCs w:val="22"/>
        </w:rPr>
        <w:t>přenosu po veřejných sítích</w:t>
      </w:r>
      <w:r w:rsidR="005F31A0" w:rsidRPr="0050754A">
        <w:rPr>
          <w:rFonts w:ascii="Arial" w:hAnsi="Arial" w:cs="Arial"/>
          <w:i/>
          <w:szCs w:val="22"/>
        </w:rPr>
        <w:t xml:space="preserve"> </w:t>
      </w:r>
      <w:r w:rsidR="007C448D" w:rsidRPr="0050754A">
        <w:rPr>
          <w:rFonts w:ascii="Arial" w:hAnsi="Arial" w:cs="Arial"/>
          <w:i/>
          <w:szCs w:val="22"/>
        </w:rPr>
        <w:t>na komunikační server Dodavatele.</w:t>
      </w:r>
      <w:r w:rsidR="001E41CC" w:rsidRPr="0050754A">
        <w:rPr>
          <w:rFonts w:ascii="Arial" w:hAnsi="Arial" w:cs="Arial"/>
          <w:i/>
          <w:szCs w:val="22"/>
        </w:rPr>
        <w:t xml:space="preserve"> Dodavatel se zavazuje, že přijme taková technická opatření, která zajistí, aby struktura předávaných položek podle věty první tohoto odstavce byla zachována v takovém formátu, podobě, pořadí apod., v jakém je Objednatel předával.</w:t>
      </w:r>
    </w:p>
    <w:p w:rsidR="002E33C3" w:rsidRPr="002E33C3" w:rsidRDefault="002E33C3" w:rsidP="00050E72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EC5B2F">
        <w:rPr>
          <w:rFonts w:ascii="Arial" w:hAnsi="Arial" w:cs="Arial"/>
          <w:szCs w:val="22"/>
        </w:rPr>
        <w:t>V souladu s výše uvedenou změnou se smluvní strany dohodly</w:t>
      </w:r>
      <w:r w:rsidR="00672B8B">
        <w:rPr>
          <w:rFonts w:ascii="Arial" w:hAnsi="Arial" w:cs="Arial"/>
          <w:szCs w:val="22"/>
        </w:rPr>
        <w:t>,</w:t>
      </w:r>
      <w:r w:rsidRPr="00EC5B2F">
        <w:rPr>
          <w:rFonts w:ascii="Arial" w:hAnsi="Arial" w:cs="Arial"/>
          <w:szCs w:val="22"/>
        </w:rPr>
        <w:t xml:space="preserve"> že </w:t>
      </w:r>
      <w:r>
        <w:rPr>
          <w:rFonts w:ascii="Arial" w:hAnsi="Arial" w:cs="Arial"/>
          <w:szCs w:val="22"/>
        </w:rPr>
        <w:t>čl.</w:t>
      </w:r>
      <w:r w:rsidR="00050E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4 odst. 4.1</w:t>
      </w:r>
      <w:r w:rsidRPr="00EC5B2F">
        <w:rPr>
          <w:rFonts w:ascii="Arial" w:hAnsi="Arial" w:cs="Arial"/>
          <w:szCs w:val="22"/>
        </w:rPr>
        <w:t xml:space="preserve"> </w:t>
      </w:r>
      <w:r w:rsidRPr="002E33C3">
        <w:rPr>
          <w:rFonts w:ascii="Arial" w:hAnsi="Arial" w:cs="Arial"/>
          <w:szCs w:val="22"/>
        </w:rPr>
        <w:t>Smlouvy se mění a nahrazuje se v plném rozsahu v tomto znění:</w:t>
      </w:r>
    </w:p>
    <w:p w:rsidR="002E33C3" w:rsidRPr="00050E72" w:rsidRDefault="00050E72" w:rsidP="0050754A">
      <w:pPr>
        <w:tabs>
          <w:tab w:val="left" w:pos="1134"/>
        </w:tabs>
        <w:spacing w:after="80" w:line="276" w:lineRule="auto"/>
        <w:ind w:left="1134" w:hanging="567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4.1</w:t>
      </w:r>
      <w:r>
        <w:rPr>
          <w:rFonts w:ascii="Arial" w:hAnsi="Arial" w:cs="Arial"/>
          <w:i/>
          <w:szCs w:val="22"/>
        </w:rPr>
        <w:tab/>
      </w:r>
      <w:r w:rsidR="002E33C3" w:rsidRPr="00050E72">
        <w:rPr>
          <w:rFonts w:ascii="Arial" w:hAnsi="Arial" w:cs="Arial"/>
          <w:i/>
          <w:szCs w:val="22"/>
        </w:rPr>
        <w:t xml:space="preserve">Dodavatel se zavazuje provést dílčí Dodávku vždy jako celek, a to nejpozději do 10 pracovních dnů ode dne Potvrzení Objednávky dle čl. 3.3 Smlouvy, pokud se nejedná o první dodávku Karet dle čl. 1 odst. 1.3 a) a 1.3 b) této smlouvy, tj. Služebních průkazů státního zaměstnance a Služebních průkazů, které Dodavatel Objednateli dodá </w:t>
      </w:r>
      <w:r w:rsidR="002E33C3" w:rsidRPr="00370737">
        <w:rPr>
          <w:rFonts w:ascii="Arial" w:hAnsi="Arial" w:cs="Arial"/>
          <w:i/>
          <w:szCs w:val="22"/>
        </w:rPr>
        <w:t>do</w:t>
      </w:r>
      <w:r w:rsidR="001465A6" w:rsidRPr="00370737">
        <w:rPr>
          <w:rFonts w:ascii="Arial" w:hAnsi="Arial" w:cs="Arial"/>
          <w:i/>
          <w:szCs w:val="22"/>
        </w:rPr>
        <w:t xml:space="preserve"> 20 pracovních dnů </w:t>
      </w:r>
      <w:r w:rsidR="001465A6" w:rsidRPr="00050E72">
        <w:rPr>
          <w:rFonts w:ascii="Arial" w:hAnsi="Arial" w:cs="Arial"/>
          <w:i/>
          <w:szCs w:val="22"/>
        </w:rPr>
        <w:t>ode dne Potvrzení Objednávky dle čl. 3.3 Smlouvy</w:t>
      </w:r>
      <w:r w:rsidR="001465A6">
        <w:rPr>
          <w:rFonts w:ascii="Arial" w:hAnsi="Arial" w:cs="Arial"/>
          <w:i/>
          <w:szCs w:val="22"/>
        </w:rPr>
        <w:t>.</w:t>
      </w:r>
      <w:r w:rsidR="001465A6" w:rsidRPr="00370737">
        <w:rPr>
          <w:rFonts w:ascii="Arial" w:hAnsi="Arial" w:cs="Arial"/>
          <w:i/>
          <w:szCs w:val="22"/>
        </w:rPr>
        <w:t xml:space="preserve"> </w:t>
      </w:r>
      <w:r w:rsidR="001465A6">
        <w:rPr>
          <w:rFonts w:ascii="Arial" w:hAnsi="Arial" w:cs="Arial"/>
          <w:i/>
          <w:szCs w:val="22"/>
        </w:rPr>
        <w:t xml:space="preserve"> </w:t>
      </w:r>
      <w:r w:rsidR="002E33C3" w:rsidRPr="00050E72">
        <w:rPr>
          <w:rFonts w:ascii="Arial" w:hAnsi="Arial" w:cs="Arial"/>
          <w:i/>
          <w:szCs w:val="22"/>
        </w:rPr>
        <w:t>Částečné plnění se připouští pouze pro případ, kdy počet vadných Karet, které pověřená osoba Objednatele nepřevezme, nepřesahuje 3% celkové Dodávky.</w:t>
      </w:r>
    </w:p>
    <w:p w:rsidR="00C23F8D" w:rsidRPr="002E33C3" w:rsidRDefault="00C23F8D" w:rsidP="00050E72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EC5B2F">
        <w:rPr>
          <w:rFonts w:ascii="Arial" w:hAnsi="Arial" w:cs="Arial"/>
          <w:szCs w:val="22"/>
        </w:rPr>
        <w:t>V souladu s výše uvedenou změnou se smluvní strany dohodly</w:t>
      </w:r>
      <w:r w:rsidR="002E33C3">
        <w:rPr>
          <w:rFonts w:ascii="Arial" w:hAnsi="Arial" w:cs="Arial"/>
          <w:szCs w:val="22"/>
        </w:rPr>
        <w:t>,</w:t>
      </w:r>
      <w:r w:rsidRPr="00EC5B2F">
        <w:rPr>
          <w:rFonts w:ascii="Arial" w:hAnsi="Arial" w:cs="Arial"/>
          <w:szCs w:val="22"/>
        </w:rPr>
        <w:t xml:space="preserve"> že </w:t>
      </w:r>
      <w:r>
        <w:rPr>
          <w:rFonts w:ascii="Arial" w:hAnsi="Arial" w:cs="Arial"/>
          <w:szCs w:val="22"/>
        </w:rPr>
        <w:t>čl.</w:t>
      </w:r>
      <w:r w:rsidR="002E33C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4 odst. 4.7</w:t>
      </w:r>
      <w:r w:rsidRPr="00EC5B2F">
        <w:rPr>
          <w:rFonts w:ascii="Arial" w:hAnsi="Arial" w:cs="Arial"/>
          <w:szCs w:val="22"/>
        </w:rPr>
        <w:t xml:space="preserve"> </w:t>
      </w:r>
      <w:r w:rsidRPr="002E33C3">
        <w:rPr>
          <w:rFonts w:ascii="Arial" w:hAnsi="Arial" w:cs="Arial"/>
          <w:szCs w:val="22"/>
        </w:rPr>
        <w:t>Smlouvy se mění a nahrazuje se v plném rozsahu v tomto znění:</w:t>
      </w:r>
    </w:p>
    <w:p w:rsidR="00C23F8D" w:rsidRPr="00050E72" w:rsidRDefault="00050E72" w:rsidP="0050754A">
      <w:pPr>
        <w:tabs>
          <w:tab w:val="left" w:pos="1134"/>
        </w:tabs>
        <w:spacing w:after="80" w:line="276" w:lineRule="auto"/>
        <w:ind w:left="1134" w:hanging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Cs w:val="22"/>
        </w:rPr>
        <w:t>4.7</w:t>
      </w:r>
      <w:r>
        <w:rPr>
          <w:rFonts w:ascii="Arial" w:hAnsi="Arial" w:cs="Arial"/>
          <w:i/>
          <w:szCs w:val="22"/>
        </w:rPr>
        <w:tab/>
      </w:r>
      <w:r w:rsidR="00C23F8D" w:rsidRPr="00050E72">
        <w:rPr>
          <w:rFonts w:ascii="Arial" w:hAnsi="Arial" w:cs="Arial"/>
          <w:i/>
          <w:szCs w:val="22"/>
        </w:rPr>
        <w:t xml:space="preserve">Současně s Dodávkou Karet předá Dodavatel Objednateli Datové věty </w:t>
      </w:r>
      <w:r w:rsidR="002E33C3" w:rsidRPr="00050E72">
        <w:rPr>
          <w:rFonts w:ascii="Arial" w:hAnsi="Arial" w:cs="Arial"/>
          <w:i/>
          <w:szCs w:val="22"/>
        </w:rPr>
        <w:t>s přiřazenými čís</w:t>
      </w:r>
      <w:r w:rsidR="00C23F8D" w:rsidRPr="00050E72">
        <w:rPr>
          <w:rFonts w:ascii="Arial" w:hAnsi="Arial" w:cs="Arial"/>
          <w:i/>
          <w:szCs w:val="22"/>
        </w:rPr>
        <w:t>l</w:t>
      </w:r>
      <w:r w:rsidR="002E33C3" w:rsidRPr="00050E72">
        <w:rPr>
          <w:rFonts w:ascii="Arial" w:hAnsi="Arial" w:cs="Arial"/>
          <w:i/>
          <w:szCs w:val="22"/>
        </w:rPr>
        <w:t>y</w:t>
      </w:r>
      <w:r w:rsidR="00C23F8D" w:rsidRPr="00050E72">
        <w:rPr>
          <w:rFonts w:ascii="Arial" w:hAnsi="Arial" w:cs="Arial"/>
          <w:i/>
          <w:szCs w:val="22"/>
        </w:rPr>
        <w:t xml:space="preserve"> kontaktních a bezkontaktních čipů</w:t>
      </w:r>
      <w:r w:rsidR="002E33C3" w:rsidRPr="00050E72">
        <w:rPr>
          <w:rFonts w:ascii="Arial" w:hAnsi="Arial" w:cs="Arial"/>
          <w:i/>
          <w:szCs w:val="22"/>
        </w:rPr>
        <w:t>, a to formou osobního předání pověřenou osobou Dodavatele na zašifrovaném datovém médiu pověřené osobě Objednatele, nebo formou zašifrovaného datového přenosu po veřejných sítích z komunikačního serveru Dodavatele.</w:t>
      </w:r>
    </w:p>
    <w:p w:rsidR="001E41CC" w:rsidRPr="003C05F5" w:rsidRDefault="001E41CC" w:rsidP="00050E72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t>V souladu s výše uvedenou změnou se smluvní strany dohodly, že Příloha č. 1 Smlouvy se mění a nahrazuje se v plném rozsahu Přílohou č. 1 tohoto Dodatku. Příloha č. 1 Dodatku č. 1 se stává nedílnou součástí Smlouvy jako její Příloha č. 1.</w:t>
      </w:r>
    </w:p>
    <w:p w:rsidR="001E41CC" w:rsidRPr="003C05F5" w:rsidRDefault="001E41CC" w:rsidP="00050E72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t>V souladu s výše uvedenou změnou se smluvní strany dohodly, že Příloha č. 2 Smlouvy se mění a nahrazuje se v plném rozsahu Přílohou č. 2 tohoto Dodatku. Příloha č. </w:t>
      </w:r>
      <w:r w:rsidR="001D1E04" w:rsidRPr="003C05F5">
        <w:rPr>
          <w:rFonts w:ascii="Arial" w:hAnsi="Arial" w:cs="Arial"/>
          <w:szCs w:val="22"/>
        </w:rPr>
        <w:t>2</w:t>
      </w:r>
      <w:r w:rsidRPr="003C05F5">
        <w:rPr>
          <w:rFonts w:ascii="Arial" w:hAnsi="Arial" w:cs="Arial"/>
          <w:szCs w:val="22"/>
        </w:rPr>
        <w:t xml:space="preserve"> Dodatku č. </w:t>
      </w:r>
      <w:r w:rsidR="001D1E04" w:rsidRPr="003C05F5">
        <w:rPr>
          <w:rFonts w:ascii="Arial" w:hAnsi="Arial" w:cs="Arial"/>
          <w:szCs w:val="22"/>
        </w:rPr>
        <w:t>1</w:t>
      </w:r>
      <w:r w:rsidRPr="003C05F5">
        <w:rPr>
          <w:rFonts w:ascii="Arial" w:hAnsi="Arial" w:cs="Arial"/>
          <w:szCs w:val="22"/>
        </w:rPr>
        <w:t xml:space="preserve"> se stává nedílnou součástí Smlouvy jako její Příloha č. 2.</w:t>
      </w:r>
    </w:p>
    <w:p w:rsidR="001E41CC" w:rsidRPr="003C05F5" w:rsidRDefault="001E41CC" w:rsidP="00050E72">
      <w:pPr>
        <w:pStyle w:val="Odstavecseseznamem"/>
        <w:numPr>
          <w:ilvl w:val="1"/>
          <w:numId w:val="13"/>
        </w:numPr>
        <w:spacing w:before="24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3C05F5">
        <w:rPr>
          <w:rFonts w:ascii="Arial" w:hAnsi="Arial" w:cs="Arial"/>
          <w:szCs w:val="22"/>
        </w:rPr>
        <w:lastRenderedPageBreak/>
        <w:t xml:space="preserve">V souladu s výše uvedenou změnou se smluvní strany dohodly, že Příloha č. </w:t>
      </w:r>
      <w:r w:rsidR="007C1174" w:rsidRPr="003C05F5">
        <w:rPr>
          <w:rFonts w:ascii="Arial" w:hAnsi="Arial" w:cs="Arial"/>
          <w:szCs w:val="22"/>
        </w:rPr>
        <w:t>3</w:t>
      </w:r>
      <w:r w:rsidRPr="003C05F5">
        <w:rPr>
          <w:rFonts w:ascii="Arial" w:hAnsi="Arial" w:cs="Arial"/>
          <w:szCs w:val="22"/>
        </w:rPr>
        <w:t xml:space="preserve"> Smlouvy se mění a nahrazuje se v plném rozsahu Přílohou č. 3 tohoto Dodatku. Příloha č. 3 Dodatku č. 1 se stává nedílnou součástí Smlouvy jako její Příloha č. 3.</w:t>
      </w:r>
    </w:p>
    <w:p w:rsidR="0098432C" w:rsidRPr="001D1E04" w:rsidRDefault="0098432C" w:rsidP="00050E72">
      <w:pPr>
        <w:pStyle w:val="Odstavecseseznamem"/>
        <w:numPr>
          <w:ilvl w:val="0"/>
          <w:numId w:val="15"/>
        </w:numPr>
        <w:spacing w:before="360" w:after="180"/>
        <w:ind w:left="425" w:hanging="425"/>
        <w:contextualSpacing w:val="0"/>
        <w:rPr>
          <w:rFonts w:ascii="Arial" w:hAnsi="Arial" w:cs="Arial"/>
          <w:b/>
          <w:sz w:val="28"/>
          <w:szCs w:val="28"/>
        </w:rPr>
      </w:pPr>
      <w:r w:rsidRPr="001D1E04">
        <w:rPr>
          <w:rFonts w:ascii="Arial" w:hAnsi="Arial" w:cs="Arial"/>
          <w:b/>
          <w:sz w:val="28"/>
          <w:szCs w:val="28"/>
        </w:rPr>
        <w:t>Závěrečná ustanovení</w:t>
      </w:r>
    </w:p>
    <w:p w:rsidR="006B026F" w:rsidRPr="001D1E04" w:rsidRDefault="00CD12D7" w:rsidP="000C5B46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1D1E04">
        <w:rPr>
          <w:rFonts w:ascii="Arial" w:hAnsi="Arial" w:cs="Arial"/>
          <w:szCs w:val="22"/>
        </w:rPr>
        <w:t>Tento Dodatek č. 1 je nedílnou součástí Smlouvy. Ostatní ustanovení Smlouvy zůstávají nedotčena.</w:t>
      </w:r>
    </w:p>
    <w:p w:rsidR="006B026F" w:rsidRPr="001D1E04" w:rsidRDefault="00666290" w:rsidP="000C5B46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1D1E04">
        <w:rPr>
          <w:rFonts w:ascii="Arial" w:hAnsi="Arial" w:cs="Arial"/>
          <w:szCs w:val="22"/>
        </w:rPr>
        <w:t>Tento Dodatek č. 1 nabývá platnosti dnem jeho podpisu oprávněnými zástupci obou smluvních stran a účinnosti dnem jeho uveřejnění v registru smluv. Uveřejnění v registru smluv zajistí Objednatel.</w:t>
      </w:r>
    </w:p>
    <w:p w:rsidR="006B026F" w:rsidRPr="001D1E04" w:rsidRDefault="000574FF" w:rsidP="000C5B46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Smlouvu ve znění Dodat</w:t>
      </w:r>
      <w:r w:rsidR="004E28DB" w:rsidRPr="001D1E0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>u</w:t>
      </w:r>
      <w:r w:rsidR="004E28DB" w:rsidRPr="001D1E04">
        <w:rPr>
          <w:rFonts w:ascii="Arial" w:hAnsi="Arial" w:cs="Arial"/>
          <w:szCs w:val="22"/>
        </w:rPr>
        <w:t xml:space="preserve"> č. 1 lze měnit nebo doplňovat písemnými dodatky číslovanými ve vzestupné řadě, odsouhlasenými oběma smluvními stranami, není-li ve Smlouvě stanoveno jinak.</w:t>
      </w:r>
    </w:p>
    <w:p w:rsidR="006B026F" w:rsidRPr="001D1E04" w:rsidRDefault="004E28DB" w:rsidP="000C5B46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1D1E04">
        <w:rPr>
          <w:rFonts w:ascii="Arial" w:hAnsi="Arial" w:cs="Arial"/>
          <w:szCs w:val="22"/>
        </w:rPr>
        <w:t>Dodatek č. 1 je vyhotoven ve třech stejnopisech s platností originálu, z nichž jeden obdrží Zhotovitel a dva Objednatel.</w:t>
      </w:r>
    </w:p>
    <w:p w:rsidR="004E28DB" w:rsidRPr="001D1E04" w:rsidRDefault="004E28DB" w:rsidP="000C5B46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1D1E04">
        <w:rPr>
          <w:rFonts w:ascii="Arial" w:hAnsi="Arial" w:cs="Arial"/>
          <w:szCs w:val="22"/>
        </w:rPr>
        <w:t>Nedílnou součástí Dodatku č. 1 j</w:t>
      </w:r>
      <w:r w:rsidR="001D1E04">
        <w:rPr>
          <w:rFonts w:ascii="Arial" w:hAnsi="Arial" w:cs="Arial"/>
          <w:szCs w:val="22"/>
        </w:rPr>
        <w:t xml:space="preserve">sou </w:t>
      </w:r>
      <w:r w:rsidRPr="001D1E04">
        <w:rPr>
          <w:rFonts w:ascii="Arial" w:hAnsi="Arial" w:cs="Arial"/>
          <w:szCs w:val="22"/>
        </w:rPr>
        <w:t>jeho příloh</w:t>
      </w:r>
      <w:r w:rsidR="001D1E04">
        <w:rPr>
          <w:rFonts w:ascii="Arial" w:hAnsi="Arial" w:cs="Arial"/>
          <w:szCs w:val="22"/>
        </w:rPr>
        <w:t>y</w:t>
      </w:r>
      <w:r w:rsidRPr="001D1E04">
        <w:rPr>
          <w:rFonts w:ascii="Arial" w:hAnsi="Arial" w:cs="Arial"/>
          <w:szCs w:val="22"/>
        </w:rPr>
        <w:t>:</w:t>
      </w:r>
    </w:p>
    <w:p w:rsidR="00C36B56" w:rsidRPr="001D1E04" w:rsidRDefault="00C36B56" w:rsidP="001E41CC">
      <w:pPr>
        <w:pStyle w:val="Odstavecseseznamem"/>
        <w:numPr>
          <w:ilvl w:val="1"/>
          <w:numId w:val="6"/>
        </w:numPr>
        <w:spacing w:line="276" w:lineRule="auto"/>
        <w:rPr>
          <w:rFonts w:ascii="Arial" w:hAnsi="Arial" w:cs="Arial"/>
          <w:szCs w:val="22"/>
        </w:rPr>
      </w:pPr>
      <w:r w:rsidRPr="001D1E04">
        <w:rPr>
          <w:rFonts w:ascii="Arial" w:hAnsi="Arial" w:cs="Arial"/>
          <w:szCs w:val="22"/>
        </w:rPr>
        <w:t xml:space="preserve">Příloha č. 1 – Technická specifikace Karty (vč. barevného vzoru Karty) </w:t>
      </w:r>
    </w:p>
    <w:p w:rsidR="001E41CC" w:rsidRPr="001D1E04" w:rsidRDefault="001E41CC" w:rsidP="001E41CC">
      <w:pPr>
        <w:pStyle w:val="Odstavecseseznamem"/>
        <w:numPr>
          <w:ilvl w:val="1"/>
          <w:numId w:val="6"/>
        </w:numPr>
        <w:spacing w:line="276" w:lineRule="auto"/>
        <w:rPr>
          <w:rFonts w:ascii="Arial" w:hAnsi="Arial" w:cs="Arial"/>
          <w:szCs w:val="22"/>
        </w:rPr>
      </w:pPr>
      <w:r w:rsidRPr="001D1E04">
        <w:rPr>
          <w:rFonts w:ascii="Arial" w:hAnsi="Arial" w:cs="Arial"/>
          <w:szCs w:val="22"/>
        </w:rPr>
        <w:t>Příloha č. 2 – Vzor Objednávky</w:t>
      </w:r>
    </w:p>
    <w:p w:rsidR="008D2EE6" w:rsidRPr="001D1E04" w:rsidRDefault="001E41CC" w:rsidP="001E41CC">
      <w:pPr>
        <w:pStyle w:val="Odstavecseseznamem"/>
        <w:numPr>
          <w:ilvl w:val="1"/>
          <w:numId w:val="6"/>
        </w:numPr>
        <w:spacing w:line="276" w:lineRule="auto"/>
        <w:rPr>
          <w:rFonts w:ascii="Arial" w:hAnsi="Arial" w:cs="Arial"/>
          <w:szCs w:val="22"/>
        </w:rPr>
      </w:pPr>
      <w:r w:rsidRPr="001D1E04">
        <w:rPr>
          <w:rFonts w:ascii="Arial" w:hAnsi="Arial" w:cs="Arial"/>
        </w:rPr>
        <w:t>Příloha č. 3 – Specifikace předávaných položek k personalizaci</w:t>
      </w:r>
    </w:p>
    <w:p w:rsidR="001E41CC" w:rsidRPr="001D1E04" w:rsidRDefault="001E41CC" w:rsidP="00C36B56">
      <w:pPr>
        <w:pStyle w:val="Odstavecseseznamem"/>
        <w:spacing w:line="276" w:lineRule="auto"/>
        <w:ind w:left="567"/>
        <w:contextualSpacing w:val="0"/>
        <w:rPr>
          <w:rFonts w:ascii="Arial" w:hAnsi="Arial" w:cs="Arial"/>
          <w:szCs w:val="22"/>
        </w:rPr>
      </w:pPr>
    </w:p>
    <w:p w:rsidR="00157D90" w:rsidRPr="001D1E04" w:rsidRDefault="00157D90" w:rsidP="00157D90">
      <w:pPr>
        <w:pStyle w:val="Odstavecseseznamem"/>
        <w:spacing w:line="276" w:lineRule="auto"/>
        <w:ind w:left="567"/>
        <w:contextualSpacing w:val="0"/>
        <w:rPr>
          <w:rFonts w:ascii="Arial" w:hAnsi="Arial" w:cs="Arial"/>
          <w:szCs w:val="22"/>
        </w:rPr>
      </w:pPr>
    </w:p>
    <w:p w:rsidR="00C36B56" w:rsidRPr="001D1E04" w:rsidRDefault="00C36B56" w:rsidP="00C36B56">
      <w:pPr>
        <w:pStyle w:val="Odstavecseseznamem"/>
        <w:spacing w:line="276" w:lineRule="auto"/>
        <w:ind w:left="567"/>
        <w:contextualSpacing w:val="0"/>
        <w:rPr>
          <w:rFonts w:ascii="Arial" w:hAnsi="Arial" w:cs="Arial"/>
          <w:szCs w:val="2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25"/>
        <w:gridCol w:w="3954"/>
      </w:tblGrid>
      <w:tr w:rsidR="0005449E" w:rsidRPr="001D1E04" w:rsidTr="00895872">
        <w:trPr>
          <w:trHeight w:val="71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895872" w:rsidP="00073A2B">
            <w:pPr>
              <w:widowControl w:val="0"/>
              <w:ind w:left="-68"/>
              <w:rPr>
                <w:rFonts w:ascii="Arial" w:hAnsi="Arial" w:cs="Arial"/>
              </w:rPr>
            </w:pPr>
            <w:r w:rsidRPr="001D1E04">
              <w:rPr>
                <w:rFonts w:ascii="Arial" w:hAnsi="Arial" w:cs="Arial"/>
              </w:rPr>
              <w:t xml:space="preserve">Za </w:t>
            </w:r>
            <w:r w:rsidR="00772991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eskou republiku – Generální finanční ředitelství</w:t>
            </w:r>
            <w:r w:rsidRPr="001D1E04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073A2B">
            <w:pPr>
              <w:widowControl w:val="0"/>
              <w:ind w:left="-68"/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895872" w:rsidP="00073A2B">
            <w:pPr>
              <w:widowControl w:val="0"/>
              <w:ind w:left="-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STÁTNÍ TISKÁRNU CENIN, státní podnik</w:t>
            </w:r>
          </w:p>
        </w:tc>
      </w:tr>
      <w:tr w:rsidR="00895872" w:rsidRPr="001D1E04" w:rsidTr="00895872">
        <w:trPr>
          <w:trHeight w:val="5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95872" w:rsidRPr="001D1E04" w:rsidRDefault="00895872" w:rsidP="00985B82">
            <w:pPr>
              <w:widowControl w:val="0"/>
              <w:ind w:left="-68"/>
              <w:rPr>
                <w:rFonts w:ascii="Arial" w:hAnsi="Arial" w:cs="Arial"/>
              </w:rPr>
            </w:pPr>
            <w:r w:rsidRPr="001D1E04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Praze </w:t>
            </w:r>
            <w:r w:rsidRPr="001D1E04">
              <w:rPr>
                <w:rFonts w:ascii="Arial" w:hAnsi="Arial" w:cs="Arial"/>
              </w:rPr>
              <w:t xml:space="preserve">dne: </w:t>
            </w:r>
            <w:r w:rsidR="00985B82">
              <w:rPr>
                <w:rFonts w:ascii="Arial" w:hAnsi="Arial" w:cs="Arial"/>
              </w:rPr>
              <w:t>20. 6. 2019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5872" w:rsidRPr="001D1E04" w:rsidRDefault="00895872" w:rsidP="00073A2B">
            <w:pPr>
              <w:widowControl w:val="0"/>
              <w:ind w:left="-68"/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895872" w:rsidRPr="001D1E04" w:rsidRDefault="00895872" w:rsidP="00985B82">
            <w:pPr>
              <w:widowControl w:val="0"/>
              <w:ind w:left="-68"/>
              <w:rPr>
                <w:rFonts w:ascii="Arial" w:hAnsi="Arial" w:cs="Arial"/>
              </w:rPr>
            </w:pPr>
            <w:r w:rsidRPr="001D1E04">
              <w:rPr>
                <w:rFonts w:ascii="Arial" w:hAnsi="Arial" w:cs="Arial"/>
              </w:rPr>
              <w:t xml:space="preserve">V Praze dne: </w:t>
            </w:r>
            <w:r w:rsidR="00985B82">
              <w:rPr>
                <w:rFonts w:ascii="Arial" w:hAnsi="Arial" w:cs="Arial"/>
              </w:rPr>
              <w:t>19. 6. 2019</w:t>
            </w:r>
          </w:p>
        </w:tc>
      </w:tr>
      <w:tr w:rsidR="0005449E" w:rsidRPr="001D1E04" w:rsidTr="00895872">
        <w:trPr>
          <w:trHeight w:val="5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073A2B">
            <w:pPr>
              <w:widowControl w:val="0"/>
              <w:ind w:left="-68"/>
              <w:rPr>
                <w:rFonts w:ascii="Arial" w:hAnsi="Arial" w:cs="Arial"/>
              </w:rPr>
            </w:pPr>
          </w:p>
          <w:p w:rsidR="0005449E" w:rsidRPr="001D1E04" w:rsidRDefault="0005449E" w:rsidP="00073A2B">
            <w:pPr>
              <w:widowControl w:val="0"/>
              <w:rPr>
                <w:rFonts w:ascii="Arial" w:hAnsi="Arial" w:cs="Arial"/>
                <w:b/>
              </w:rPr>
            </w:pPr>
          </w:p>
          <w:p w:rsidR="0005449E" w:rsidRPr="001D1E04" w:rsidRDefault="0005449E" w:rsidP="000C5B46">
            <w:pPr>
              <w:widowControl w:val="0"/>
              <w:rPr>
                <w:rFonts w:ascii="Arial" w:hAnsi="Arial" w:cs="Arial"/>
              </w:rPr>
            </w:pPr>
          </w:p>
          <w:p w:rsidR="008D2EE6" w:rsidRPr="001D1E04" w:rsidRDefault="008D2EE6" w:rsidP="000C5B4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073A2B">
            <w:pPr>
              <w:widowControl w:val="0"/>
              <w:ind w:left="-68"/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895872">
            <w:pPr>
              <w:widowControl w:val="0"/>
              <w:rPr>
                <w:rFonts w:ascii="Arial" w:hAnsi="Arial" w:cs="Arial"/>
              </w:rPr>
            </w:pPr>
          </w:p>
        </w:tc>
      </w:tr>
      <w:tr w:rsidR="0005449E" w:rsidRPr="001D1E04" w:rsidTr="00895872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449E" w:rsidRPr="001D1E04" w:rsidRDefault="00985B82" w:rsidP="008D2EE6">
            <w:pPr>
              <w:widowControl w:val="0"/>
              <w:spacing w:before="40"/>
              <w:ind w:left="-68"/>
              <w:jc w:val="left"/>
              <w:rPr>
                <w:rFonts w:ascii="Arial" w:hAnsi="Arial" w:cs="Arial"/>
              </w:rPr>
            </w:pPr>
            <w:r w:rsidRPr="00985B82">
              <w:rPr>
                <w:rFonts w:ascii="Arial" w:hAnsi="Arial" w:cs="Arial"/>
                <w:highlight w:val="lightGray"/>
              </w:rPr>
              <w:t>………………</w:t>
            </w:r>
            <w:proofErr w:type="gramStart"/>
            <w:r w:rsidRPr="00985B82">
              <w:rPr>
                <w:rFonts w:ascii="Arial" w:hAnsi="Arial" w:cs="Arial"/>
                <w:highlight w:val="lightGray"/>
              </w:rPr>
              <w:t>…..</w:t>
            </w:r>
            <w:r w:rsidR="00895872">
              <w:rPr>
                <w:rFonts w:ascii="Arial" w:hAnsi="Arial" w:cs="Arial"/>
              </w:rPr>
              <w:t>, ředitel</w:t>
            </w:r>
            <w:proofErr w:type="gramEnd"/>
            <w:r w:rsidR="00895872">
              <w:rPr>
                <w:rFonts w:ascii="Arial" w:hAnsi="Arial" w:cs="Arial"/>
              </w:rPr>
              <w:t xml:space="preserve"> Sekce informatiky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49E" w:rsidRPr="001D1E04" w:rsidRDefault="0005449E" w:rsidP="00073A2B">
            <w:pPr>
              <w:widowControl w:val="0"/>
              <w:spacing w:before="40"/>
              <w:ind w:left="-68"/>
              <w:jc w:val="left"/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449E" w:rsidRPr="001D1E04" w:rsidRDefault="00985B82" w:rsidP="008D2EE6">
            <w:pPr>
              <w:spacing w:before="40"/>
              <w:ind w:left="-68"/>
              <w:jc w:val="left"/>
              <w:rPr>
                <w:rFonts w:ascii="Arial" w:hAnsi="Arial" w:cs="Arial"/>
              </w:rPr>
            </w:pPr>
            <w:r w:rsidRPr="00985B82">
              <w:rPr>
                <w:rFonts w:ascii="Arial" w:hAnsi="Arial" w:cs="Arial"/>
                <w:highlight w:val="lightGray"/>
              </w:rPr>
              <w:t>………………</w:t>
            </w:r>
            <w:proofErr w:type="gramStart"/>
            <w:r w:rsidRPr="00985B82">
              <w:rPr>
                <w:rFonts w:ascii="Arial" w:hAnsi="Arial" w:cs="Arial"/>
                <w:highlight w:val="lightGray"/>
              </w:rPr>
              <w:t>…..</w:t>
            </w:r>
            <w:r w:rsidR="00895872">
              <w:rPr>
                <w:rFonts w:ascii="Arial" w:hAnsi="Arial" w:cs="Arial"/>
              </w:rPr>
              <w:t>, generální</w:t>
            </w:r>
            <w:proofErr w:type="gramEnd"/>
            <w:r w:rsidR="00895872">
              <w:rPr>
                <w:rFonts w:ascii="Arial" w:hAnsi="Arial" w:cs="Arial"/>
              </w:rPr>
              <w:t xml:space="preserve"> ředitel</w:t>
            </w:r>
          </w:p>
        </w:tc>
      </w:tr>
      <w:tr w:rsidR="0005449E" w:rsidRPr="001D1E04" w:rsidTr="00895872">
        <w:trPr>
          <w:trHeight w:val="30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073A2B">
            <w:pPr>
              <w:widowControl w:val="0"/>
              <w:ind w:left="-68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073A2B">
            <w:pPr>
              <w:widowControl w:val="0"/>
              <w:ind w:left="-68"/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5449E" w:rsidRPr="001D1E04" w:rsidRDefault="0005449E" w:rsidP="008D2EE6">
            <w:pPr>
              <w:widowControl w:val="0"/>
              <w:ind w:left="-68"/>
              <w:rPr>
                <w:rFonts w:ascii="Arial" w:hAnsi="Arial" w:cs="Arial"/>
              </w:rPr>
            </w:pPr>
          </w:p>
        </w:tc>
      </w:tr>
    </w:tbl>
    <w:p w:rsidR="000C5B46" w:rsidRDefault="000C5B46" w:rsidP="005708B3">
      <w:pPr>
        <w:spacing w:before="360" w:after="120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sectPr w:rsidR="000C5B46" w:rsidSect="005708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E1" w:rsidRDefault="00EC7FE1" w:rsidP="000C5B46">
      <w:r>
        <w:separator/>
      </w:r>
    </w:p>
  </w:endnote>
  <w:endnote w:type="continuationSeparator" w:id="0">
    <w:p w:rsidR="00EC7FE1" w:rsidRDefault="00EC7FE1" w:rsidP="000C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E1" w:rsidRDefault="00EC7FE1" w:rsidP="000C5B46">
      <w:r>
        <w:separator/>
      </w:r>
    </w:p>
  </w:footnote>
  <w:footnote w:type="continuationSeparator" w:id="0">
    <w:p w:rsidR="00EC7FE1" w:rsidRDefault="00EC7FE1" w:rsidP="000C5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8B" w:rsidRPr="00075A3F" w:rsidRDefault="00672B8B" w:rsidP="00073A2B">
    <w:pPr>
      <w:pStyle w:val="Zhlav"/>
      <w:jc w:val="right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6633"/>
    <w:multiLevelType w:val="multilevel"/>
    <w:tmpl w:val="9032791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6107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1AC70C3F"/>
    <w:multiLevelType w:val="hybridMultilevel"/>
    <w:tmpl w:val="D924BF3E"/>
    <w:lvl w:ilvl="0" w:tplc="4538F5E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4D42C5"/>
    <w:multiLevelType w:val="hybridMultilevel"/>
    <w:tmpl w:val="0AF8058C"/>
    <w:lvl w:ilvl="0" w:tplc="25B0359E">
      <w:start w:val="1"/>
      <w:numFmt w:val="ordinal"/>
      <w:lvlText w:val="2.%1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BF529D"/>
    <w:multiLevelType w:val="multilevel"/>
    <w:tmpl w:val="5A6E955E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Nadpis2-normlntext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DC6617E"/>
    <w:multiLevelType w:val="hybridMultilevel"/>
    <w:tmpl w:val="FC3C18EE"/>
    <w:lvl w:ilvl="0" w:tplc="E37247B0">
      <w:start w:val="1"/>
      <w:numFmt w:val="ordinal"/>
      <w:lvlText w:val="2.%1"/>
      <w:lvlJc w:val="left"/>
      <w:pPr>
        <w:ind w:left="114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860A02"/>
    <w:multiLevelType w:val="hybridMultilevel"/>
    <w:tmpl w:val="24CABFB8"/>
    <w:lvl w:ilvl="0" w:tplc="92949DFC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B55"/>
    <w:multiLevelType w:val="multilevel"/>
    <w:tmpl w:val="9FE45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49797E"/>
    <w:multiLevelType w:val="hybridMultilevel"/>
    <w:tmpl w:val="41DCF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AB5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45BC"/>
    <w:multiLevelType w:val="hybridMultilevel"/>
    <w:tmpl w:val="E8E2C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019D"/>
    <w:multiLevelType w:val="hybridMultilevel"/>
    <w:tmpl w:val="0EA654D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2C7BBE"/>
    <w:multiLevelType w:val="hybridMultilevel"/>
    <w:tmpl w:val="B3D203CA"/>
    <w:lvl w:ilvl="0" w:tplc="B2AE6F3C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11929"/>
    <w:multiLevelType w:val="hybridMultilevel"/>
    <w:tmpl w:val="984049A4"/>
    <w:lvl w:ilvl="0" w:tplc="EF727F14">
      <w:start w:val="1"/>
      <w:numFmt w:val="lowerLetter"/>
      <w:lvlText w:val="%1)"/>
      <w:lvlJc w:val="left"/>
      <w:pPr>
        <w:ind w:left="1151" w:hanging="360"/>
      </w:pPr>
    </w:lvl>
    <w:lvl w:ilvl="1" w:tplc="04050019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57FC3984"/>
    <w:multiLevelType w:val="multilevel"/>
    <w:tmpl w:val="9CB8BE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5C073ECA"/>
    <w:multiLevelType w:val="hybridMultilevel"/>
    <w:tmpl w:val="056EC8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5B22626"/>
    <w:multiLevelType w:val="multilevel"/>
    <w:tmpl w:val="F60A8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975269"/>
    <w:multiLevelType w:val="hybridMultilevel"/>
    <w:tmpl w:val="D4DA3E66"/>
    <w:lvl w:ilvl="0" w:tplc="BB4256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C305F"/>
    <w:multiLevelType w:val="hybridMultilevel"/>
    <w:tmpl w:val="62DAB7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16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06"/>
    <w:rsid w:val="00003335"/>
    <w:rsid w:val="0001349A"/>
    <w:rsid w:val="00037BEF"/>
    <w:rsid w:val="00045F24"/>
    <w:rsid w:val="00050E72"/>
    <w:rsid w:val="0005449E"/>
    <w:rsid w:val="00054F4B"/>
    <w:rsid w:val="000574FF"/>
    <w:rsid w:val="000709EA"/>
    <w:rsid w:val="00073A2B"/>
    <w:rsid w:val="0009028D"/>
    <w:rsid w:val="000A29C7"/>
    <w:rsid w:val="000B35EF"/>
    <w:rsid w:val="000B7B70"/>
    <w:rsid w:val="000C5B46"/>
    <w:rsid w:val="000D26D6"/>
    <w:rsid w:val="00115981"/>
    <w:rsid w:val="001360AA"/>
    <w:rsid w:val="001465A6"/>
    <w:rsid w:val="00154221"/>
    <w:rsid w:val="00157D90"/>
    <w:rsid w:val="001674A1"/>
    <w:rsid w:val="00185240"/>
    <w:rsid w:val="001878F6"/>
    <w:rsid w:val="00192EF1"/>
    <w:rsid w:val="001D1E04"/>
    <w:rsid w:val="001E41CC"/>
    <w:rsid w:val="001E71C2"/>
    <w:rsid w:val="0021593E"/>
    <w:rsid w:val="002437CE"/>
    <w:rsid w:val="00263331"/>
    <w:rsid w:val="002A0906"/>
    <w:rsid w:val="002A20E2"/>
    <w:rsid w:val="002A588C"/>
    <w:rsid w:val="002D0995"/>
    <w:rsid w:val="002E33C3"/>
    <w:rsid w:val="0032612A"/>
    <w:rsid w:val="00370737"/>
    <w:rsid w:val="0038515F"/>
    <w:rsid w:val="00386D4A"/>
    <w:rsid w:val="003878C3"/>
    <w:rsid w:val="003A07A1"/>
    <w:rsid w:val="003B079E"/>
    <w:rsid w:val="003C05F5"/>
    <w:rsid w:val="004142F9"/>
    <w:rsid w:val="00426A44"/>
    <w:rsid w:val="00453B7C"/>
    <w:rsid w:val="00465510"/>
    <w:rsid w:val="004A5A17"/>
    <w:rsid w:val="004E28DB"/>
    <w:rsid w:val="004F355C"/>
    <w:rsid w:val="0050754A"/>
    <w:rsid w:val="00524279"/>
    <w:rsid w:val="00525B58"/>
    <w:rsid w:val="00534CD5"/>
    <w:rsid w:val="005665DE"/>
    <w:rsid w:val="005708B3"/>
    <w:rsid w:val="005714E6"/>
    <w:rsid w:val="005A4ED2"/>
    <w:rsid w:val="005B3BAF"/>
    <w:rsid w:val="005C7F8E"/>
    <w:rsid w:val="005D0609"/>
    <w:rsid w:val="005F31A0"/>
    <w:rsid w:val="00642DB4"/>
    <w:rsid w:val="006438E5"/>
    <w:rsid w:val="00645DC0"/>
    <w:rsid w:val="00647DEA"/>
    <w:rsid w:val="00666290"/>
    <w:rsid w:val="00672B8B"/>
    <w:rsid w:val="006B026F"/>
    <w:rsid w:val="006C37CC"/>
    <w:rsid w:val="006E1740"/>
    <w:rsid w:val="006E5ECD"/>
    <w:rsid w:val="006E63FB"/>
    <w:rsid w:val="00726321"/>
    <w:rsid w:val="00733D9B"/>
    <w:rsid w:val="00764074"/>
    <w:rsid w:val="007652CE"/>
    <w:rsid w:val="00771D6A"/>
    <w:rsid w:val="00772991"/>
    <w:rsid w:val="00785A15"/>
    <w:rsid w:val="007A0EFD"/>
    <w:rsid w:val="007A26D4"/>
    <w:rsid w:val="007B4F94"/>
    <w:rsid w:val="007B6AB0"/>
    <w:rsid w:val="007C1174"/>
    <w:rsid w:val="007C448D"/>
    <w:rsid w:val="007E4815"/>
    <w:rsid w:val="00811003"/>
    <w:rsid w:val="00861E85"/>
    <w:rsid w:val="00871EA6"/>
    <w:rsid w:val="00885092"/>
    <w:rsid w:val="00895872"/>
    <w:rsid w:val="008C11CF"/>
    <w:rsid w:val="008D2EE6"/>
    <w:rsid w:val="008D38FB"/>
    <w:rsid w:val="008E37B2"/>
    <w:rsid w:val="008E4FAA"/>
    <w:rsid w:val="00923EFF"/>
    <w:rsid w:val="00973952"/>
    <w:rsid w:val="00976813"/>
    <w:rsid w:val="0098432C"/>
    <w:rsid w:val="00985B82"/>
    <w:rsid w:val="009B0EEF"/>
    <w:rsid w:val="009C17E7"/>
    <w:rsid w:val="009D2C8A"/>
    <w:rsid w:val="009D5FEB"/>
    <w:rsid w:val="009E1DE3"/>
    <w:rsid w:val="009F11E7"/>
    <w:rsid w:val="009F1E06"/>
    <w:rsid w:val="009F6A32"/>
    <w:rsid w:val="00A23E92"/>
    <w:rsid w:val="00A41E6E"/>
    <w:rsid w:val="00A45A2D"/>
    <w:rsid w:val="00A725C2"/>
    <w:rsid w:val="00A76345"/>
    <w:rsid w:val="00A8377B"/>
    <w:rsid w:val="00A8620E"/>
    <w:rsid w:val="00AA5533"/>
    <w:rsid w:val="00AD2FDA"/>
    <w:rsid w:val="00B1525D"/>
    <w:rsid w:val="00B71C47"/>
    <w:rsid w:val="00B73BF4"/>
    <w:rsid w:val="00BB238F"/>
    <w:rsid w:val="00BF5CA5"/>
    <w:rsid w:val="00BF7BD4"/>
    <w:rsid w:val="00C23F8D"/>
    <w:rsid w:val="00C35212"/>
    <w:rsid w:val="00C36B56"/>
    <w:rsid w:val="00C82E0D"/>
    <w:rsid w:val="00C93951"/>
    <w:rsid w:val="00C939D7"/>
    <w:rsid w:val="00C95EA4"/>
    <w:rsid w:val="00CC2F5B"/>
    <w:rsid w:val="00CD12D7"/>
    <w:rsid w:val="00D17D95"/>
    <w:rsid w:val="00D309ED"/>
    <w:rsid w:val="00D50429"/>
    <w:rsid w:val="00D72193"/>
    <w:rsid w:val="00D85F3C"/>
    <w:rsid w:val="00D90DB5"/>
    <w:rsid w:val="00D90EE6"/>
    <w:rsid w:val="00D92770"/>
    <w:rsid w:val="00DA6896"/>
    <w:rsid w:val="00DE0746"/>
    <w:rsid w:val="00DF5FCA"/>
    <w:rsid w:val="00E34179"/>
    <w:rsid w:val="00E9671B"/>
    <w:rsid w:val="00EB2036"/>
    <w:rsid w:val="00EC22BF"/>
    <w:rsid w:val="00EC5B2F"/>
    <w:rsid w:val="00EC7FE1"/>
    <w:rsid w:val="00EE3458"/>
    <w:rsid w:val="00F2636E"/>
    <w:rsid w:val="00F2747E"/>
    <w:rsid w:val="00F331FF"/>
    <w:rsid w:val="00F41C30"/>
    <w:rsid w:val="00F55FAA"/>
    <w:rsid w:val="00F569EF"/>
    <w:rsid w:val="00F60713"/>
    <w:rsid w:val="00F85E16"/>
    <w:rsid w:val="00F93297"/>
    <w:rsid w:val="00F975C8"/>
    <w:rsid w:val="00FA74F2"/>
    <w:rsid w:val="00FC01B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DDC5D6-B25F-4A39-A76F-87EDD413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3C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Chapter,H1,1,section,ASAPHeading 1,Celého textu,V_Head1,Záhlaví 1,h1"/>
    <w:basedOn w:val="Normln"/>
    <w:next w:val="Normln"/>
    <w:link w:val="Nadpis1Char"/>
    <w:qFormat/>
    <w:rsid w:val="00E9671B"/>
    <w:pPr>
      <w:keepNext/>
      <w:numPr>
        <w:numId w:val="5"/>
      </w:numPr>
      <w:tabs>
        <w:tab w:val="left" w:pos="624"/>
      </w:tabs>
      <w:spacing w:before="360" w:after="60"/>
      <w:outlineLvl w:val="0"/>
    </w:pPr>
    <w:rPr>
      <w:b/>
      <w:kern w:val="24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67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H3,Nadpis_3_úroveň,Záhlaví 3,V_Head3,V_Head31,V_Head32,Podkapitola2,ASAPHeading 3,Sub Paragraph,Podkapitola21"/>
    <w:basedOn w:val="Normln"/>
    <w:next w:val="Normln"/>
    <w:link w:val="Nadpis3Char"/>
    <w:qFormat/>
    <w:rsid w:val="00E9671B"/>
    <w:pPr>
      <w:keepNext/>
      <w:numPr>
        <w:ilvl w:val="2"/>
        <w:numId w:val="5"/>
      </w:numPr>
      <w:spacing w:before="240" w:after="60"/>
      <w:outlineLvl w:val="2"/>
    </w:pPr>
    <w:rPr>
      <w:b/>
      <w:i/>
      <w:u w:val="single"/>
    </w:rPr>
  </w:style>
  <w:style w:type="paragraph" w:styleId="Nadpis4">
    <w:name w:val="heading 4"/>
    <w:basedOn w:val="Normln"/>
    <w:next w:val="Normln"/>
    <w:link w:val="Nadpis4Char"/>
    <w:qFormat/>
    <w:rsid w:val="00E9671B"/>
    <w:pPr>
      <w:keepNext/>
      <w:numPr>
        <w:ilvl w:val="3"/>
        <w:numId w:val="5"/>
      </w:numPr>
      <w:spacing w:before="240" w:after="60"/>
      <w:outlineLvl w:val="3"/>
    </w:pPr>
    <w:rPr>
      <w:b/>
      <w:i/>
      <w:u w:val="single"/>
    </w:rPr>
  </w:style>
  <w:style w:type="paragraph" w:styleId="Nadpis5">
    <w:name w:val="heading 5"/>
    <w:aliases w:val="H5"/>
    <w:basedOn w:val="Normln"/>
    <w:next w:val="Normln"/>
    <w:link w:val="Nadpis5Char"/>
    <w:qFormat/>
    <w:rsid w:val="00E9671B"/>
    <w:pPr>
      <w:numPr>
        <w:ilvl w:val="4"/>
        <w:numId w:val="5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qFormat/>
    <w:rsid w:val="00E9671B"/>
    <w:pPr>
      <w:numPr>
        <w:ilvl w:val="5"/>
        <w:numId w:val="5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aliases w:val="H7"/>
    <w:basedOn w:val="Normln"/>
    <w:next w:val="Normln"/>
    <w:link w:val="Nadpis7Char"/>
    <w:qFormat/>
    <w:rsid w:val="00E9671B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aliases w:val="H8"/>
    <w:basedOn w:val="Normln"/>
    <w:next w:val="Normln"/>
    <w:link w:val="Nadpis8Char"/>
    <w:qFormat/>
    <w:rsid w:val="00E9671B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aliases w:val="H9"/>
    <w:basedOn w:val="Normln"/>
    <w:next w:val="Normln"/>
    <w:link w:val="Nadpis9Char"/>
    <w:qFormat/>
    <w:rsid w:val="00E9671B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F263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D12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12D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1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2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2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2D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Chapter Char,H1 Char,1 Char,section Char,ASAPHeading 1 Char,Celého textu Char,V_Head1 Char,Záhlaví 1 Char,h1 Char"/>
    <w:basedOn w:val="Standardnpsmoodstavce"/>
    <w:link w:val="Nadpis1"/>
    <w:rsid w:val="00E9671B"/>
    <w:rPr>
      <w:rFonts w:ascii="Times New Roman" w:eastAsia="Times New Roman" w:hAnsi="Times New Roman" w:cs="Times New Roman"/>
      <w:b/>
      <w:kern w:val="24"/>
      <w:sz w:val="28"/>
      <w:szCs w:val="20"/>
      <w:lang w:eastAsia="cs-CZ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"/>
    <w:basedOn w:val="Standardnpsmoodstavce"/>
    <w:link w:val="Nadpis3"/>
    <w:rsid w:val="00E9671B"/>
    <w:rPr>
      <w:rFonts w:ascii="Times New Roman" w:eastAsia="Times New Roman" w:hAnsi="Times New Roman" w:cs="Times New Roman"/>
      <w:b/>
      <w:i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9671B"/>
    <w:rPr>
      <w:rFonts w:ascii="Times New Roman" w:eastAsia="Times New Roman" w:hAnsi="Times New Roman" w:cs="Times New Roman"/>
      <w:b/>
      <w:i/>
      <w:szCs w:val="20"/>
      <w:u w:val="single"/>
      <w:lang w:eastAsia="cs-CZ"/>
    </w:rPr>
  </w:style>
  <w:style w:type="character" w:customStyle="1" w:styleId="Nadpis5Char">
    <w:name w:val="Nadpis 5 Char"/>
    <w:aliases w:val="H5 Char"/>
    <w:basedOn w:val="Standardnpsmoodstavce"/>
    <w:link w:val="Nadpis5"/>
    <w:rsid w:val="00E9671B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E9671B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E9671B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E9671B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aliases w:val="H9 Char"/>
    <w:basedOn w:val="Standardnpsmoodstavce"/>
    <w:link w:val="Nadpis9"/>
    <w:rsid w:val="00E9671B"/>
    <w:rPr>
      <w:rFonts w:ascii="Arial" w:eastAsia="Times New Roman" w:hAnsi="Arial" w:cs="Times New Roman"/>
      <w:i/>
      <w:sz w:val="18"/>
      <w:szCs w:val="20"/>
      <w:lang w:eastAsia="cs-CZ"/>
    </w:rPr>
  </w:style>
  <w:style w:type="paragraph" w:customStyle="1" w:styleId="Nadpis2-normlntext">
    <w:name w:val="Nadpis 2  - normální text"/>
    <w:basedOn w:val="Nadpis2"/>
    <w:rsid w:val="00E9671B"/>
    <w:pPr>
      <w:keepNext w:val="0"/>
      <w:keepLines w:val="0"/>
      <w:numPr>
        <w:ilvl w:val="1"/>
        <w:numId w:val="5"/>
      </w:numPr>
      <w:tabs>
        <w:tab w:val="clear" w:pos="766"/>
      </w:tabs>
      <w:spacing w:before="60"/>
      <w:ind w:left="1440" w:hanging="360"/>
    </w:pPr>
    <w:rPr>
      <w:rFonts w:ascii="Times New Roman" w:eastAsia="Times New Roman" w:hAnsi="Times New Roman" w:cs="Times New Roman"/>
      <w:b w:val="0"/>
      <w:bCs w:val="0"/>
      <w:color w:val="auto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6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5B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5B46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B46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9028D"/>
    <w:pPr>
      <w:spacing w:after="80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09028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B7B70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7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rsid w:val="0032612A"/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3A2B"/>
    <w:pPr>
      <w:jc w:val="left"/>
    </w:pPr>
    <w:rPr>
      <w:rFonts w:ascii="Calibri" w:eastAsiaTheme="minorHAnsi" w:hAnsi="Calibr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3A2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1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7964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7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30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1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23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08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209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92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34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61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0CB8-9B9F-422A-9AA6-539C9EF4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Rősslerová Zdeňka Mgr. (GFŘ)</dc:creator>
  <cp:lastModifiedBy>Janátová Petra Mgr. (GFŘ)</cp:lastModifiedBy>
  <cp:revision>2</cp:revision>
  <cp:lastPrinted>2019-06-12T13:33:00Z</cp:lastPrinted>
  <dcterms:created xsi:type="dcterms:W3CDTF">2019-06-24T11:36:00Z</dcterms:created>
  <dcterms:modified xsi:type="dcterms:W3CDTF">2019-06-24T11:36:00Z</dcterms:modified>
</cp:coreProperties>
</file>