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KONSTANTA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Bezručova 1245, 37401 Trhové Sviny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Omlenice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4 267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Stradov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41 844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82 579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5 014,20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Střítež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9 922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Zahrádka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195 300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9 151,76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232 003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10 871,66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Žďár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13 404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342 175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17 656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č.144N07/33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14410733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31.10.2007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17 656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24.6.2019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1.11.2007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