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D1E" w:rsidRDefault="00BD0D1E">
      <w:pPr>
        <w:spacing w:line="1" w:lineRule="exact"/>
      </w:pPr>
      <w:bookmarkStart w:id="0" w:name="_GoBack"/>
      <w:bookmarkEnd w:id="0"/>
    </w:p>
    <w:p w:rsidR="00BD0D1E" w:rsidRDefault="00FA01DA">
      <w:pPr>
        <w:pStyle w:val="Nadpis10"/>
        <w:framePr w:w="10546" w:h="15230" w:hRule="exact" w:wrap="none" w:vAnchor="page" w:hAnchor="page" w:x="615" w:y="644"/>
        <w:shd w:val="clear" w:color="auto" w:fill="auto"/>
        <w:spacing w:before="0" w:after="120"/>
      </w:pPr>
      <w:bookmarkStart w:id="1" w:name="bookmark0"/>
      <w:bookmarkStart w:id="2" w:name="bookmark1"/>
      <w:r>
        <w:t>SMLOUVA O VEDENÍ ÚČETNICTVÍ A PORADENTSTVÍ V OBLASTI DANÍ</w:t>
      </w:r>
      <w:bookmarkEnd w:id="1"/>
      <w:bookmarkEnd w:id="2"/>
    </w:p>
    <w:p w:rsidR="00BD0D1E" w:rsidRDefault="00FA01DA">
      <w:pPr>
        <w:pStyle w:val="Nadpis10"/>
        <w:framePr w:w="10546" w:h="15230" w:hRule="exact" w:wrap="none" w:vAnchor="page" w:hAnchor="page" w:x="615" w:y="644"/>
        <w:shd w:val="clear" w:color="auto" w:fill="auto"/>
        <w:spacing w:before="0" w:after="540"/>
      </w:pPr>
      <w:bookmarkStart w:id="3" w:name="bookmark2"/>
      <w:bookmarkStart w:id="4" w:name="bookmark3"/>
      <w:r>
        <w:t xml:space="preserve">uzavřená dle §1746 odst. 2 A § 2586 a násl. </w:t>
      </w:r>
      <w:proofErr w:type="spellStart"/>
      <w:r>
        <w:t>zák.č</w:t>
      </w:r>
      <w:proofErr w:type="spellEnd"/>
      <w:r>
        <w:t>. 89/2012 sb.</w:t>
      </w:r>
      <w:bookmarkEnd w:id="3"/>
      <w:bookmarkEnd w:id="4"/>
    </w:p>
    <w:p w:rsidR="00BD0D1E" w:rsidRDefault="00FA01DA">
      <w:pPr>
        <w:pStyle w:val="Zkladntext1"/>
        <w:framePr w:w="10546" w:h="15230" w:hRule="exact" w:wrap="none" w:vAnchor="page" w:hAnchor="page" w:x="615" w:y="644"/>
        <w:shd w:val="clear" w:color="auto" w:fill="auto"/>
        <w:tabs>
          <w:tab w:val="left" w:pos="8431"/>
        </w:tabs>
      </w:pPr>
      <w:r>
        <w:t>Uzavřená mezi:</w:t>
      </w:r>
      <w:r>
        <w:tab/>
      </w:r>
    </w:p>
    <w:p w:rsidR="00BD0D1E" w:rsidRDefault="00FA01DA">
      <w:pPr>
        <w:pStyle w:val="Zkladntext1"/>
        <w:framePr w:w="10546" w:h="15230" w:hRule="exact" w:wrap="none" w:vAnchor="page" w:hAnchor="page" w:x="615" w:y="644"/>
        <w:shd w:val="clear" w:color="auto" w:fill="auto"/>
        <w:tabs>
          <w:tab w:val="left" w:pos="1406"/>
        </w:tabs>
      </w:pPr>
      <w:r>
        <w:rPr>
          <w:b/>
          <w:bCs/>
        </w:rPr>
        <w:t>Firmou:</w:t>
      </w:r>
      <w:r>
        <w:rPr>
          <w:b/>
          <w:bCs/>
        </w:rPr>
        <w:tab/>
        <w:t>SCH-EKONOM s.r.o.,</w:t>
      </w:r>
    </w:p>
    <w:p w:rsidR="00BD0D1E" w:rsidRDefault="00FA01DA">
      <w:pPr>
        <w:pStyle w:val="Zkladntext1"/>
        <w:framePr w:w="10546" w:h="15230" w:hRule="exact" w:wrap="none" w:vAnchor="page" w:hAnchor="page" w:x="615" w:y="644"/>
        <w:shd w:val="clear" w:color="auto" w:fill="auto"/>
        <w:ind w:left="1420"/>
      </w:pPr>
      <w:r>
        <w:rPr>
          <w:b/>
          <w:bCs/>
        </w:rPr>
        <w:t xml:space="preserve">zastoupena jednatelem Petrou </w:t>
      </w:r>
      <w:proofErr w:type="spellStart"/>
      <w:r>
        <w:rPr>
          <w:b/>
          <w:bCs/>
        </w:rPr>
        <w:t>Poupovou</w:t>
      </w:r>
      <w:proofErr w:type="spellEnd"/>
    </w:p>
    <w:p w:rsidR="00BD0D1E" w:rsidRDefault="00FA01DA">
      <w:pPr>
        <w:pStyle w:val="Zkladntext1"/>
        <w:framePr w:w="10546" w:h="15230" w:hRule="exact" w:wrap="none" w:vAnchor="page" w:hAnchor="page" w:x="615" w:y="644"/>
        <w:shd w:val="clear" w:color="auto" w:fill="auto"/>
        <w:ind w:left="1420"/>
      </w:pPr>
      <w:r>
        <w:t xml:space="preserve">se sídlem: </w:t>
      </w:r>
      <w:r>
        <w:rPr>
          <w:b/>
          <w:bCs/>
        </w:rPr>
        <w:t>Písečná 2520/</w:t>
      </w:r>
      <w:proofErr w:type="gramStart"/>
      <w:r>
        <w:rPr>
          <w:b/>
          <w:bCs/>
        </w:rPr>
        <w:t>2A</w:t>
      </w:r>
      <w:proofErr w:type="gramEnd"/>
      <w:r>
        <w:rPr>
          <w:b/>
          <w:bCs/>
        </w:rPr>
        <w:t>, 350 02 Cheb</w:t>
      </w:r>
    </w:p>
    <w:p w:rsidR="00BD0D1E" w:rsidRDefault="00FA01DA">
      <w:pPr>
        <w:pStyle w:val="Zkladntext1"/>
        <w:framePr w:w="10546" w:h="15230" w:hRule="exact" w:wrap="none" w:vAnchor="page" w:hAnchor="page" w:x="615" w:y="644"/>
        <w:shd w:val="clear" w:color="auto" w:fill="auto"/>
        <w:ind w:left="1420"/>
      </w:pPr>
      <w:r>
        <w:rPr>
          <w:b/>
          <w:bCs/>
        </w:rPr>
        <w:t xml:space="preserve">e-mail: </w:t>
      </w:r>
    </w:p>
    <w:p w:rsidR="00BD0D1E" w:rsidRDefault="00FA01DA">
      <w:pPr>
        <w:pStyle w:val="Zkladntext1"/>
        <w:framePr w:w="10546" w:h="15230" w:hRule="exact" w:wrap="none" w:vAnchor="page" w:hAnchor="page" w:x="615" w:y="644"/>
        <w:shd w:val="clear" w:color="auto" w:fill="auto"/>
        <w:ind w:left="1420"/>
      </w:pPr>
      <w:r>
        <w:rPr>
          <w:b/>
          <w:bCs/>
        </w:rPr>
        <w:t>IČO: 64832694</w:t>
      </w:r>
    </w:p>
    <w:p w:rsidR="00BD0D1E" w:rsidRDefault="00FA01DA">
      <w:pPr>
        <w:pStyle w:val="Zkladntext1"/>
        <w:framePr w:w="10546" w:h="15230" w:hRule="exact" w:wrap="none" w:vAnchor="page" w:hAnchor="page" w:x="615" w:y="644"/>
        <w:shd w:val="clear" w:color="auto" w:fill="auto"/>
        <w:ind w:left="1420"/>
      </w:pPr>
      <w:r>
        <w:t xml:space="preserve">DIČ: </w:t>
      </w:r>
      <w:r>
        <w:rPr>
          <w:b/>
          <w:bCs/>
        </w:rPr>
        <w:t>CZ64832694</w:t>
      </w:r>
    </w:p>
    <w:p w:rsidR="00BD0D1E" w:rsidRDefault="00FA01DA">
      <w:pPr>
        <w:pStyle w:val="Zkladntext1"/>
        <w:framePr w:w="10546" w:h="15230" w:hRule="exact" w:wrap="none" w:vAnchor="page" w:hAnchor="page" w:x="615" w:y="644"/>
        <w:shd w:val="clear" w:color="auto" w:fill="auto"/>
        <w:ind w:left="1420"/>
      </w:pPr>
      <w:r>
        <w:t>Bankovní spojení: Raiffeisenbank a.s., 239689001/5500</w:t>
      </w:r>
    </w:p>
    <w:p w:rsidR="00BD0D1E" w:rsidRDefault="00FA01DA">
      <w:pPr>
        <w:pStyle w:val="Zkladntext1"/>
        <w:framePr w:w="10546" w:h="15230" w:hRule="exact" w:wrap="none" w:vAnchor="page" w:hAnchor="page" w:x="615" w:y="644"/>
        <w:shd w:val="clear" w:color="auto" w:fill="auto"/>
        <w:spacing w:after="240"/>
      </w:pPr>
      <w:r>
        <w:t>Dále jen „firma“ na straně jedné a</w:t>
      </w:r>
    </w:p>
    <w:p w:rsidR="00BD0D1E" w:rsidRDefault="00FA01DA">
      <w:pPr>
        <w:pStyle w:val="Zkladntext1"/>
        <w:framePr w:w="10546" w:h="15230" w:hRule="exact" w:wrap="none" w:vAnchor="page" w:hAnchor="page" w:x="615" w:y="644"/>
        <w:shd w:val="clear" w:color="auto" w:fill="auto"/>
        <w:tabs>
          <w:tab w:val="left" w:pos="1406"/>
        </w:tabs>
      </w:pPr>
      <w:r>
        <w:rPr>
          <w:b/>
          <w:bCs/>
        </w:rPr>
        <w:t>Klientem:</w:t>
      </w:r>
      <w:r>
        <w:rPr>
          <w:b/>
          <w:bCs/>
        </w:rPr>
        <w:tab/>
        <w:t>Domov pro seniory „SKALKA“ v Chebu</w:t>
      </w:r>
    </w:p>
    <w:p w:rsidR="00BD0D1E" w:rsidRDefault="00FA01DA">
      <w:pPr>
        <w:pStyle w:val="Zkladntext1"/>
        <w:framePr w:w="10546" w:h="15230" w:hRule="exact" w:wrap="none" w:vAnchor="page" w:hAnchor="page" w:x="615" w:y="644"/>
        <w:shd w:val="clear" w:color="auto" w:fill="auto"/>
        <w:ind w:left="1420"/>
      </w:pPr>
      <w:r>
        <w:rPr>
          <w:b/>
          <w:bCs/>
        </w:rPr>
        <w:t>příspěvková organizace</w:t>
      </w:r>
    </w:p>
    <w:p w:rsidR="00BD0D1E" w:rsidRDefault="00FA01DA">
      <w:pPr>
        <w:pStyle w:val="Zkladntext1"/>
        <w:framePr w:w="10546" w:h="15230" w:hRule="exact" w:wrap="none" w:vAnchor="page" w:hAnchor="page" w:x="615" w:y="644"/>
        <w:shd w:val="clear" w:color="auto" w:fill="auto"/>
        <w:ind w:left="1420"/>
      </w:pPr>
      <w:r>
        <w:rPr>
          <w:b/>
          <w:bCs/>
        </w:rPr>
        <w:t>zastoupena ředitelkou Mgr. Alenou Samuelovou</w:t>
      </w:r>
    </w:p>
    <w:p w:rsidR="00BD0D1E" w:rsidRDefault="00FA01DA">
      <w:pPr>
        <w:pStyle w:val="Zkladntext1"/>
        <w:framePr w:w="10546" w:h="15230" w:hRule="exact" w:wrap="none" w:vAnchor="page" w:hAnchor="page" w:x="615" w:y="644"/>
        <w:shd w:val="clear" w:color="auto" w:fill="auto"/>
        <w:tabs>
          <w:tab w:val="left" w:pos="2834"/>
        </w:tabs>
        <w:ind w:left="1420"/>
      </w:pPr>
      <w:r>
        <w:t>Se sídlem:</w:t>
      </w:r>
      <w:r>
        <w:tab/>
      </w:r>
      <w:r>
        <w:rPr>
          <w:b/>
          <w:bCs/>
        </w:rPr>
        <w:t>Americká 52,350 02 Cheb</w:t>
      </w:r>
    </w:p>
    <w:p w:rsidR="00BD0D1E" w:rsidRDefault="00FA01DA">
      <w:pPr>
        <w:pStyle w:val="Zkladntext1"/>
        <w:framePr w:w="10546" w:h="15230" w:hRule="exact" w:wrap="none" w:vAnchor="page" w:hAnchor="page" w:x="615" w:y="644"/>
        <w:shd w:val="clear" w:color="auto" w:fill="auto"/>
        <w:ind w:left="1420"/>
      </w:pPr>
      <w:r>
        <w:rPr>
          <w:b/>
          <w:bCs/>
        </w:rPr>
        <w:t>IČO: 71175245</w:t>
      </w:r>
    </w:p>
    <w:p w:rsidR="00BD0D1E" w:rsidRDefault="00FA01DA">
      <w:pPr>
        <w:pStyle w:val="Zkladntext1"/>
        <w:framePr w:w="10546" w:h="15230" w:hRule="exact" w:wrap="none" w:vAnchor="page" w:hAnchor="page" w:x="615" w:y="644"/>
        <w:shd w:val="clear" w:color="auto" w:fill="auto"/>
        <w:ind w:left="1420"/>
      </w:pPr>
      <w:r>
        <w:rPr>
          <w:b/>
          <w:bCs/>
        </w:rPr>
        <w:t>DIČ: CZ71175245</w:t>
      </w:r>
    </w:p>
    <w:p w:rsidR="00BD0D1E" w:rsidRDefault="00FA01DA">
      <w:pPr>
        <w:pStyle w:val="Zkladntext1"/>
        <w:framePr w:w="10546" w:h="15230" w:hRule="exact" w:wrap="none" w:vAnchor="page" w:hAnchor="page" w:x="615" w:y="644"/>
        <w:shd w:val="clear" w:color="auto" w:fill="auto"/>
      </w:pPr>
      <w:r>
        <w:t>Dále jen „klient“ na straně druhé</w:t>
      </w:r>
    </w:p>
    <w:p w:rsidR="00BD0D1E" w:rsidRDefault="00FA01DA">
      <w:pPr>
        <w:pStyle w:val="Zkladntext1"/>
        <w:framePr w:w="10546" w:h="15230" w:hRule="exact" w:wrap="none" w:vAnchor="page" w:hAnchor="page" w:x="615" w:y="644"/>
        <w:shd w:val="clear" w:color="auto" w:fill="auto"/>
        <w:jc w:val="center"/>
      </w:pPr>
      <w:r>
        <w:rPr>
          <w:b/>
          <w:bCs/>
        </w:rPr>
        <w:t>I.</w:t>
      </w:r>
    </w:p>
    <w:p w:rsidR="00BD0D1E" w:rsidRDefault="00FA01DA">
      <w:pPr>
        <w:pStyle w:val="Zkladntext1"/>
        <w:framePr w:w="10546" w:h="15230" w:hRule="exact" w:wrap="none" w:vAnchor="page" w:hAnchor="page" w:x="615" w:y="644"/>
        <w:shd w:val="clear" w:color="auto" w:fill="auto"/>
        <w:jc w:val="center"/>
      </w:pPr>
      <w:r>
        <w:rPr>
          <w:b/>
          <w:bCs/>
        </w:rPr>
        <w:t>PŘEDMĚT PLNĚNÍ</w:t>
      </w:r>
    </w:p>
    <w:p w:rsidR="00BD0D1E" w:rsidRDefault="00FA01DA">
      <w:pPr>
        <w:pStyle w:val="Zkladntext1"/>
        <w:framePr w:w="10546" w:h="15230" w:hRule="exact" w:wrap="none" w:vAnchor="page" w:hAnchor="page" w:x="615" w:y="644"/>
        <w:numPr>
          <w:ilvl w:val="0"/>
          <w:numId w:val="1"/>
        </w:numPr>
        <w:shd w:val="clear" w:color="auto" w:fill="auto"/>
        <w:tabs>
          <w:tab w:val="left" w:pos="359"/>
        </w:tabs>
        <w:ind w:left="360" w:hanging="360"/>
      </w:pPr>
      <w:r>
        <w:t>Společnost SCH-EKONOM, s.r.o. je zapsána od 14.02.1996 v obchodním rejstříku vedeném Krajským soudem v Plzni oddíl C, vložka 7431. Je oprávněna podnikat v oboru činnosti účetních, ekonomických a organizačních poradců. Daňové poradenství zajišťuje prostřednictvím smluvně zavázaného daňového poradce zapsaným v Komoře daňových poradců ČR.</w:t>
      </w:r>
    </w:p>
    <w:p w:rsidR="00BD0D1E" w:rsidRDefault="00FA01DA">
      <w:pPr>
        <w:pStyle w:val="Zkladntext1"/>
        <w:framePr w:w="10546" w:h="15230" w:hRule="exact" w:wrap="none" w:vAnchor="page" w:hAnchor="page" w:x="615" w:y="644"/>
        <w:numPr>
          <w:ilvl w:val="0"/>
          <w:numId w:val="1"/>
        </w:numPr>
        <w:shd w:val="clear" w:color="auto" w:fill="auto"/>
        <w:tabs>
          <w:tab w:val="left" w:pos="359"/>
        </w:tabs>
        <w:ind w:left="360" w:hanging="360"/>
      </w:pPr>
      <w:r>
        <w:t>Touto smlouvou firma se zavazuje, že pro klienta bude vést účetnictví, a to včetně přiznávání příslušných daní, k nimž je klient povinný /dále též i jako zpracování dokladů/ související s jeho podnikatelskou činností v rozsahu, termínech a členění podle obecně závazných právních předpisů.</w:t>
      </w:r>
    </w:p>
    <w:p w:rsidR="00BD0D1E" w:rsidRDefault="00FA01DA">
      <w:pPr>
        <w:pStyle w:val="Zkladntext1"/>
        <w:framePr w:w="10546" w:h="15230" w:hRule="exact" w:wrap="none" w:vAnchor="page" w:hAnchor="page" w:x="615" w:y="644"/>
        <w:numPr>
          <w:ilvl w:val="0"/>
          <w:numId w:val="1"/>
        </w:numPr>
        <w:shd w:val="clear" w:color="auto" w:fill="auto"/>
        <w:tabs>
          <w:tab w:val="left" w:pos="359"/>
        </w:tabs>
      </w:pPr>
      <w:r>
        <w:t>Předmětem plnění této smlouvy je dle dohody či požadavku klienta:</w:t>
      </w:r>
    </w:p>
    <w:p w:rsidR="00BD0D1E" w:rsidRDefault="00FA01DA">
      <w:pPr>
        <w:pStyle w:val="Zkladntext1"/>
        <w:framePr w:w="10546" w:h="15230" w:hRule="exact" w:wrap="none" w:vAnchor="page" w:hAnchor="page" w:x="615" w:y="644"/>
        <w:numPr>
          <w:ilvl w:val="0"/>
          <w:numId w:val="2"/>
        </w:numPr>
        <w:shd w:val="clear" w:color="auto" w:fill="auto"/>
        <w:tabs>
          <w:tab w:val="left" w:pos="699"/>
        </w:tabs>
        <w:ind w:firstLine="360"/>
        <w:jc w:val="both"/>
      </w:pPr>
      <w:r>
        <w:rPr>
          <w:u w:val="single"/>
        </w:rPr>
        <w:t>oblasti účetní:</w:t>
      </w:r>
    </w:p>
    <w:p w:rsidR="00BD0D1E" w:rsidRDefault="00FA01DA">
      <w:pPr>
        <w:pStyle w:val="Zkladntext1"/>
        <w:framePr w:w="10546" w:h="15230" w:hRule="exact" w:wrap="none" w:vAnchor="page" w:hAnchor="page" w:x="615" w:y="644"/>
        <w:numPr>
          <w:ilvl w:val="0"/>
          <w:numId w:val="3"/>
        </w:numPr>
        <w:shd w:val="clear" w:color="auto" w:fill="auto"/>
        <w:tabs>
          <w:tab w:val="left" w:pos="675"/>
        </w:tabs>
        <w:ind w:firstLine="360"/>
      </w:pPr>
      <w:r>
        <w:t>zpracování dokladů předaných klientem v listinné a elektronické podobě od 01.07.2019</w:t>
      </w:r>
    </w:p>
    <w:p w:rsidR="00BD0D1E" w:rsidRDefault="00FA01DA">
      <w:pPr>
        <w:pStyle w:val="Zkladntext1"/>
        <w:framePr w:w="10546" w:h="15230" w:hRule="exact" w:wrap="none" w:vAnchor="page" w:hAnchor="page" w:x="615" w:y="644"/>
        <w:numPr>
          <w:ilvl w:val="0"/>
          <w:numId w:val="3"/>
        </w:numPr>
        <w:shd w:val="clear" w:color="auto" w:fill="auto"/>
        <w:tabs>
          <w:tab w:val="left" w:pos="675"/>
        </w:tabs>
        <w:ind w:firstLine="360"/>
      </w:pPr>
      <w:r>
        <w:t>pomoc při vytváření a účtování vnitřních účetních dokladů</w:t>
      </w:r>
    </w:p>
    <w:p w:rsidR="00BD0D1E" w:rsidRDefault="00FA01DA">
      <w:pPr>
        <w:pStyle w:val="Zkladntext1"/>
        <w:framePr w:w="10546" w:h="15230" w:hRule="exact" w:wrap="none" w:vAnchor="page" w:hAnchor="page" w:x="615" w:y="644"/>
        <w:numPr>
          <w:ilvl w:val="0"/>
          <w:numId w:val="2"/>
        </w:numPr>
        <w:shd w:val="clear" w:color="auto" w:fill="auto"/>
        <w:tabs>
          <w:tab w:val="left" w:pos="709"/>
        </w:tabs>
        <w:ind w:firstLine="360"/>
      </w:pPr>
      <w:r>
        <w:rPr>
          <w:u w:val="single"/>
        </w:rPr>
        <w:t>oblasti daní:</w:t>
      </w:r>
    </w:p>
    <w:p w:rsidR="00BD0D1E" w:rsidRDefault="00FA01DA">
      <w:pPr>
        <w:pStyle w:val="Zkladntext1"/>
        <w:framePr w:w="10546" w:h="15230" w:hRule="exact" w:wrap="none" w:vAnchor="page" w:hAnchor="page" w:x="615" w:y="644"/>
        <w:numPr>
          <w:ilvl w:val="0"/>
          <w:numId w:val="3"/>
        </w:numPr>
        <w:shd w:val="clear" w:color="auto" w:fill="auto"/>
        <w:tabs>
          <w:tab w:val="left" w:pos="675"/>
        </w:tabs>
        <w:ind w:firstLine="360"/>
      </w:pPr>
      <w:r>
        <w:t xml:space="preserve">kontrola sestav, vzájemné odsouhlasení a příprava k odeslání do </w:t>
      </w:r>
      <w:proofErr w:type="spellStart"/>
      <w:r>
        <w:t>WinPed</w:t>
      </w:r>
      <w:proofErr w:type="spellEnd"/>
    </w:p>
    <w:p w:rsidR="00BD0D1E" w:rsidRDefault="00FA01DA">
      <w:pPr>
        <w:pStyle w:val="Zkladntext1"/>
        <w:framePr w:w="10546" w:h="15230" w:hRule="exact" w:wrap="none" w:vAnchor="page" w:hAnchor="page" w:x="615" w:y="644"/>
        <w:shd w:val="clear" w:color="auto" w:fill="auto"/>
        <w:ind w:firstLine="360"/>
        <w:jc w:val="both"/>
      </w:pPr>
      <w:r>
        <w:t>Ostatní</w:t>
      </w:r>
    </w:p>
    <w:p w:rsidR="00BD0D1E" w:rsidRDefault="00FA01DA">
      <w:pPr>
        <w:pStyle w:val="Zkladntext1"/>
        <w:framePr w:w="10546" w:h="15230" w:hRule="exact" w:wrap="none" w:vAnchor="page" w:hAnchor="page" w:x="615" w:y="644"/>
        <w:numPr>
          <w:ilvl w:val="0"/>
          <w:numId w:val="3"/>
        </w:numPr>
        <w:shd w:val="clear" w:color="auto" w:fill="auto"/>
        <w:tabs>
          <w:tab w:val="left" w:pos="675"/>
        </w:tabs>
        <w:ind w:firstLine="360"/>
      </w:pPr>
      <w:r>
        <w:t>kontrola čtvrtletních výkazů, případné opravy z hlediska zpětné vazby z CSÚIS (čtvrtletně)</w:t>
      </w:r>
    </w:p>
    <w:p w:rsidR="00BD0D1E" w:rsidRDefault="00FA01DA">
      <w:pPr>
        <w:pStyle w:val="Zkladntext1"/>
        <w:framePr w:w="10546" w:h="15230" w:hRule="exact" w:wrap="none" w:vAnchor="page" w:hAnchor="page" w:x="615" w:y="644"/>
        <w:numPr>
          <w:ilvl w:val="0"/>
          <w:numId w:val="3"/>
        </w:numPr>
        <w:shd w:val="clear" w:color="auto" w:fill="auto"/>
        <w:tabs>
          <w:tab w:val="left" w:pos="675"/>
        </w:tabs>
        <w:ind w:firstLine="360"/>
      </w:pPr>
      <w:r>
        <w:t>Tvorba rozpočtových analýz</w:t>
      </w:r>
    </w:p>
    <w:p w:rsidR="00BD0D1E" w:rsidRDefault="00FA01DA">
      <w:pPr>
        <w:pStyle w:val="Zkladntext1"/>
        <w:framePr w:w="10546" w:h="15230" w:hRule="exact" w:wrap="none" w:vAnchor="page" w:hAnchor="page" w:x="615" w:y="644"/>
        <w:shd w:val="clear" w:color="auto" w:fill="auto"/>
        <w:jc w:val="center"/>
      </w:pPr>
      <w:r>
        <w:rPr>
          <w:b/>
          <w:bCs/>
        </w:rPr>
        <w:t>II.</w:t>
      </w:r>
    </w:p>
    <w:p w:rsidR="00BD0D1E" w:rsidRDefault="00FA01DA">
      <w:pPr>
        <w:pStyle w:val="Zkladntext1"/>
        <w:framePr w:w="10546" w:h="15230" w:hRule="exact" w:wrap="none" w:vAnchor="page" w:hAnchor="page" w:x="615" w:y="644"/>
        <w:shd w:val="clear" w:color="auto" w:fill="auto"/>
        <w:spacing w:after="240"/>
        <w:jc w:val="center"/>
      </w:pPr>
      <w:r>
        <w:rPr>
          <w:b/>
          <w:bCs/>
        </w:rPr>
        <w:t>ODPOVĚDNOST A TERMÍNY PLNĚNÍ</w:t>
      </w:r>
    </w:p>
    <w:p w:rsidR="00BD0D1E" w:rsidRDefault="00FA01DA">
      <w:pPr>
        <w:pStyle w:val="Zkladntext1"/>
        <w:framePr w:w="10546" w:h="15230" w:hRule="exact" w:wrap="none" w:vAnchor="page" w:hAnchor="page" w:x="615" w:y="644"/>
        <w:shd w:val="clear" w:color="auto" w:fill="auto"/>
      </w:pPr>
      <w:r>
        <w:rPr>
          <w:b/>
          <w:bCs/>
          <w:u w:val="single"/>
        </w:rPr>
        <w:t>Klient se zavazuje a odpovídá za to, že bude:</w:t>
      </w:r>
    </w:p>
    <w:p w:rsidR="00BD0D1E" w:rsidRDefault="00FA01DA">
      <w:pPr>
        <w:pStyle w:val="Zkladntext1"/>
        <w:framePr w:w="10546" w:h="15230" w:hRule="exact" w:wrap="none" w:vAnchor="page" w:hAnchor="page" w:x="615" w:y="644"/>
        <w:numPr>
          <w:ilvl w:val="0"/>
          <w:numId w:val="4"/>
        </w:numPr>
        <w:shd w:val="clear" w:color="auto" w:fill="auto"/>
        <w:tabs>
          <w:tab w:val="left" w:pos="359"/>
        </w:tabs>
        <w:ind w:left="360" w:hanging="360"/>
        <w:jc w:val="both"/>
      </w:pPr>
      <w:r>
        <w:t>Předávat firmě úplné a pravdivé informace potřebné pro správné účtování, zpracování podkladů pro mzdy, hlášení či daňová přiznání v dohodnutém termínu tak, aby firma byla schopna údaje zpracovat a předat výsledky v termínech stanovených příslušným zákonem či dohodnutých s klientem.</w:t>
      </w:r>
    </w:p>
    <w:p w:rsidR="00BD0D1E" w:rsidRDefault="00FA01DA">
      <w:pPr>
        <w:pStyle w:val="Zkladntext1"/>
        <w:framePr w:w="10546" w:h="15230" w:hRule="exact" w:wrap="none" w:vAnchor="page" w:hAnchor="page" w:x="615" w:y="644"/>
        <w:numPr>
          <w:ilvl w:val="0"/>
          <w:numId w:val="4"/>
        </w:numPr>
        <w:shd w:val="clear" w:color="auto" w:fill="auto"/>
        <w:tabs>
          <w:tab w:val="left" w:pos="359"/>
        </w:tabs>
        <w:ind w:left="360" w:hanging="360"/>
        <w:jc w:val="both"/>
      </w:pPr>
      <w:r>
        <w:t>Neprodleně oznamovat firmě změny podléhající oznamovací povinnosti institucím, nebo 'mající vliv na správné zaúčtování či vedení příslušných evidencí</w:t>
      </w:r>
    </w:p>
    <w:p w:rsidR="00BD0D1E" w:rsidRDefault="00FA01DA">
      <w:pPr>
        <w:pStyle w:val="Zkladntext1"/>
        <w:framePr w:w="10546" w:h="15230" w:hRule="exact" w:wrap="none" w:vAnchor="page" w:hAnchor="page" w:x="615" w:y="644"/>
        <w:numPr>
          <w:ilvl w:val="0"/>
          <w:numId w:val="4"/>
        </w:numPr>
        <w:shd w:val="clear" w:color="auto" w:fill="auto"/>
        <w:tabs>
          <w:tab w:val="left" w:pos="359"/>
        </w:tabs>
        <w:spacing w:after="240"/>
        <w:ind w:left="360" w:hanging="360"/>
        <w:jc w:val="both"/>
      </w:pPr>
      <w:r>
        <w:t>Předávat firmě včas kompletní prvotní doklady (v originále) včetně smluv (kopie) a povinných evidencí zpracovaných klientem v rozsahu a způsobem stanoveným ve vnitřní směrnici pro oběh účetních dokladů tak, aby předané doklady či podklady byly úplné, schopné k okamžitému zpracování bez potřeby jejich dodatečného opravování či doplňování.</w:t>
      </w:r>
    </w:p>
    <w:p w:rsidR="00BD0D1E" w:rsidRDefault="00FA01DA">
      <w:pPr>
        <w:pStyle w:val="Zkladntext1"/>
        <w:framePr w:w="10546" w:h="15230" w:hRule="exact" w:wrap="none" w:vAnchor="page" w:hAnchor="page" w:x="615" w:y="644"/>
        <w:shd w:val="clear" w:color="auto" w:fill="auto"/>
      </w:pPr>
      <w:r>
        <w:rPr>
          <w:b/>
          <w:bCs/>
          <w:u w:val="single"/>
        </w:rPr>
        <w:t>Firma se zavazuje a odpovídá za to, že:</w:t>
      </w:r>
    </w:p>
    <w:p w:rsidR="00BD0D1E" w:rsidRDefault="00FA01DA">
      <w:pPr>
        <w:pStyle w:val="Zkladntext1"/>
        <w:framePr w:w="10546" w:h="15230" w:hRule="exact" w:wrap="none" w:vAnchor="page" w:hAnchor="page" w:x="615" w:y="644"/>
        <w:numPr>
          <w:ilvl w:val="0"/>
          <w:numId w:val="5"/>
        </w:numPr>
        <w:shd w:val="clear" w:color="auto" w:fill="auto"/>
        <w:tabs>
          <w:tab w:val="left" w:pos="359"/>
        </w:tabs>
        <w:ind w:left="360" w:hanging="360"/>
        <w:jc w:val="both"/>
      </w:pPr>
      <w:r>
        <w:t>Prokazatelně seznámí klienta s rozsahem jeho základních povinností uložených všemi zákony týkající se předmětu plnění smlouvy.</w:t>
      </w:r>
    </w:p>
    <w:p w:rsidR="00BD0D1E" w:rsidRDefault="00FA01DA">
      <w:pPr>
        <w:pStyle w:val="Zkladntext1"/>
        <w:framePr w:w="10546" w:h="15230" w:hRule="exact" w:wrap="none" w:vAnchor="page" w:hAnchor="page" w:x="615" w:y="644"/>
        <w:numPr>
          <w:ilvl w:val="0"/>
          <w:numId w:val="5"/>
        </w:numPr>
        <w:shd w:val="clear" w:color="auto" w:fill="auto"/>
        <w:tabs>
          <w:tab w:val="left" w:pos="359"/>
        </w:tabs>
        <w:ind w:left="360" w:hanging="360"/>
        <w:jc w:val="both"/>
      </w:pPr>
      <w:r>
        <w:t>Při zpracovávání dokladů převzatých od klienta provede jejich kontrolu z hlediska úplnosti a formální správnosti. Při zjištění neúplnosti, vady či nedostatku, toto zjištění neprodleně a prokazatelně klientovi oznámí a současně jej</w:t>
      </w:r>
    </w:p>
    <w:p w:rsidR="00BD0D1E" w:rsidRDefault="00BD0D1E">
      <w:pPr>
        <w:spacing w:line="1" w:lineRule="exact"/>
        <w:sectPr w:rsidR="00BD0D1E">
          <w:pgSz w:w="11900" w:h="16840"/>
          <w:pgMar w:top="360" w:right="360" w:bottom="360" w:left="360" w:header="0" w:footer="3" w:gutter="0"/>
          <w:cols w:space="720"/>
          <w:noEndnote/>
          <w:docGrid w:linePitch="360"/>
        </w:sectPr>
      </w:pPr>
    </w:p>
    <w:p w:rsidR="00BD0D1E" w:rsidRDefault="00BD0D1E">
      <w:pPr>
        <w:spacing w:line="1" w:lineRule="exact"/>
      </w:pPr>
    </w:p>
    <w:p w:rsidR="00BD0D1E" w:rsidRDefault="00FA01DA">
      <w:pPr>
        <w:pStyle w:val="Zkladntext1"/>
        <w:framePr w:w="10582" w:h="5033" w:hRule="exact" w:wrap="none" w:vAnchor="page" w:hAnchor="page" w:x="597" w:y="581"/>
        <w:shd w:val="clear" w:color="auto" w:fill="auto"/>
        <w:ind w:left="360" w:firstLine="20"/>
        <w:jc w:val="both"/>
      </w:pPr>
      <w:r>
        <w:t>vyzve k součinnosti k jejich doplnění či odstranění tak, aby následně při kontrole nebyly příčinou pro doměření daně či vyměření sankčního postihu.</w:t>
      </w:r>
    </w:p>
    <w:p w:rsidR="00BD0D1E" w:rsidRDefault="00FA01DA">
      <w:pPr>
        <w:pStyle w:val="Zkladntext1"/>
        <w:framePr w:w="10582" w:h="5033" w:hRule="exact" w:wrap="none" w:vAnchor="page" w:hAnchor="page" w:x="597" w:y="581"/>
        <w:numPr>
          <w:ilvl w:val="0"/>
          <w:numId w:val="5"/>
        </w:numPr>
        <w:shd w:val="clear" w:color="auto" w:fill="auto"/>
        <w:tabs>
          <w:tab w:val="left" w:pos="365"/>
        </w:tabs>
        <w:ind w:left="400" w:hanging="400"/>
        <w:jc w:val="both"/>
      </w:pPr>
      <w:r>
        <w:t>Zajistí zpracování převzatých dokladů od klienta v souladu splatnými předpisy a normami v dohodnutých termínech s klientem či stanovených příslušným zákonem.</w:t>
      </w:r>
    </w:p>
    <w:p w:rsidR="00BD0D1E" w:rsidRDefault="00FA01DA">
      <w:pPr>
        <w:pStyle w:val="Zkladntext1"/>
        <w:framePr w:w="10582" w:h="5033" w:hRule="exact" w:wrap="none" w:vAnchor="page" w:hAnchor="page" w:x="597" w:y="581"/>
        <w:numPr>
          <w:ilvl w:val="0"/>
          <w:numId w:val="5"/>
        </w:numPr>
        <w:shd w:val="clear" w:color="auto" w:fill="auto"/>
        <w:tabs>
          <w:tab w:val="left" w:pos="365"/>
        </w:tabs>
        <w:ind w:left="400" w:hanging="400"/>
        <w:jc w:val="both"/>
      </w:pPr>
      <w:r>
        <w:t>Na základě požadavku klienta a jím podaných informací, zpracuje návrh zákonem stanovených vnitřních směrnic a pokynů.</w:t>
      </w:r>
    </w:p>
    <w:p w:rsidR="00BD0D1E" w:rsidRDefault="00FA01DA">
      <w:pPr>
        <w:pStyle w:val="Zkladntext1"/>
        <w:framePr w:w="10582" w:h="5033" w:hRule="exact" w:wrap="none" w:vAnchor="page" w:hAnchor="page" w:x="597" w:y="581"/>
        <w:numPr>
          <w:ilvl w:val="0"/>
          <w:numId w:val="5"/>
        </w:numPr>
        <w:shd w:val="clear" w:color="auto" w:fill="auto"/>
        <w:tabs>
          <w:tab w:val="left" w:pos="365"/>
        </w:tabs>
        <w:ind w:left="400" w:hanging="400"/>
        <w:jc w:val="both"/>
      </w:pPr>
      <w:r>
        <w:t>Firma odpovídá za vady a nedostatky vzniklé na základě předaných nepravdivých, neúplných, nepřesných údajů, informací a dokladů ze strany klienta. Dále za nesplnění povinností v dohodnutých či zákonem stanovených termínech v případech, že klient včas neodstranil vady a nedostatky na něž byl poradenskou firmou prokazatelným způsobem upozorněn, vznikly jeho nečinností či zaviněním, nepřevzal nebo nepodal zpracované podklady.</w:t>
      </w:r>
    </w:p>
    <w:p w:rsidR="00BD0D1E" w:rsidRDefault="00FA01DA">
      <w:pPr>
        <w:pStyle w:val="Zkladntext1"/>
        <w:framePr w:w="10582" w:h="5033" w:hRule="exact" w:wrap="none" w:vAnchor="page" w:hAnchor="page" w:x="597" w:y="581"/>
        <w:numPr>
          <w:ilvl w:val="0"/>
          <w:numId w:val="5"/>
        </w:numPr>
        <w:shd w:val="clear" w:color="auto" w:fill="auto"/>
        <w:tabs>
          <w:tab w:val="left" w:pos="365"/>
        </w:tabs>
        <w:ind w:left="400" w:hanging="400"/>
        <w:jc w:val="both"/>
      </w:pPr>
      <w:r>
        <w:t>Firma neodpovídá za sankce vzniklé opožděním platby odvodových povinností, které klientovi včas a prokazatelným způsobem oznámila nebo mu předala včas platební příkazy.</w:t>
      </w:r>
    </w:p>
    <w:p w:rsidR="00BD0D1E" w:rsidRDefault="00FA01DA">
      <w:pPr>
        <w:pStyle w:val="Zkladntext1"/>
        <w:framePr w:w="10582" w:h="5033" w:hRule="exact" w:wrap="none" w:vAnchor="page" w:hAnchor="page" w:x="597" w:y="581"/>
        <w:numPr>
          <w:ilvl w:val="0"/>
          <w:numId w:val="5"/>
        </w:numPr>
        <w:shd w:val="clear" w:color="auto" w:fill="auto"/>
        <w:tabs>
          <w:tab w:val="left" w:pos="365"/>
        </w:tabs>
        <w:spacing w:after="260"/>
        <w:ind w:left="400" w:hanging="400"/>
        <w:jc w:val="both"/>
      </w:pPr>
      <w:r>
        <w:t>Smluvní strany se dohodly, že za prokazatelný způsob oznámení se rozumí písemná informace poskytnutá jednou se smluvních stran k druhé straně učiněná v listinné podobě či mailovou komunikací, přičemž smluvní strany se dohodly že pro tuto komunikaci využijí poštovní či mailové adresy uvedené v záhlaví této smlouvy. Případně jiné adresy, která bude k tomuto účelu používána.</w:t>
      </w:r>
    </w:p>
    <w:p w:rsidR="00BD0D1E" w:rsidRDefault="00FA01DA">
      <w:pPr>
        <w:pStyle w:val="Zkladntext1"/>
        <w:framePr w:w="10582" w:h="5033" w:hRule="exact" w:wrap="none" w:vAnchor="page" w:hAnchor="page" w:x="597" w:y="581"/>
        <w:shd w:val="clear" w:color="auto" w:fill="auto"/>
        <w:jc w:val="center"/>
      </w:pPr>
      <w:r>
        <w:rPr>
          <w:b/>
          <w:bCs/>
        </w:rPr>
        <w:t>III.</w:t>
      </w:r>
    </w:p>
    <w:p w:rsidR="00BD0D1E" w:rsidRDefault="00FA01DA">
      <w:pPr>
        <w:pStyle w:val="Zkladntext1"/>
        <w:framePr w:w="10582" w:h="5033" w:hRule="exact" w:wrap="none" w:vAnchor="page" w:hAnchor="page" w:x="597" w:y="581"/>
        <w:shd w:val="clear" w:color="auto" w:fill="auto"/>
        <w:jc w:val="center"/>
      </w:pPr>
      <w:r>
        <w:rPr>
          <w:b/>
          <w:bCs/>
        </w:rPr>
        <w:t>CENY A FAKTURACE</w:t>
      </w:r>
    </w:p>
    <w:p w:rsidR="00BD0D1E" w:rsidRDefault="00FA01DA">
      <w:pPr>
        <w:pStyle w:val="Titulektabulky0"/>
        <w:framePr w:w="10507" w:h="235" w:hRule="exact" w:wrap="none" w:vAnchor="page" w:hAnchor="page" w:x="626" w:y="5962"/>
        <w:shd w:val="clear" w:color="auto" w:fill="auto"/>
        <w:ind w:left="9" w:right="10"/>
      </w:pPr>
      <w:r>
        <w:t>1. Obě strany se dohodly na cenách následovně:</w:t>
      </w:r>
    </w:p>
    <w:tbl>
      <w:tblPr>
        <w:tblOverlap w:val="never"/>
        <w:tblW w:w="0" w:type="auto"/>
        <w:tblLayout w:type="fixed"/>
        <w:tblCellMar>
          <w:left w:w="10" w:type="dxa"/>
          <w:right w:w="10" w:type="dxa"/>
        </w:tblCellMar>
        <w:tblLook w:val="04A0" w:firstRow="1" w:lastRow="0" w:firstColumn="1" w:lastColumn="0" w:noHBand="0" w:noVBand="1"/>
      </w:tblPr>
      <w:tblGrid>
        <w:gridCol w:w="6408"/>
        <w:gridCol w:w="3528"/>
      </w:tblGrid>
      <w:tr w:rsidR="00BD0D1E">
        <w:trPr>
          <w:trHeight w:hRule="exact" w:val="768"/>
        </w:trPr>
        <w:tc>
          <w:tcPr>
            <w:tcW w:w="6408" w:type="dxa"/>
            <w:tcBorders>
              <w:top w:val="single" w:sz="4" w:space="0" w:color="auto"/>
              <w:left w:val="single" w:sz="4" w:space="0" w:color="auto"/>
            </w:tcBorders>
            <w:shd w:val="clear" w:color="auto" w:fill="FFFFFF"/>
          </w:tcPr>
          <w:p w:rsidR="00BD0D1E" w:rsidRDefault="00FA01DA">
            <w:pPr>
              <w:pStyle w:val="Jin0"/>
              <w:framePr w:w="9936" w:h="2098" w:wrap="none" w:vAnchor="page" w:hAnchor="page" w:x="1029" w:y="6188"/>
              <w:shd w:val="clear" w:color="auto" w:fill="auto"/>
              <w:spacing w:after="120"/>
              <w:rPr>
                <w:sz w:val="20"/>
                <w:szCs w:val="20"/>
              </w:rPr>
            </w:pPr>
            <w:r>
              <w:rPr>
                <w:rFonts w:ascii="Arial" w:eastAsia="Arial" w:hAnsi="Arial" w:cs="Arial"/>
                <w:sz w:val="20"/>
                <w:szCs w:val="20"/>
              </w:rPr>
              <w:t>Pomoc při vytváření a účtování vnitřních účetních dokladů</w:t>
            </w:r>
          </w:p>
          <w:p w:rsidR="00BD0D1E" w:rsidRDefault="00FA01DA">
            <w:pPr>
              <w:pStyle w:val="Jin0"/>
              <w:framePr w:w="9936" w:h="2098" w:wrap="none" w:vAnchor="page" w:hAnchor="page" w:x="1029" w:y="6188"/>
              <w:shd w:val="clear" w:color="auto" w:fill="auto"/>
              <w:rPr>
                <w:sz w:val="13"/>
                <w:szCs w:val="13"/>
              </w:rPr>
            </w:pPr>
            <w:r>
              <w:rPr>
                <w:rFonts w:ascii="Arial" w:eastAsia="Arial" w:hAnsi="Arial" w:cs="Arial"/>
                <w:sz w:val="13"/>
                <w:szCs w:val="13"/>
              </w:rPr>
              <w:t>PHM, dotace Karl. Kraje (provát, udržitelnost</w:t>
            </w:r>
            <w:proofErr w:type="gramStart"/>
            <w:r>
              <w:rPr>
                <w:rFonts w:ascii="Arial" w:eastAsia="Arial" w:hAnsi="Arial" w:cs="Arial"/>
                <w:sz w:val="13"/>
                <w:szCs w:val="13"/>
              </w:rPr>
              <w:t>),,</w:t>
            </w:r>
            <w:proofErr w:type="gramEnd"/>
            <w:r>
              <w:rPr>
                <w:rFonts w:ascii="Arial" w:eastAsia="Arial" w:hAnsi="Arial" w:cs="Arial"/>
                <w:sz w:val="13"/>
                <w:szCs w:val="13"/>
              </w:rPr>
              <w:t xml:space="preserve"> opravné položky —</w:t>
            </w:r>
          </w:p>
        </w:tc>
        <w:tc>
          <w:tcPr>
            <w:tcW w:w="3528" w:type="dxa"/>
            <w:tcBorders>
              <w:top w:val="single" w:sz="4" w:space="0" w:color="auto"/>
              <w:left w:val="single" w:sz="4" w:space="0" w:color="auto"/>
              <w:right w:val="single" w:sz="4" w:space="0" w:color="auto"/>
            </w:tcBorders>
            <w:shd w:val="clear" w:color="auto" w:fill="FFFFFF"/>
          </w:tcPr>
          <w:p w:rsidR="00BD0D1E" w:rsidRDefault="00FA01DA">
            <w:pPr>
              <w:pStyle w:val="Jin0"/>
              <w:framePr w:w="9936" w:h="2098" w:wrap="none" w:vAnchor="page" w:hAnchor="page" w:x="1029" w:y="6188"/>
              <w:shd w:val="clear" w:color="auto" w:fill="auto"/>
              <w:jc w:val="center"/>
              <w:rPr>
                <w:sz w:val="19"/>
                <w:szCs w:val="19"/>
              </w:rPr>
            </w:pPr>
            <w:r>
              <w:rPr>
                <w:rFonts w:ascii="Arial" w:eastAsia="Arial" w:hAnsi="Arial" w:cs="Arial"/>
                <w:b/>
                <w:bCs/>
                <w:sz w:val="19"/>
                <w:szCs w:val="19"/>
              </w:rPr>
              <w:t>11 500,00 Kč</w:t>
            </w:r>
          </w:p>
        </w:tc>
      </w:tr>
      <w:tr w:rsidR="00BD0D1E">
        <w:trPr>
          <w:trHeight w:hRule="exact" w:val="725"/>
        </w:trPr>
        <w:tc>
          <w:tcPr>
            <w:tcW w:w="6408" w:type="dxa"/>
            <w:tcBorders>
              <w:left w:val="single" w:sz="4" w:space="0" w:color="auto"/>
            </w:tcBorders>
            <w:shd w:val="clear" w:color="auto" w:fill="FFFFFF"/>
            <w:vAlign w:val="center"/>
          </w:tcPr>
          <w:p w:rsidR="00BD0D1E" w:rsidRDefault="00FA01DA">
            <w:pPr>
              <w:pStyle w:val="Jin0"/>
              <w:framePr w:w="9936" w:h="2098" w:wrap="none" w:vAnchor="page" w:hAnchor="page" w:x="1029" w:y="6188"/>
              <w:shd w:val="clear" w:color="auto" w:fill="auto"/>
              <w:rPr>
                <w:sz w:val="20"/>
                <w:szCs w:val="20"/>
              </w:rPr>
            </w:pPr>
            <w:r>
              <w:rPr>
                <w:rFonts w:ascii="Arial" w:eastAsia="Arial" w:hAnsi="Arial" w:cs="Arial"/>
                <w:sz w:val="20"/>
                <w:szCs w:val="20"/>
              </w:rPr>
              <w:t xml:space="preserve">Kontrola sestav, vzájemné </w:t>
            </w:r>
            <w:proofErr w:type="spellStart"/>
            <w:r>
              <w:rPr>
                <w:rFonts w:ascii="Arial" w:eastAsia="Arial" w:hAnsi="Arial" w:cs="Arial"/>
                <w:sz w:val="20"/>
                <w:szCs w:val="20"/>
              </w:rPr>
              <w:t>odslouhlasení</w:t>
            </w:r>
            <w:proofErr w:type="spellEnd"/>
            <w:r>
              <w:rPr>
                <w:rFonts w:ascii="Arial" w:eastAsia="Arial" w:hAnsi="Arial" w:cs="Arial"/>
                <w:sz w:val="20"/>
                <w:szCs w:val="20"/>
              </w:rPr>
              <w:t xml:space="preserve"> </w:t>
            </w:r>
            <w:r>
              <w:rPr>
                <w:rFonts w:ascii="Arial" w:eastAsia="Arial" w:hAnsi="Arial" w:cs="Arial"/>
                <w:i/>
                <w:iCs/>
                <w:sz w:val="20"/>
                <w:szCs w:val="20"/>
              </w:rPr>
              <w:t>a</w:t>
            </w:r>
            <w:r>
              <w:rPr>
                <w:rFonts w:ascii="Arial" w:eastAsia="Arial" w:hAnsi="Arial" w:cs="Arial"/>
                <w:sz w:val="20"/>
                <w:szCs w:val="20"/>
              </w:rPr>
              <w:t xml:space="preserve"> příprava k odeslání</w:t>
            </w:r>
          </w:p>
        </w:tc>
        <w:tc>
          <w:tcPr>
            <w:tcW w:w="3528" w:type="dxa"/>
            <w:tcBorders>
              <w:left w:val="single" w:sz="4" w:space="0" w:color="auto"/>
              <w:right w:val="single" w:sz="4" w:space="0" w:color="auto"/>
            </w:tcBorders>
            <w:shd w:val="clear" w:color="auto" w:fill="FFFFFF"/>
            <w:vAlign w:val="center"/>
          </w:tcPr>
          <w:p w:rsidR="00BD0D1E" w:rsidRDefault="00FA01DA">
            <w:pPr>
              <w:pStyle w:val="Jin0"/>
              <w:framePr w:w="9936" w:h="2098" w:wrap="none" w:vAnchor="page" w:hAnchor="page" w:x="1029" w:y="6188"/>
              <w:shd w:val="clear" w:color="auto" w:fill="auto"/>
              <w:jc w:val="center"/>
              <w:rPr>
                <w:sz w:val="19"/>
                <w:szCs w:val="19"/>
              </w:rPr>
            </w:pPr>
            <w:r>
              <w:rPr>
                <w:rFonts w:ascii="Arial" w:eastAsia="Arial" w:hAnsi="Arial" w:cs="Arial"/>
                <w:b/>
                <w:bCs/>
                <w:sz w:val="19"/>
                <w:szCs w:val="19"/>
              </w:rPr>
              <w:t>13 500,00 KČ</w:t>
            </w:r>
          </w:p>
        </w:tc>
      </w:tr>
      <w:tr w:rsidR="00BD0D1E">
        <w:trPr>
          <w:trHeight w:hRule="exact" w:val="605"/>
        </w:trPr>
        <w:tc>
          <w:tcPr>
            <w:tcW w:w="6408" w:type="dxa"/>
            <w:tcBorders>
              <w:left w:val="single" w:sz="4" w:space="0" w:color="auto"/>
              <w:bottom w:val="single" w:sz="4" w:space="0" w:color="auto"/>
            </w:tcBorders>
            <w:shd w:val="clear" w:color="auto" w:fill="FFFFFF"/>
            <w:vAlign w:val="bottom"/>
          </w:tcPr>
          <w:p w:rsidR="00BD0D1E" w:rsidRDefault="00FA01DA">
            <w:pPr>
              <w:pStyle w:val="Jin0"/>
              <w:framePr w:w="9936" w:h="2098" w:wrap="none" w:vAnchor="page" w:hAnchor="page" w:x="1029" w:y="6188"/>
              <w:shd w:val="clear" w:color="auto" w:fill="auto"/>
              <w:rPr>
                <w:sz w:val="20"/>
                <w:szCs w:val="20"/>
              </w:rPr>
            </w:pPr>
            <w:r>
              <w:rPr>
                <w:rFonts w:ascii="Arial" w:eastAsia="Arial" w:hAnsi="Arial" w:cs="Arial"/>
                <w:sz w:val="20"/>
                <w:szCs w:val="20"/>
              </w:rPr>
              <w:t>Tvorba rozpočtových analýz</w:t>
            </w:r>
          </w:p>
        </w:tc>
        <w:tc>
          <w:tcPr>
            <w:tcW w:w="3528" w:type="dxa"/>
            <w:tcBorders>
              <w:left w:val="single" w:sz="4" w:space="0" w:color="auto"/>
              <w:bottom w:val="single" w:sz="4" w:space="0" w:color="auto"/>
              <w:right w:val="single" w:sz="4" w:space="0" w:color="auto"/>
            </w:tcBorders>
            <w:shd w:val="clear" w:color="auto" w:fill="FFFFFF"/>
            <w:vAlign w:val="bottom"/>
          </w:tcPr>
          <w:p w:rsidR="00BD0D1E" w:rsidRDefault="00FA01DA">
            <w:pPr>
              <w:pStyle w:val="Jin0"/>
              <w:framePr w:w="9936" w:h="2098" w:wrap="none" w:vAnchor="page" w:hAnchor="page" w:x="1029" w:y="6188"/>
              <w:shd w:val="clear" w:color="auto" w:fill="auto"/>
              <w:jc w:val="center"/>
              <w:rPr>
                <w:sz w:val="19"/>
                <w:szCs w:val="19"/>
              </w:rPr>
            </w:pPr>
            <w:r>
              <w:rPr>
                <w:rFonts w:ascii="Arial" w:eastAsia="Arial" w:hAnsi="Arial" w:cs="Arial"/>
                <w:b/>
                <w:bCs/>
                <w:sz w:val="19"/>
                <w:szCs w:val="19"/>
              </w:rPr>
              <w:t>5 000,00 Kč</w:t>
            </w:r>
          </w:p>
        </w:tc>
      </w:tr>
    </w:tbl>
    <w:p w:rsidR="00BD0D1E" w:rsidRDefault="00FA01DA">
      <w:pPr>
        <w:pStyle w:val="Zkladntext1"/>
        <w:framePr w:w="10582" w:h="7392" w:hRule="exact" w:wrap="none" w:vAnchor="page" w:hAnchor="page" w:x="597" w:y="8549"/>
        <w:numPr>
          <w:ilvl w:val="0"/>
          <w:numId w:val="6"/>
        </w:numPr>
        <w:shd w:val="clear" w:color="auto" w:fill="auto"/>
        <w:tabs>
          <w:tab w:val="left" w:pos="365"/>
        </w:tabs>
        <w:ind w:left="400" w:hanging="400"/>
        <w:jc w:val="both"/>
      </w:pPr>
      <w:r>
        <w:t>Uvedené ceny mohou být v průběhu platnosti smlouvy v návaznosti na růst inflace upraveny, a to dle míry inflace stanovené CSU. Nárůst ceny o inflaci bude s klientem předem projednán tohoto ustanovení bude použito nejdříve od roku 2020.</w:t>
      </w:r>
    </w:p>
    <w:p w:rsidR="00BD0D1E" w:rsidRDefault="00FA01DA">
      <w:pPr>
        <w:pStyle w:val="Zkladntext1"/>
        <w:framePr w:w="10582" w:h="7392" w:hRule="exact" w:wrap="none" w:vAnchor="page" w:hAnchor="page" w:x="597" w:y="8549"/>
        <w:shd w:val="clear" w:color="auto" w:fill="auto"/>
        <w:ind w:left="400" w:firstLine="20"/>
        <w:jc w:val="both"/>
      </w:pPr>
      <w:r>
        <w:t>Pokud dojde ke změně rozsahu prací, bude kalkulace přepočítána dle sazeb dle přiložené kalkulace. A nová výše ceny odsouhlasena oběma stranami písemně formou dodatku k této smlouvě.</w:t>
      </w:r>
    </w:p>
    <w:p w:rsidR="00BD0D1E" w:rsidRDefault="00FA01DA">
      <w:pPr>
        <w:pStyle w:val="Zkladntext1"/>
        <w:framePr w:w="10582" w:h="7392" w:hRule="exact" w:wrap="none" w:vAnchor="page" w:hAnchor="page" w:x="597" w:y="8549"/>
        <w:numPr>
          <w:ilvl w:val="0"/>
          <w:numId w:val="6"/>
        </w:numPr>
        <w:shd w:val="clear" w:color="auto" w:fill="auto"/>
        <w:tabs>
          <w:tab w:val="left" w:pos="365"/>
        </w:tabs>
        <w:jc w:val="both"/>
      </w:pPr>
      <w:r>
        <w:t>Ke sjednaným cenám bude účtována DPH v platné sazbě.</w:t>
      </w:r>
    </w:p>
    <w:p w:rsidR="00BD0D1E" w:rsidRDefault="00FA01DA">
      <w:pPr>
        <w:pStyle w:val="Zkladntext1"/>
        <w:framePr w:w="10582" w:h="7392" w:hRule="exact" w:wrap="none" w:vAnchor="page" w:hAnchor="page" w:x="597" w:y="8549"/>
        <w:numPr>
          <w:ilvl w:val="0"/>
          <w:numId w:val="6"/>
        </w:numPr>
        <w:shd w:val="clear" w:color="auto" w:fill="auto"/>
        <w:tabs>
          <w:tab w:val="left" w:pos="365"/>
        </w:tabs>
        <w:ind w:left="400" w:hanging="400"/>
        <w:jc w:val="both"/>
      </w:pPr>
      <w:r>
        <w:t xml:space="preserve">Poradenská firma a klient dohodli měsíční zálohu ve výši </w:t>
      </w:r>
      <w:r>
        <w:rPr>
          <w:b/>
          <w:bCs/>
        </w:rPr>
        <w:t xml:space="preserve">0,00 Kč. </w:t>
      </w:r>
      <w:r>
        <w:t>Záloha je splatná do patnáctého dne v měsíci. Přijatá záloha bude zúčtována v nejbližším daňovém dokladu za poskytnuté služby.</w:t>
      </w:r>
    </w:p>
    <w:p w:rsidR="00BD0D1E" w:rsidRDefault="00FA01DA">
      <w:pPr>
        <w:pStyle w:val="Zkladntext1"/>
        <w:framePr w:w="10582" w:h="7392" w:hRule="exact" w:wrap="none" w:vAnchor="page" w:hAnchor="page" w:x="597" w:y="8549"/>
        <w:numPr>
          <w:ilvl w:val="0"/>
          <w:numId w:val="6"/>
        </w:numPr>
        <w:shd w:val="clear" w:color="auto" w:fill="auto"/>
        <w:tabs>
          <w:tab w:val="left" w:pos="365"/>
        </w:tabs>
        <w:ind w:left="400" w:hanging="400"/>
        <w:jc w:val="both"/>
      </w:pPr>
      <w:r>
        <w:t>Klient se zavazuje zálohu či fakturu uhradit na účet poradenské firmy nebo v hotovosti, nejpozději do dne splatnosti, přičemž smluvní strany sjednávají l0denní splatnost těchto dokladů. Za den úhrady je považován den, kdy je připsána příslušná částka na účet poradenské firmy nebo přijata hotovost v pokladně.</w:t>
      </w:r>
    </w:p>
    <w:p w:rsidR="00BD0D1E" w:rsidRDefault="00FA01DA">
      <w:pPr>
        <w:pStyle w:val="Zkladntext1"/>
        <w:framePr w:w="10582" w:h="7392" w:hRule="exact" w:wrap="none" w:vAnchor="page" w:hAnchor="page" w:x="597" w:y="8549"/>
        <w:numPr>
          <w:ilvl w:val="0"/>
          <w:numId w:val="6"/>
        </w:numPr>
        <w:shd w:val="clear" w:color="auto" w:fill="auto"/>
        <w:tabs>
          <w:tab w:val="left" w:pos="365"/>
        </w:tabs>
        <w:jc w:val="both"/>
      </w:pPr>
      <w:r>
        <w:t>V případě prodlení úhrady je sjednána smluvní pokuta ve výši 0,5 % fakturované částky za každý den prodlení.</w:t>
      </w:r>
    </w:p>
    <w:p w:rsidR="00BD0D1E" w:rsidRDefault="00FA01DA">
      <w:pPr>
        <w:pStyle w:val="Zkladntext1"/>
        <w:framePr w:w="10582" w:h="7392" w:hRule="exact" w:wrap="none" w:vAnchor="page" w:hAnchor="page" w:x="597" w:y="8549"/>
        <w:numPr>
          <w:ilvl w:val="0"/>
          <w:numId w:val="6"/>
        </w:numPr>
        <w:shd w:val="clear" w:color="auto" w:fill="auto"/>
        <w:tabs>
          <w:tab w:val="left" w:pos="365"/>
        </w:tabs>
        <w:ind w:left="400" w:hanging="400"/>
        <w:jc w:val="both"/>
      </w:pPr>
      <w:r>
        <w:t>Opakované neplacení nebo prodlení plateb sjednané zálohy, nebo faktur v dohodnuté lhůtě splatnosti, je důvodem k odstoupení poradenské firmy od této smlouvy bez nároku klienta na ukončení rozpracovanosti výkonů. Za opakované neplacení je považováno prodlení tří po sobě jdoucích plateb zálohy i faktury. Prodlení platby přesáhne-li třicet dnů po termínu splatnosti.</w:t>
      </w:r>
    </w:p>
    <w:p w:rsidR="00BD0D1E" w:rsidRDefault="00FA01DA">
      <w:pPr>
        <w:pStyle w:val="Zkladntext1"/>
        <w:framePr w:w="10582" w:h="7392" w:hRule="exact" w:wrap="none" w:vAnchor="page" w:hAnchor="page" w:x="597" w:y="8549"/>
        <w:numPr>
          <w:ilvl w:val="0"/>
          <w:numId w:val="6"/>
        </w:numPr>
        <w:shd w:val="clear" w:color="auto" w:fill="auto"/>
        <w:tabs>
          <w:tab w:val="left" w:pos="365"/>
        </w:tabs>
        <w:spacing w:after="100"/>
        <w:ind w:left="400" w:hanging="400"/>
        <w:jc w:val="both"/>
      </w:pPr>
      <w:r>
        <w:t>V případě, že bude firma v prodlení s vypracováním či podáním hlášení, přiznání nebo jiného •zákonem stanoveného podání či oznámení, které je klient jako zaměstnavatel povinen činit vůči příslušným správním orgánům v příslušné zákonem stanovené lhůtě, je firma povinna vedle škody, která klientovi prodlením vznikla, uhradit klientovi též smluvní pokutu ve výši 500,--Kč za každý den prodlení se splněním této povinnosti.</w:t>
      </w:r>
    </w:p>
    <w:p w:rsidR="00BD0D1E" w:rsidRDefault="00FA01DA">
      <w:pPr>
        <w:pStyle w:val="Zkladntext40"/>
        <w:framePr w:w="10582" w:h="7392" w:hRule="exact" w:wrap="none" w:vAnchor="page" w:hAnchor="page" w:x="597" w:y="8549"/>
        <w:shd w:val="clear" w:color="auto" w:fill="auto"/>
        <w:ind w:left="2060" w:firstLine="0"/>
        <w:jc w:val="both"/>
      </w:pPr>
      <w:r>
        <w:rPr>
          <w:i w:val="0"/>
          <w:iCs w:val="0"/>
        </w:rPr>
        <w:t>i</w:t>
      </w:r>
    </w:p>
    <w:p w:rsidR="00BD0D1E" w:rsidRDefault="00FA01DA">
      <w:pPr>
        <w:pStyle w:val="Zkladntext1"/>
        <w:framePr w:w="10582" w:h="7392" w:hRule="exact" w:wrap="none" w:vAnchor="page" w:hAnchor="page" w:x="597" w:y="8549"/>
        <w:shd w:val="clear" w:color="auto" w:fill="auto"/>
        <w:jc w:val="center"/>
      </w:pPr>
      <w:r>
        <w:rPr>
          <w:b/>
          <w:bCs/>
        </w:rPr>
        <w:t>IV.</w:t>
      </w:r>
    </w:p>
    <w:p w:rsidR="00BD0D1E" w:rsidRDefault="00FA01DA">
      <w:pPr>
        <w:pStyle w:val="Zkladntext1"/>
        <w:framePr w:w="10582" w:h="7392" w:hRule="exact" w:wrap="none" w:vAnchor="page" w:hAnchor="page" w:x="597" w:y="8549"/>
        <w:shd w:val="clear" w:color="auto" w:fill="auto"/>
        <w:spacing w:after="260"/>
        <w:jc w:val="center"/>
      </w:pPr>
      <w:r>
        <w:rPr>
          <w:b/>
          <w:bCs/>
        </w:rPr>
        <w:t>SOUČINNOST SMLUVNÍCH STRAN</w:t>
      </w:r>
    </w:p>
    <w:p w:rsidR="00BD0D1E" w:rsidRDefault="00FA01DA">
      <w:pPr>
        <w:pStyle w:val="Zkladntext1"/>
        <w:framePr w:w="10582" w:h="7392" w:hRule="exact" w:wrap="none" w:vAnchor="page" w:hAnchor="page" w:x="597" w:y="8549"/>
        <w:numPr>
          <w:ilvl w:val="0"/>
          <w:numId w:val="7"/>
        </w:numPr>
        <w:shd w:val="clear" w:color="auto" w:fill="auto"/>
        <w:tabs>
          <w:tab w:val="left" w:pos="365"/>
        </w:tabs>
        <w:ind w:left="400" w:hanging="400"/>
        <w:jc w:val="both"/>
      </w:pPr>
      <w:r>
        <w:t>Klient se zavazuje poskytnout firmě veškerou součinnost nezbytnou pro řádné plnění závazků dle smlouvy, zejména se zavazuje předat účetní doklady, podklady ke mzdám a vysvětlení k nim, klient se zavazuje vystavit pro Firmu příslušnou plnou moc projednání s třetími osobami v souvislosti s plněním dle této smlouvy.</w:t>
      </w:r>
    </w:p>
    <w:p w:rsidR="00BD0D1E" w:rsidRDefault="00FA01DA">
      <w:pPr>
        <w:pStyle w:val="Zkladntext1"/>
        <w:framePr w:w="10582" w:h="7392" w:hRule="exact" w:wrap="none" w:vAnchor="page" w:hAnchor="page" w:x="597" w:y="8549"/>
        <w:numPr>
          <w:ilvl w:val="0"/>
          <w:numId w:val="7"/>
        </w:numPr>
        <w:shd w:val="clear" w:color="auto" w:fill="auto"/>
        <w:tabs>
          <w:tab w:val="left" w:pos="365"/>
        </w:tabs>
        <w:ind w:left="400" w:hanging="400"/>
        <w:jc w:val="both"/>
      </w:pPr>
      <w:r>
        <w:t>V případě zastupování klienta při kontrole či jednání s institucemi se klient zavazuje poskytnout neprodleně veškeré potřebné informace, doklady a důkazy tak, aby firma byla schopna plnit stanovené termíny.</w:t>
      </w:r>
    </w:p>
    <w:p w:rsidR="00BD0D1E" w:rsidRDefault="00BD0D1E">
      <w:pPr>
        <w:spacing w:line="1" w:lineRule="exact"/>
        <w:sectPr w:rsidR="00BD0D1E">
          <w:pgSz w:w="11900" w:h="16840"/>
          <w:pgMar w:top="360" w:right="360" w:bottom="360" w:left="360" w:header="0" w:footer="3" w:gutter="0"/>
          <w:cols w:space="720"/>
          <w:noEndnote/>
          <w:docGrid w:linePitch="360"/>
        </w:sectPr>
      </w:pPr>
    </w:p>
    <w:p w:rsidR="00BD0D1E" w:rsidRDefault="00BD0D1E">
      <w:pPr>
        <w:spacing w:line="1" w:lineRule="exact"/>
      </w:pPr>
    </w:p>
    <w:p w:rsidR="00BD0D1E" w:rsidRDefault="00FA01DA">
      <w:pPr>
        <w:pStyle w:val="Zkladntext1"/>
        <w:framePr w:w="10582" w:h="1061" w:hRule="exact" w:wrap="none" w:vAnchor="page" w:hAnchor="page" w:x="628" w:y="696"/>
        <w:numPr>
          <w:ilvl w:val="0"/>
          <w:numId w:val="7"/>
        </w:numPr>
        <w:shd w:val="clear" w:color="auto" w:fill="auto"/>
        <w:tabs>
          <w:tab w:val="left" w:pos="356"/>
        </w:tabs>
        <w:ind w:left="400" w:hanging="400"/>
      </w:pPr>
      <w:r>
        <w:t>Firma se zavazuje k otevřenému jednání s klientem. Při následném zjištění pochybení ze strany klienta či firmy bude klienta o této skutečnosti neprodleně informovat a navrhne následné, pokud možno optimální řešení.</w:t>
      </w:r>
    </w:p>
    <w:p w:rsidR="00BD0D1E" w:rsidRDefault="00FA01DA">
      <w:pPr>
        <w:pStyle w:val="Zkladntext1"/>
        <w:framePr w:w="10582" w:h="1061" w:hRule="exact" w:wrap="none" w:vAnchor="page" w:hAnchor="page" w:x="628" w:y="696"/>
        <w:numPr>
          <w:ilvl w:val="0"/>
          <w:numId w:val="7"/>
        </w:numPr>
        <w:shd w:val="clear" w:color="auto" w:fill="auto"/>
        <w:tabs>
          <w:tab w:val="left" w:pos="356"/>
        </w:tabs>
        <w:ind w:left="400" w:hanging="400"/>
      </w:pPr>
      <w:r>
        <w:t>Firma se zavazuje k mlčenlivosti o všech skutečnostech týkajících se klienta, se kterými v průběhu poskytování služeb byla seznámena</w:t>
      </w:r>
    </w:p>
    <w:p w:rsidR="00BD0D1E" w:rsidRDefault="00FA01DA">
      <w:pPr>
        <w:pStyle w:val="Zkladntext1"/>
        <w:framePr w:w="10582" w:h="545" w:hRule="exact" w:wrap="none" w:vAnchor="page" w:hAnchor="page" w:x="628" w:y="2474"/>
        <w:shd w:val="clear" w:color="auto" w:fill="auto"/>
        <w:jc w:val="center"/>
      </w:pPr>
      <w:r>
        <w:rPr>
          <w:b/>
          <w:bCs/>
        </w:rPr>
        <w:t>VI.</w:t>
      </w:r>
    </w:p>
    <w:p w:rsidR="00BD0D1E" w:rsidRDefault="00FA01DA">
      <w:pPr>
        <w:pStyle w:val="Zkladntext1"/>
        <w:framePr w:w="10582" w:h="545" w:hRule="exact" w:wrap="none" w:vAnchor="page" w:hAnchor="page" w:x="628" w:y="2474"/>
        <w:shd w:val="clear" w:color="auto" w:fill="auto"/>
        <w:jc w:val="center"/>
      </w:pPr>
      <w:r>
        <w:rPr>
          <w:b/>
          <w:bCs/>
        </w:rPr>
        <w:t>ZÁVĚREČNÁ USTANOVENÍ</w:t>
      </w:r>
    </w:p>
    <w:p w:rsidR="00BD0D1E" w:rsidRDefault="00FA01DA">
      <w:pPr>
        <w:pStyle w:val="Zkladntext1"/>
        <w:framePr w:w="10582" w:h="5129" w:hRule="exact" w:wrap="none" w:vAnchor="page" w:hAnchor="page" w:x="628" w:y="3233"/>
        <w:shd w:val="clear" w:color="auto" w:fill="auto"/>
      </w:pPr>
      <w:r>
        <w:t>Pokud se smluvní strany nedohodnou jinak, pak platí následující:</w:t>
      </w:r>
    </w:p>
    <w:p w:rsidR="00BD0D1E" w:rsidRDefault="00FA01DA">
      <w:pPr>
        <w:pStyle w:val="Zkladntext1"/>
        <w:framePr w:w="10582" w:h="5129" w:hRule="exact" w:wrap="none" w:vAnchor="page" w:hAnchor="page" w:x="628" w:y="3233"/>
        <w:numPr>
          <w:ilvl w:val="0"/>
          <w:numId w:val="8"/>
        </w:numPr>
        <w:shd w:val="clear" w:color="auto" w:fill="auto"/>
        <w:tabs>
          <w:tab w:val="left" w:pos="356"/>
        </w:tabs>
      </w:pPr>
      <w:r>
        <w:t>Smlouva se uzavírá na dobu neurčitou od 02.07.2019.</w:t>
      </w:r>
    </w:p>
    <w:p w:rsidR="00BD0D1E" w:rsidRDefault="00FA01DA">
      <w:pPr>
        <w:pStyle w:val="Zkladntext1"/>
        <w:framePr w:w="10582" w:h="5129" w:hRule="exact" w:wrap="none" w:vAnchor="page" w:hAnchor="page" w:x="628" w:y="3233"/>
        <w:numPr>
          <w:ilvl w:val="0"/>
          <w:numId w:val="8"/>
        </w:numPr>
        <w:shd w:val="clear" w:color="auto" w:fill="auto"/>
        <w:tabs>
          <w:tab w:val="left" w:pos="356"/>
        </w:tabs>
      </w:pPr>
      <w:r>
        <w:t>Tato smlouva nahrazuje smlouvy o poskytování služeb uzavřené před touto smlouvou.</w:t>
      </w:r>
    </w:p>
    <w:p w:rsidR="00BD0D1E" w:rsidRDefault="00FA01DA">
      <w:pPr>
        <w:pStyle w:val="Zkladntext1"/>
        <w:framePr w:w="10582" w:h="5129" w:hRule="exact" w:wrap="none" w:vAnchor="page" w:hAnchor="page" w:x="628" w:y="3233"/>
        <w:numPr>
          <w:ilvl w:val="0"/>
          <w:numId w:val="8"/>
        </w:numPr>
        <w:shd w:val="clear" w:color="auto" w:fill="auto"/>
        <w:tabs>
          <w:tab w:val="left" w:pos="356"/>
        </w:tabs>
        <w:ind w:left="400" w:hanging="400"/>
      </w:pPr>
      <w:r>
        <w:t xml:space="preserve">Klient i firma může tuto smlouvu vypovědět pouze v časovém období od ledna do března příslušného roku, a to ve výpovědní lhůtě 2 měsíce. Výpovědní lhůta začíná prvním dnem kalendářního měsíce následujícího po doručení výpovědi druhé straně, pokud se obě strany nedohodnou jinak. Výpověď musí být dána písemně. Během výpovědní lhůty je Firma povinna zpracovat a předat klientovi daňové přiznání pro daň z příjmu právnické osoby za předcházející účetní období, a to v termínu před obecně závazným termínem pro podání daňového přiznání pro daň z příjmu právnické </w:t>
      </w:r>
      <w:proofErr w:type="gramStart"/>
      <w:r>
        <w:t>osoby - firmy</w:t>
      </w:r>
      <w:proofErr w:type="gramEnd"/>
      <w:r>
        <w:t>.</w:t>
      </w:r>
    </w:p>
    <w:p w:rsidR="00BD0D1E" w:rsidRDefault="00FA01DA">
      <w:pPr>
        <w:pStyle w:val="Zkladntext1"/>
        <w:framePr w:w="10582" w:h="5129" w:hRule="exact" w:wrap="none" w:vAnchor="page" w:hAnchor="page" w:x="628" w:y="3233"/>
        <w:numPr>
          <w:ilvl w:val="0"/>
          <w:numId w:val="8"/>
        </w:numPr>
        <w:shd w:val="clear" w:color="auto" w:fill="auto"/>
        <w:tabs>
          <w:tab w:val="left" w:pos="356"/>
        </w:tabs>
      </w:pPr>
      <w:r>
        <w:t>Při podání výpovědi budou dohodnuty podmínky předání dokladů a vzájemného vypořádání.</w:t>
      </w:r>
    </w:p>
    <w:p w:rsidR="00BD0D1E" w:rsidRDefault="00FA01DA">
      <w:pPr>
        <w:pStyle w:val="Zkladntext1"/>
        <w:framePr w:w="10582" w:h="5129" w:hRule="exact" w:wrap="none" w:vAnchor="page" w:hAnchor="page" w:x="628" w:y="3233"/>
        <w:numPr>
          <w:ilvl w:val="0"/>
          <w:numId w:val="8"/>
        </w:numPr>
        <w:shd w:val="clear" w:color="auto" w:fill="auto"/>
        <w:tabs>
          <w:tab w:val="left" w:pos="356"/>
        </w:tabs>
      </w:pPr>
      <w:r>
        <w:t>Povinnosti firmy podle této smlouvy zanikají dnem účinnosti odstoupení klienta.</w:t>
      </w:r>
    </w:p>
    <w:p w:rsidR="00BD0D1E" w:rsidRDefault="00FA01DA">
      <w:pPr>
        <w:pStyle w:val="Zkladntext1"/>
        <w:framePr w:w="10582" w:h="5129" w:hRule="exact" w:wrap="none" w:vAnchor="page" w:hAnchor="page" w:x="628" w:y="3233"/>
        <w:numPr>
          <w:ilvl w:val="0"/>
          <w:numId w:val="8"/>
        </w:numPr>
        <w:shd w:val="clear" w:color="auto" w:fill="auto"/>
        <w:tabs>
          <w:tab w:val="left" w:pos="356"/>
        </w:tabs>
        <w:ind w:left="400" w:hanging="400"/>
      </w:pPr>
      <w:r>
        <w:t>Firma může od smlouvy odstoupit okamžitě, jestliže klient neplní své závazky týkající se úhrad za poskytnuté služby či soustavně s firmou nespolupracuje. Výpovědní lhůta začíná následujícím dnem po oznámení výpovědi klientovi.</w:t>
      </w:r>
    </w:p>
    <w:p w:rsidR="00BD0D1E" w:rsidRDefault="00FA01DA">
      <w:pPr>
        <w:pStyle w:val="Zkladntext1"/>
        <w:framePr w:w="10582" w:h="5129" w:hRule="exact" w:wrap="none" w:vAnchor="page" w:hAnchor="page" w:x="628" w:y="3233"/>
        <w:numPr>
          <w:ilvl w:val="0"/>
          <w:numId w:val="8"/>
        </w:numPr>
        <w:shd w:val="clear" w:color="auto" w:fill="auto"/>
        <w:tabs>
          <w:tab w:val="left" w:pos="356"/>
        </w:tabs>
      </w:pPr>
      <w:r>
        <w:t>Smlouva zaniká také ukončením činnosti klienta nebo poradenské firmy.</w:t>
      </w:r>
    </w:p>
    <w:p w:rsidR="00BD0D1E" w:rsidRDefault="00FA01DA">
      <w:pPr>
        <w:pStyle w:val="Zkladntext1"/>
        <w:framePr w:w="10582" w:h="5129" w:hRule="exact" w:wrap="none" w:vAnchor="page" w:hAnchor="page" w:x="628" w:y="3233"/>
        <w:numPr>
          <w:ilvl w:val="0"/>
          <w:numId w:val="8"/>
        </w:numPr>
        <w:shd w:val="clear" w:color="auto" w:fill="auto"/>
        <w:tabs>
          <w:tab w:val="left" w:pos="356"/>
        </w:tabs>
      </w:pPr>
      <w:r>
        <w:t>Tuto smlouvu je možno změnit dohodou smluvních stran. K platnosti dohody se vyžaduje písemná forma.</w:t>
      </w:r>
    </w:p>
    <w:p w:rsidR="00BD0D1E" w:rsidRDefault="00FA01DA">
      <w:pPr>
        <w:pStyle w:val="Zkladntext1"/>
        <w:framePr w:w="10582" w:h="5129" w:hRule="exact" w:wrap="none" w:vAnchor="page" w:hAnchor="page" w:x="628" w:y="3233"/>
        <w:numPr>
          <w:ilvl w:val="0"/>
          <w:numId w:val="8"/>
        </w:numPr>
        <w:shd w:val="clear" w:color="auto" w:fill="auto"/>
        <w:tabs>
          <w:tab w:val="left" w:pos="356"/>
        </w:tabs>
        <w:ind w:left="400" w:hanging="400"/>
      </w:pPr>
      <w:r>
        <w:t xml:space="preserve">Pokud není v této smlouvě výslovně stanoveno jinak, řídí se právní vztahy firmy jako dodavatele a klienta jako odběratele, příslušným ustanovením </w:t>
      </w:r>
      <w:r>
        <w:rPr>
          <w:b/>
          <w:bCs/>
        </w:rPr>
        <w:t xml:space="preserve">Občanského zákoníku z.č.89/2012 Sb. </w:t>
      </w:r>
      <w:r>
        <w:t>v platném znění.</w:t>
      </w:r>
    </w:p>
    <w:p w:rsidR="00BD0D1E" w:rsidRDefault="00FA01DA">
      <w:pPr>
        <w:pStyle w:val="Zkladntext1"/>
        <w:framePr w:w="10582" w:h="5129" w:hRule="exact" w:wrap="none" w:vAnchor="page" w:hAnchor="page" w:x="628" w:y="3233"/>
        <w:numPr>
          <w:ilvl w:val="0"/>
          <w:numId w:val="8"/>
        </w:numPr>
        <w:shd w:val="clear" w:color="auto" w:fill="auto"/>
        <w:tabs>
          <w:tab w:val="left" w:pos="402"/>
        </w:tabs>
        <w:ind w:left="400" w:hanging="400"/>
      </w:pPr>
      <w:r>
        <w:t>Tato smlouva se vyhotovuje ve dvou výtiscích, z nichž každý má platnost originálu. Platnosti a účinnosti nabývá smlouva dnem jejich podpisu</w:t>
      </w:r>
    </w:p>
    <w:p w:rsidR="00BD0D1E" w:rsidRDefault="00FA01DA">
      <w:pPr>
        <w:pStyle w:val="Zkladntext1"/>
        <w:framePr w:wrap="none" w:vAnchor="page" w:hAnchor="page" w:x="671" w:y="8818"/>
        <w:shd w:val="clear" w:color="auto" w:fill="auto"/>
        <w:ind w:left="5" w:right="5"/>
      </w:pPr>
      <w:r>
        <w:t>V Chebu dne 14.6.2019</w:t>
      </w:r>
    </w:p>
    <w:p w:rsidR="00BD0D1E" w:rsidRDefault="00FA01DA">
      <w:pPr>
        <w:pStyle w:val="Zhlavnebozpat0"/>
        <w:framePr w:wrap="none" w:vAnchor="page" w:hAnchor="page" w:x="9119" w:y="15463"/>
        <w:shd w:val="clear" w:color="auto" w:fill="auto"/>
      </w:pPr>
      <w:r>
        <w:t>I</w:t>
      </w:r>
    </w:p>
    <w:p w:rsidR="00BD0D1E" w:rsidRDefault="00BD0D1E">
      <w:pPr>
        <w:spacing w:line="1" w:lineRule="exact"/>
      </w:pPr>
    </w:p>
    <w:sectPr w:rsidR="00BD0D1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979" w:rsidRDefault="00FA01DA">
      <w:r>
        <w:separator/>
      </w:r>
    </w:p>
  </w:endnote>
  <w:endnote w:type="continuationSeparator" w:id="0">
    <w:p w:rsidR="007A5979" w:rsidRDefault="00FA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D1E" w:rsidRDefault="00BD0D1E"/>
  </w:footnote>
  <w:footnote w:type="continuationSeparator" w:id="0">
    <w:p w:rsidR="00BD0D1E" w:rsidRDefault="00BD0D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916"/>
    <w:multiLevelType w:val="multilevel"/>
    <w:tmpl w:val="BFF21A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D6F32"/>
    <w:multiLevelType w:val="multilevel"/>
    <w:tmpl w:val="24B6A6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C529ED"/>
    <w:multiLevelType w:val="multilevel"/>
    <w:tmpl w:val="599AD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715F2"/>
    <w:multiLevelType w:val="multilevel"/>
    <w:tmpl w:val="1DF49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DB163A"/>
    <w:multiLevelType w:val="multilevel"/>
    <w:tmpl w:val="ADD8A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A954C8"/>
    <w:multiLevelType w:val="multilevel"/>
    <w:tmpl w:val="A1F49E2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433927"/>
    <w:multiLevelType w:val="multilevel"/>
    <w:tmpl w:val="8DAC8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601C2B"/>
    <w:multiLevelType w:val="multilevel"/>
    <w:tmpl w:val="BE847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6"/>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1E"/>
    <w:rsid w:val="007A5979"/>
    <w:rsid w:val="00BD0D1E"/>
    <w:rsid w:val="00FA01DA"/>
    <w:rsid w:val="00FC40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0B127-F404-4D5B-AEA7-7878A8BD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sz w:val="11"/>
      <w:szCs w:val="11"/>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1"/>
      <w:szCs w:val="11"/>
      <w:u w:val="none"/>
    </w:rPr>
  </w:style>
  <w:style w:type="paragraph" w:customStyle="1" w:styleId="Nadpis10">
    <w:name w:val="Nadpis #1"/>
    <w:basedOn w:val="Normln"/>
    <w:link w:val="Nadpis1"/>
    <w:pPr>
      <w:shd w:val="clear" w:color="auto" w:fill="FFFFFF"/>
      <w:spacing w:before="40" w:after="330"/>
      <w:jc w:val="center"/>
      <w:outlineLvl w:val="0"/>
    </w:pPr>
    <w:rPr>
      <w:rFonts w:ascii="Times New Roman" w:eastAsia="Times New Roman" w:hAnsi="Times New Roman" w:cs="Times New Roman"/>
      <w:b/>
      <w:bCs/>
      <w:sz w:val="28"/>
      <w:szCs w:val="28"/>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ind w:left="340" w:hanging="60"/>
    </w:pPr>
    <w:rPr>
      <w:rFonts w:ascii="Arial" w:eastAsia="Arial" w:hAnsi="Arial" w:cs="Arial"/>
      <w:i/>
      <w:iCs/>
      <w:sz w:val="11"/>
      <w:szCs w:val="11"/>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spacing w:line="218" w:lineRule="auto"/>
      <w:jc w:val="center"/>
    </w:pPr>
    <w:rPr>
      <w:rFonts w:ascii="Arial" w:eastAsia="Arial" w:hAnsi="Arial" w:cs="Arial"/>
      <w:sz w:val="19"/>
      <w:szCs w:val="19"/>
    </w:rPr>
  </w:style>
  <w:style w:type="paragraph" w:customStyle="1" w:styleId="Zkladntext30">
    <w:name w:val="Základní text (3)"/>
    <w:basedOn w:val="Normln"/>
    <w:link w:val="Zkladntext3"/>
    <w:pPr>
      <w:shd w:val="clear" w:color="auto" w:fill="FFFFFF"/>
      <w:spacing w:after="560" w:line="259" w:lineRule="auto"/>
      <w:ind w:left="2180"/>
      <w:jc w:val="right"/>
    </w:pPr>
    <w:rPr>
      <w:rFonts w:ascii="Arial" w:eastAsia="Arial" w:hAnsi="Arial" w:cs="Arial"/>
      <w:sz w:val="17"/>
      <w:szCs w:val="17"/>
    </w:rPr>
  </w:style>
  <w:style w:type="paragraph" w:customStyle="1" w:styleId="Zhlavnebozpat0">
    <w:name w:val="Záhlaví nebo zápatí"/>
    <w:basedOn w:val="Normln"/>
    <w:link w:val="Zhlavnebozpat"/>
    <w:pPr>
      <w:shd w:val="clear" w:color="auto" w:fill="FFFFFF"/>
    </w:pPr>
    <w:rPr>
      <w:rFonts w:ascii="Arial" w:eastAsia="Arial" w:hAnsi="Arial" w:cs="Arial"/>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7814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Jelínková</dc:creator>
  <cp:lastModifiedBy>Věra Jelínková</cp:lastModifiedBy>
  <cp:revision>2</cp:revision>
  <dcterms:created xsi:type="dcterms:W3CDTF">2019-06-21T06:32:00Z</dcterms:created>
  <dcterms:modified xsi:type="dcterms:W3CDTF">2019-06-21T06:32:00Z</dcterms:modified>
</cp:coreProperties>
</file>