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3A" w:rsidRDefault="00D730A1">
      <w:pPr>
        <w:pStyle w:val="Nadpis"/>
        <w:spacing w:before="120" w:after="120"/>
      </w:pPr>
      <w:r>
        <w:rPr>
          <w:noProof/>
          <w:lang w:eastAsia="cs-CZ"/>
        </w:rPr>
        <w:drawing>
          <wp:inline distT="0" distB="0" distL="0" distR="0">
            <wp:extent cx="5067300" cy="695325"/>
            <wp:effectExtent l="0" t="0" r="0" b="0"/>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7"/>
                    <a:srcRect l="-14" t="-103" r="-14" b="-103"/>
                    <a:stretch>
                      <a:fillRect/>
                    </a:stretch>
                  </pic:blipFill>
                  <pic:spPr bwMode="auto">
                    <a:xfrm>
                      <a:off x="0" y="0"/>
                      <a:ext cx="5067300" cy="695325"/>
                    </a:xfrm>
                    <a:prstGeom prst="rect">
                      <a:avLst/>
                    </a:prstGeom>
                  </pic:spPr>
                </pic:pic>
              </a:graphicData>
            </a:graphic>
          </wp:inline>
        </w:drawing>
      </w:r>
    </w:p>
    <w:p w:rsidR="0040133A" w:rsidRDefault="001F2D66">
      <w:pPr>
        <w:pStyle w:val="Nadpis"/>
        <w:spacing w:before="120" w:after="120"/>
        <w:rPr>
          <w:sz w:val="36"/>
        </w:rPr>
      </w:pPr>
      <w:r>
        <w:rPr>
          <w:sz w:val="36"/>
        </w:rPr>
        <w:t>Dohoda o narovnání</w:t>
      </w:r>
    </w:p>
    <w:p w:rsidR="0040133A" w:rsidRDefault="001F2D66">
      <w:pPr>
        <w:pStyle w:val="Zkladntext"/>
        <w:pBdr>
          <w:top w:val="double" w:sz="6" w:space="0" w:color="000000"/>
          <w:left w:val="double" w:sz="6" w:space="0" w:color="000000"/>
          <w:bottom w:val="double" w:sz="6" w:space="0" w:color="000000"/>
          <w:right w:val="double" w:sz="6" w:space="0" w:color="000000"/>
        </w:pBdr>
        <w:shd w:val="clear" w:color="auto" w:fill="D9D9D9"/>
        <w:spacing w:after="0"/>
        <w:jc w:val="both"/>
        <w:rPr>
          <w:szCs w:val="22"/>
        </w:rPr>
      </w:pPr>
      <w:r>
        <w:rPr>
          <w:szCs w:val="22"/>
        </w:rPr>
        <w:t>na které se dnešního</w:t>
      </w:r>
      <w:r w:rsidR="00D730A1">
        <w:rPr>
          <w:szCs w:val="22"/>
        </w:rPr>
        <w:t xml:space="preserve"> dne </w:t>
      </w:r>
      <w:r>
        <w:rPr>
          <w:szCs w:val="22"/>
        </w:rPr>
        <w:t>20. 6. 2019 dohodly</w:t>
      </w:r>
      <w:r w:rsidR="00D730A1">
        <w:rPr>
          <w:szCs w:val="22"/>
        </w:rPr>
        <w:t xml:space="preserve"> </w:t>
      </w:r>
      <w:r w:rsidR="00D730A1" w:rsidRPr="001F2D66">
        <w:rPr>
          <w:b/>
          <w:sz w:val="24"/>
          <w:szCs w:val="24"/>
        </w:rPr>
        <w:t xml:space="preserve">Zemský hřebčinec Písek </w:t>
      </w:r>
      <w:proofErr w:type="gramStart"/>
      <w:r w:rsidR="00D730A1" w:rsidRPr="001F2D66">
        <w:rPr>
          <w:b/>
          <w:sz w:val="24"/>
          <w:szCs w:val="24"/>
        </w:rPr>
        <w:t>s.p.</w:t>
      </w:r>
      <w:proofErr w:type="gramEnd"/>
      <w:r w:rsidR="00D730A1" w:rsidRPr="001F2D66">
        <w:rPr>
          <w:b/>
          <w:sz w:val="24"/>
          <w:szCs w:val="24"/>
        </w:rPr>
        <w:t>o.</w:t>
      </w:r>
      <w:r w:rsidR="00D730A1">
        <w:rPr>
          <w:bCs/>
          <w:szCs w:val="22"/>
        </w:rPr>
        <w:t>,</w:t>
      </w:r>
      <w:r w:rsidR="00D730A1">
        <w:rPr>
          <w:szCs w:val="22"/>
        </w:rPr>
        <w:t xml:space="preserve"> se sídlem U Hřebčince 479, 397 01 Písek - Budějovické Předměstí, IČ: 71294562, </w:t>
      </w:r>
      <w:proofErr w:type="spellStart"/>
      <w:r w:rsidR="00D730A1">
        <w:rPr>
          <w:szCs w:val="22"/>
        </w:rPr>
        <w:t>zast</w:t>
      </w:r>
      <w:proofErr w:type="spellEnd"/>
      <w:r>
        <w:rPr>
          <w:szCs w:val="22"/>
        </w:rPr>
        <w:t>.</w:t>
      </w:r>
      <w:r w:rsidR="00D730A1">
        <w:rPr>
          <w:szCs w:val="22"/>
        </w:rPr>
        <w:t xml:space="preserve"> ředitelem </w:t>
      </w:r>
      <w:proofErr w:type="spellStart"/>
      <w:r w:rsidR="00D730A1">
        <w:rPr>
          <w:szCs w:val="22"/>
        </w:rPr>
        <w:t>organizace</w:t>
      </w:r>
      <w:r w:rsidR="00004BB7">
        <w:rPr>
          <w:szCs w:val="22"/>
        </w:rPr>
        <w:t>xxx</w:t>
      </w:r>
      <w:proofErr w:type="spellEnd"/>
      <w:r w:rsidR="00004BB7">
        <w:rPr>
          <w:szCs w:val="22"/>
        </w:rPr>
        <w:t xml:space="preserve">. </w:t>
      </w:r>
      <w:proofErr w:type="spellStart"/>
      <w:r w:rsidR="00004BB7">
        <w:rPr>
          <w:szCs w:val="22"/>
        </w:rPr>
        <w:t>Xxxxxx</w:t>
      </w:r>
      <w:proofErr w:type="spellEnd"/>
      <w:r w:rsidR="00004BB7">
        <w:rPr>
          <w:szCs w:val="22"/>
        </w:rPr>
        <w:t xml:space="preserve"> </w:t>
      </w:r>
      <w:proofErr w:type="spellStart"/>
      <w:r w:rsidR="00004BB7">
        <w:rPr>
          <w:szCs w:val="22"/>
        </w:rPr>
        <w:t>xxxxxxxxxxx</w:t>
      </w:r>
      <w:proofErr w:type="spellEnd"/>
      <w:r>
        <w:rPr>
          <w:szCs w:val="22"/>
        </w:rPr>
        <w:t xml:space="preserve">, jmenovaným na základě jmenovací listiny ze dne 15. 10. 2016, </w:t>
      </w:r>
      <w:proofErr w:type="gramStart"/>
      <w:r>
        <w:rPr>
          <w:szCs w:val="22"/>
        </w:rPr>
        <w:t>č.j.</w:t>
      </w:r>
      <w:proofErr w:type="gramEnd"/>
      <w:r>
        <w:rPr>
          <w:szCs w:val="22"/>
        </w:rPr>
        <w:t xml:space="preserve"> 57295/2016- MZe-13220, zapsaný v registru ekonomických subjektů v ARES č.j. 27495/2015 – </w:t>
      </w:r>
      <w:proofErr w:type="spellStart"/>
      <w:r>
        <w:rPr>
          <w:szCs w:val="22"/>
        </w:rPr>
        <w:t>Mze</w:t>
      </w:r>
      <w:proofErr w:type="spellEnd"/>
      <w:r>
        <w:rPr>
          <w:szCs w:val="22"/>
        </w:rPr>
        <w:t xml:space="preserve"> – 13222</w:t>
      </w:r>
    </w:p>
    <w:p w:rsidR="001F2D66" w:rsidRDefault="001F2D66">
      <w:pPr>
        <w:pStyle w:val="Zkladntext"/>
        <w:pBdr>
          <w:top w:val="double" w:sz="6" w:space="0" w:color="000000"/>
          <w:left w:val="double" w:sz="6" w:space="0" w:color="000000"/>
          <w:bottom w:val="double" w:sz="6" w:space="0" w:color="000000"/>
          <w:right w:val="double" w:sz="6" w:space="0" w:color="000000"/>
        </w:pBdr>
        <w:shd w:val="clear" w:color="auto" w:fill="D9D9D9"/>
        <w:spacing w:after="0"/>
        <w:jc w:val="both"/>
        <w:rPr>
          <w:szCs w:val="22"/>
        </w:rPr>
      </w:pPr>
      <w:r>
        <w:rPr>
          <w:szCs w:val="22"/>
        </w:rPr>
        <w:t xml:space="preserve">(dále </w:t>
      </w:r>
      <w:r w:rsidR="00BE20A6">
        <w:rPr>
          <w:szCs w:val="22"/>
        </w:rPr>
        <w:t xml:space="preserve">jen </w:t>
      </w:r>
      <w:r>
        <w:rPr>
          <w:szCs w:val="22"/>
        </w:rPr>
        <w:t xml:space="preserve">jako </w:t>
      </w:r>
      <w:r w:rsidRPr="00BE20A6">
        <w:rPr>
          <w:b/>
          <w:bCs/>
          <w:szCs w:val="22"/>
        </w:rPr>
        <w:t>„objednatel</w:t>
      </w:r>
      <w:r w:rsidR="00BE20A6" w:rsidRPr="00BE20A6">
        <w:rPr>
          <w:b/>
          <w:bCs/>
          <w:szCs w:val="22"/>
        </w:rPr>
        <w:t>“</w:t>
      </w:r>
      <w:r w:rsidRPr="00BE20A6">
        <w:rPr>
          <w:szCs w:val="22"/>
        </w:rPr>
        <w:t>)</w:t>
      </w:r>
    </w:p>
    <w:p w:rsidR="0040133A" w:rsidRDefault="00D730A1">
      <w:pPr>
        <w:pStyle w:val="Zkladntext"/>
        <w:pBdr>
          <w:top w:val="double" w:sz="6" w:space="0" w:color="000000"/>
          <w:left w:val="double" w:sz="6" w:space="0" w:color="000000"/>
          <w:bottom w:val="double" w:sz="6" w:space="0" w:color="000000"/>
          <w:right w:val="double" w:sz="6" w:space="0" w:color="000000"/>
        </w:pBdr>
        <w:shd w:val="clear" w:color="auto" w:fill="D9D9D9"/>
        <w:spacing w:before="120"/>
        <w:jc w:val="both"/>
        <w:rPr>
          <w:szCs w:val="22"/>
        </w:rPr>
      </w:pPr>
      <w:r>
        <w:rPr>
          <w:szCs w:val="22"/>
        </w:rPr>
        <w:t>a</w:t>
      </w:r>
    </w:p>
    <w:p w:rsidR="00BE20A6" w:rsidRPr="00BE20A6" w:rsidRDefault="00D730A1">
      <w:pPr>
        <w:pStyle w:val="Zkladntext"/>
        <w:pBdr>
          <w:top w:val="double" w:sz="6" w:space="0" w:color="000000"/>
          <w:left w:val="double" w:sz="6" w:space="0" w:color="000000"/>
          <w:bottom w:val="double" w:sz="6" w:space="0" w:color="000000"/>
          <w:right w:val="double" w:sz="6" w:space="0" w:color="000000"/>
        </w:pBdr>
        <w:shd w:val="clear" w:color="auto" w:fill="D9D9D9"/>
        <w:jc w:val="both"/>
        <w:rPr>
          <w:szCs w:val="22"/>
        </w:rPr>
      </w:pPr>
      <w:r w:rsidRPr="00BE20A6">
        <w:rPr>
          <w:b/>
          <w:bCs/>
          <w:caps/>
          <w:sz w:val="24"/>
          <w:szCs w:val="24"/>
        </w:rPr>
        <w:t>KOČÍ</w:t>
      </w:r>
      <w:r w:rsidRPr="00BE20A6">
        <w:rPr>
          <w:sz w:val="24"/>
          <w:szCs w:val="24"/>
        </w:rPr>
        <w:t xml:space="preserve"> </w:t>
      </w:r>
      <w:r w:rsidRPr="00BE20A6">
        <w:rPr>
          <w:b/>
          <w:bCs/>
          <w:sz w:val="24"/>
          <w:szCs w:val="24"/>
        </w:rPr>
        <w:t>a.s</w:t>
      </w:r>
      <w:r>
        <w:rPr>
          <w:b/>
          <w:bCs/>
          <w:caps/>
          <w:sz w:val="24"/>
          <w:szCs w:val="24"/>
        </w:rPr>
        <w:t xml:space="preserve">, </w:t>
      </w:r>
      <w:r w:rsidRPr="00BE20A6">
        <w:rPr>
          <w:caps/>
          <w:szCs w:val="22"/>
        </w:rPr>
        <w:t>IČ</w:t>
      </w:r>
      <w:r w:rsidR="00BE20A6" w:rsidRPr="00BE20A6">
        <w:rPr>
          <w:caps/>
          <w:szCs w:val="22"/>
        </w:rPr>
        <w:t>:</w:t>
      </w:r>
      <w:r w:rsidRPr="00BE20A6">
        <w:rPr>
          <w:caps/>
          <w:szCs w:val="22"/>
        </w:rPr>
        <w:t xml:space="preserve"> 466 83 046 </w:t>
      </w:r>
      <w:r w:rsidRPr="00BE20A6">
        <w:rPr>
          <w:szCs w:val="22"/>
        </w:rPr>
        <w:t xml:space="preserve">se sídlem Písek, K Lipám 132, </w:t>
      </w:r>
      <w:proofErr w:type="spellStart"/>
      <w:r w:rsidRPr="00BE20A6">
        <w:rPr>
          <w:szCs w:val="22"/>
        </w:rPr>
        <w:t>zast</w:t>
      </w:r>
      <w:proofErr w:type="spellEnd"/>
      <w:r w:rsidRPr="00BE20A6">
        <w:rPr>
          <w:szCs w:val="22"/>
        </w:rPr>
        <w:t xml:space="preserve">. statutárním ředitelem </w:t>
      </w:r>
      <w:proofErr w:type="spellStart"/>
      <w:r w:rsidR="00004BB7">
        <w:rPr>
          <w:szCs w:val="22"/>
        </w:rPr>
        <w:t>xxx</w:t>
      </w:r>
      <w:proofErr w:type="spellEnd"/>
      <w:r w:rsidR="00004BB7">
        <w:rPr>
          <w:szCs w:val="22"/>
        </w:rPr>
        <w:t xml:space="preserve">. </w:t>
      </w:r>
      <w:proofErr w:type="spellStart"/>
      <w:r w:rsidR="00004BB7">
        <w:rPr>
          <w:szCs w:val="22"/>
        </w:rPr>
        <w:t>Xxxxxxx</w:t>
      </w:r>
      <w:proofErr w:type="spellEnd"/>
      <w:r w:rsidR="00004BB7">
        <w:rPr>
          <w:szCs w:val="22"/>
        </w:rPr>
        <w:t xml:space="preserve"> </w:t>
      </w:r>
      <w:proofErr w:type="spellStart"/>
      <w:r w:rsidR="00004BB7">
        <w:rPr>
          <w:szCs w:val="22"/>
        </w:rPr>
        <w:t>xxxxx</w:t>
      </w:r>
      <w:proofErr w:type="spellEnd"/>
      <w:r w:rsidR="00BE20A6">
        <w:rPr>
          <w:szCs w:val="22"/>
        </w:rPr>
        <w:t xml:space="preserve">, zapsaná u Krajského soudu v Českých Budějovicích B </w:t>
      </w:r>
      <w:proofErr w:type="gramStart"/>
      <w:r w:rsidR="00BE20A6">
        <w:rPr>
          <w:szCs w:val="22"/>
        </w:rPr>
        <w:t>536                            (dále</w:t>
      </w:r>
      <w:proofErr w:type="gramEnd"/>
      <w:r w:rsidR="00BE20A6">
        <w:rPr>
          <w:szCs w:val="22"/>
        </w:rPr>
        <w:t xml:space="preserve"> jen jako </w:t>
      </w:r>
      <w:r w:rsidR="00BE20A6" w:rsidRPr="00BE20A6">
        <w:rPr>
          <w:b/>
          <w:bCs/>
          <w:szCs w:val="22"/>
        </w:rPr>
        <w:t>„zhotovitel“</w:t>
      </w:r>
      <w:r w:rsidR="00BE20A6" w:rsidRPr="00BE20A6">
        <w:rPr>
          <w:szCs w:val="22"/>
        </w:rPr>
        <w:t>)</w:t>
      </w:r>
    </w:p>
    <w:p w:rsidR="0040133A" w:rsidRPr="00BE20A6" w:rsidRDefault="00D730A1">
      <w:pPr>
        <w:pStyle w:val="Zkladntext"/>
        <w:pBdr>
          <w:top w:val="double" w:sz="6" w:space="0" w:color="000000"/>
          <w:left w:val="double" w:sz="6" w:space="0" w:color="000000"/>
          <w:bottom w:val="double" w:sz="6" w:space="0" w:color="000000"/>
          <w:right w:val="double" w:sz="6" w:space="0" w:color="000000"/>
        </w:pBdr>
        <w:shd w:val="clear" w:color="auto" w:fill="D9D9D9"/>
        <w:spacing w:after="0"/>
        <w:jc w:val="both"/>
        <w:rPr>
          <w:sz w:val="24"/>
          <w:szCs w:val="24"/>
        </w:rPr>
      </w:pPr>
      <w:r w:rsidRPr="00BE20A6">
        <w:rPr>
          <w:szCs w:val="22"/>
        </w:rPr>
        <w:t>ve věci realizace díla</w:t>
      </w:r>
      <w:r w:rsidRPr="00BE20A6">
        <w:rPr>
          <w:sz w:val="24"/>
          <w:szCs w:val="24"/>
        </w:rPr>
        <w:t xml:space="preserve"> </w:t>
      </w:r>
      <w:r w:rsidRPr="00BE20A6">
        <w:rPr>
          <w:b/>
          <w:sz w:val="24"/>
          <w:szCs w:val="24"/>
        </w:rPr>
        <w:t>„</w:t>
      </w:r>
      <w:r w:rsidRPr="00BE20A6">
        <w:rPr>
          <w:b/>
          <w:bCs/>
          <w:sz w:val="24"/>
          <w:szCs w:val="24"/>
        </w:rPr>
        <w:t>Revitalizace, zabezpečení a digitalizace národní kulturní památky Zemského hřebčince Písek – tribuna a objekt rozhodčích</w:t>
      </w:r>
      <w:r w:rsidRPr="00BE20A6">
        <w:rPr>
          <w:b/>
          <w:sz w:val="24"/>
          <w:szCs w:val="24"/>
        </w:rPr>
        <w:t>“</w:t>
      </w:r>
      <w:r w:rsidRPr="00BE20A6">
        <w:rPr>
          <w:sz w:val="24"/>
          <w:szCs w:val="24"/>
        </w:rPr>
        <w:t>.</w:t>
      </w:r>
    </w:p>
    <w:p w:rsidR="0040133A" w:rsidRDefault="0040133A">
      <w:pPr>
        <w:pStyle w:val="Zpat"/>
        <w:tabs>
          <w:tab w:val="clear" w:pos="4536"/>
          <w:tab w:val="clear" w:pos="9072"/>
          <w:tab w:val="left" w:pos="397"/>
        </w:tabs>
        <w:rPr>
          <w:rFonts w:ascii="Arial" w:hAnsi="Arial" w:cs="Arial"/>
          <w:sz w:val="22"/>
        </w:rPr>
      </w:pPr>
    </w:p>
    <w:p w:rsidR="0040133A" w:rsidRDefault="00D730A1">
      <w:pPr>
        <w:pStyle w:val="Nadpis3"/>
        <w:numPr>
          <w:ilvl w:val="2"/>
          <w:numId w:val="2"/>
        </w:numPr>
        <w:shd w:val="clear" w:color="auto" w:fill="D9D9D9"/>
        <w:tabs>
          <w:tab w:val="left" w:pos="567"/>
        </w:tabs>
        <w:ind w:left="567" w:hanging="567"/>
        <w:jc w:val="both"/>
        <w:rPr>
          <w:sz w:val="22"/>
          <w:szCs w:val="22"/>
        </w:rPr>
      </w:pPr>
      <w:r>
        <w:rPr>
          <w:sz w:val="22"/>
          <w:szCs w:val="22"/>
        </w:rPr>
        <w:t>I.</w:t>
      </w:r>
    </w:p>
    <w:p w:rsidR="0040133A" w:rsidRDefault="0040133A">
      <w:pPr>
        <w:jc w:val="center"/>
        <w:rPr>
          <w:sz w:val="24"/>
          <w:szCs w:val="24"/>
        </w:rPr>
      </w:pPr>
    </w:p>
    <w:p w:rsidR="00BE20A6" w:rsidRPr="00386A07" w:rsidRDefault="00BE20A6" w:rsidP="00BE20A6">
      <w:pPr>
        <w:jc w:val="both"/>
        <w:rPr>
          <w:rFonts w:ascii="Arial" w:hAnsi="Arial" w:cs="Arial"/>
          <w:sz w:val="22"/>
          <w:szCs w:val="22"/>
        </w:rPr>
      </w:pPr>
      <w:r w:rsidRPr="00386A07">
        <w:rPr>
          <w:rFonts w:ascii="Arial" w:hAnsi="Arial" w:cs="Arial"/>
          <w:iCs/>
          <w:sz w:val="22"/>
          <w:szCs w:val="22"/>
        </w:rPr>
        <w:t>Mezi účastníky této Dohody o narovnání byla dne 30. 11. 2017 uzavřena smlouva o dílo (dále jen „</w:t>
      </w:r>
      <w:r w:rsidRPr="00386A07">
        <w:rPr>
          <w:rFonts w:ascii="Arial" w:hAnsi="Arial" w:cs="Arial"/>
          <w:b/>
          <w:iCs/>
          <w:sz w:val="22"/>
          <w:szCs w:val="22"/>
        </w:rPr>
        <w:t>Smlouva o dílo</w:t>
      </w:r>
      <w:r w:rsidRPr="00386A07">
        <w:rPr>
          <w:rFonts w:ascii="Arial" w:hAnsi="Arial" w:cs="Arial"/>
          <w:iCs/>
          <w:sz w:val="22"/>
          <w:szCs w:val="22"/>
        </w:rPr>
        <w:t xml:space="preserve">“), k jejímu uveřejnění v registru smluv došlo 8. prosince 2017. Předmětem Smlouvy o dílo bylo zhotovení stavebního díla „Revitalizace, zabezpečení a digitalizace národní kulturní památky Zemského hřebčince Písek – tribuna a objekt rozhodčích“. Jednalo se o rekonstrukci tribuny SO 01 a výstavbu věže rozhodčích SO 04 v areálu Zemského hřebčince Písek s.p.o. (dále společně jako „dílo“). Dílo již bylo zhotovitelem provedeno a objednatelem převzato. Smlouva o dílo byla dále měněna celkem třemi dodatky. Cena díla byla ve Smlouvě o dílo sjednána ve výši 7.999.109,- Kč bez DPH, objednatel dále byl povinen uhradit sazbu DPH v zákonné výši 21%. Položkový rozpočet stavby byl počítán na desetinná čísla a celková cena díla v něm byla spočtena na částku 7.999.108,33 Kč bez DPH.  </w:t>
      </w:r>
    </w:p>
    <w:p w:rsidR="0040133A" w:rsidRDefault="0040133A">
      <w:pPr>
        <w:jc w:val="both"/>
      </w:pPr>
    </w:p>
    <w:p w:rsidR="0040133A" w:rsidRDefault="0040133A">
      <w:pPr>
        <w:jc w:val="both"/>
      </w:pPr>
    </w:p>
    <w:p w:rsidR="0040133A" w:rsidRDefault="00D730A1">
      <w:pPr>
        <w:pStyle w:val="Nadpis3"/>
        <w:numPr>
          <w:ilvl w:val="2"/>
          <w:numId w:val="2"/>
        </w:numPr>
        <w:shd w:val="clear" w:color="auto" w:fill="D9D9D9"/>
        <w:tabs>
          <w:tab w:val="left" w:pos="567"/>
        </w:tabs>
        <w:ind w:left="567" w:hanging="567"/>
        <w:jc w:val="both"/>
        <w:rPr>
          <w:sz w:val="22"/>
          <w:szCs w:val="22"/>
        </w:rPr>
      </w:pPr>
      <w:r>
        <w:rPr>
          <w:sz w:val="22"/>
          <w:szCs w:val="22"/>
        </w:rPr>
        <w:t>II.</w:t>
      </w:r>
    </w:p>
    <w:p w:rsidR="0040133A" w:rsidRDefault="0040133A">
      <w:pPr>
        <w:jc w:val="center"/>
        <w:rPr>
          <w:sz w:val="24"/>
          <w:szCs w:val="24"/>
        </w:rPr>
      </w:pPr>
    </w:p>
    <w:p w:rsidR="00BE20A6" w:rsidRPr="0029035F" w:rsidRDefault="00BE20A6" w:rsidP="00BE20A6">
      <w:pPr>
        <w:jc w:val="both"/>
        <w:rPr>
          <w:rFonts w:ascii="Arial" w:hAnsi="Arial" w:cs="Arial"/>
          <w:sz w:val="22"/>
          <w:szCs w:val="22"/>
        </w:rPr>
      </w:pPr>
      <w:r w:rsidRPr="0029035F">
        <w:rPr>
          <w:rFonts w:ascii="Arial" w:hAnsi="Arial" w:cs="Arial"/>
          <w:iCs/>
          <w:sz w:val="22"/>
          <w:szCs w:val="22"/>
        </w:rPr>
        <w:t xml:space="preserve">Dodatkem č. 1 ze dne 10. prosince 2018 (uveřejněn v registru smluv 14. prosince 2018) byla cena díla ponížena o částku – 129.790,- Kč bez DPH. Položkový rozpočet byl vyčíslen na - 129.789,98 Kč bez DPH, (správně však mělo být - 129.789,99 Kč bez DPH). K ponížení ceny díla došlo, neboť na stavbě nebyly prováděny některé práce (změna zavětrování, neprovedení montáže zářivek a změna zámečnických konstrukcí dle návrhu zhotovitele doručeného objednateli dne 9. srpna 2018). Smluvní </w:t>
      </w:r>
      <w:r w:rsidRPr="008D0487">
        <w:rPr>
          <w:rFonts w:ascii="Arial" w:hAnsi="Arial" w:cs="Arial"/>
          <w:iCs/>
          <w:sz w:val="22"/>
          <w:szCs w:val="22"/>
        </w:rPr>
        <w:t xml:space="preserve">strany se </w:t>
      </w:r>
      <w:r w:rsidR="0029035F" w:rsidRPr="008D0487">
        <w:rPr>
          <w:rFonts w:ascii="Arial" w:hAnsi="Arial" w:cs="Arial"/>
          <w:iCs/>
          <w:sz w:val="22"/>
          <w:szCs w:val="22"/>
        </w:rPr>
        <w:t>na základě tohoto návrhu zhotovitele</w:t>
      </w:r>
      <w:r w:rsidRPr="008D0487">
        <w:rPr>
          <w:rFonts w:ascii="Arial" w:hAnsi="Arial" w:cs="Arial"/>
          <w:iCs/>
          <w:sz w:val="22"/>
          <w:szCs w:val="22"/>
        </w:rPr>
        <w:t xml:space="preserve"> </w:t>
      </w:r>
      <w:r w:rsidRPr="0029035F">
        <w:rPr>
          <w:rFonts w:ascii="Arial" w:hAnsi="Arial" w:cs="Arial"/>
          <w:iCs/>
          <w:sz w:val="22"/>
          <w:szCs w:val="22"/>
        </w:rPr>
        <w:t xml:space="preserve">dohodly, že celková cena díla bude 7.869.319,- Kč bez DPH, Cena části díla SO 01 Tribuna byla nově vyčíslena na 4.364.021,- Kč bez DPH. Položkový rozpočet k dodatku č. 1 byl vyčíslen na částku 7.869.318,35 Kč bez DPH. (Chybný součet. Správně má být 7.869.318,34 Kč bez DPH). Dodatek č. 1 dále upravoval termín dokončení díla s tím, že lhůta pro dokončení výstavby a předání SO 01 Tribuna a SO 04 Objekt rozhodčích bude nejpozději do 30. dubna 2019.  </w:t>
      </w:r>
    </w:p>
    <w:p w:rsidR="0040133A" w:rsidRDefault="0040133A">
      <w:pPr>
        <w:jc w:val="both"/>
        <w:rPr>
          <w:sz w:val="24"/>
          <w:szCs w:val="24"/>
        </w:rPr>
      </w:pPr>
    </w:p>
    <w:p w:rsidR="00BE20A6" w:rsidRDefault="00BE20A6">
      <w:pPr>
        <w:jc w:val="both"/>
        <w:rPr>
          <w:sz w:val="24"/>
          <w:szCs w:val="24"/>
        </w:rPr>
      </w:pPr>
    </w:p>
    <w:p w:rsidR="0029035F" w:rsidRDefault="0029035F">
      <w:pPr>
        <w:jc w:val="both"/>
        <w:rPr>
          <w:sz w:val="24"/>
          <w:szCs w:val="24"/>
        </w:rPr>
      </w:pPr>
    </w:p>
    <w:p w:rsidR="00BE20A6" w:rsidRDefault="00BE20A6">
      <w:pPr>
        <w:jc w:val="both"/>
        <w:rPr>
          <w:sz w:val="24"/>
          <w:szCs w:val="24"/>
        </w:rPr>
      </w:pPr>
    </w:p>
    <w:p w:rsidR="0040133A" w:rsidRDefault="0040133A">
      <w:pPr>
        <w:jc w:val="both"/>
      </w:pPr>
    </w:p>
    <w:p w:rsidR="0040133A" w:rsidRDefault="00D730A1">
      <w:pPr>
        <w:pStyle w:val="Nadpis3"/>
        <w:numPr>
          <w:ilvl w:val="2"/>
          <w:numId w:val="2"/>
        </w:numPr>
        <w:shd w:val="clear" w:color="auto" w:fill="D9D9D9"/>
        <w:tabs>
          <w:tab w:val="left" w:pos="567"/>
        </w:tabs>
        <w:ind w:left="567" w:hanging="567"/>
        <w:jc w:val="both"/>
        <w:rPr>
          <w:sz w:val="22"/>
          <w:szCs w:val="22"/>
        </w:rPr>
      </w:pPr>
      <w:r>
        <w:rPr>
          <w:sz w:val="22"/>
          <w:szCs w:val="22"/>
        </w:rPr>
        <w:lastRenderedPageBreak/>
        <w:t>III.</w:t>
      </w:r>
    </w:p>
    <w:p w:rsidR="0040133A" w:rsidRDefault="0040133A">
      <w:pPr>
        <w:jc w:val="center"/>
        <w:rPr>
          <w:sz w:val="24"/>
          <w:szCs w:val="24"/>
        </w:rPr>
      </w:pPr>
    </w:p>
    <w:p w:rsidR="00BE20A6" w:rsidRDefault="00BE20A6" w:rsidP="00170CF7">
      <w:pPr>
        <w:pStyle w:val="Zkladntext"/>
        <w:jc w:val="both"/>
        <w:rPr>
          <w:iCs/>
        </w:rPr>
      </w:pPr>
      <w:r>
        <w:rPr>
          <w:iCs/>
        </w:rPr>
        <w:t xml:space="preserve">Dodatkem č. 2 ze dne 8. března 2019 (uveřejněn v registru smluv 11. 3. 2019) byla cena díla opět ponížena, a to nyní o částku -217.787,24 Kč bez DPH z důvodu, že na stavbě nebyly provedeny některé práce dle schváleného rozpočtu (původní kovové zábradlí na tribuně bylo ponecháno), a tím nebylo třeba provést i některé práce související. Smluvní strany se dne </w:t>
      </w:r>
      <w:r>
        <w:rPr>
          <w:iCs/>
        </w:rPr>
        <w:br/>
        <w:t xml:space="preserve">8. 3 2019 dohodly, že cena díla v části SO 01 Tribuna bude činit 4.146.234,- Kč bez DPH a celková cena díla tak nově bude 7.651.532,- Kč bez DPH. Položkový rozpočet k dodatku </w:t>
      </w:r>
      <w:proofErr w:type="gramStart"/>
      <w:r>
        <w:rPr>
          <w:iCs/>
        </w:rPr>
        <w:t>č. 2  ze</w:t>
      </w:r>
      <w:proofErr w:type="gramEnd"/>
      <w:r>
        <w:rPr>
          <w:iCs/>
        </w:rPr>
        <w:t xml:space="preserve"> dne 5. února 2019 byl vyčíslen na  částku 4.146.233,38 Kč bez DPH v části SO 01 Tribuna a za celé dílo na částku 7.651.531,11 Kč bez DPH (Správně má být 7.651.531,10 Kč bez DPH).  Doba předání a převzetí díla nebyla tímto dodatkem dotčena.</w:t>
      </w:r>
    </w:p>
    <w:p w:rsidR="0040133A" w:rsidRDefault="0040133A">
      <w:pPr>
        <w:jc w:val="both"/>
        <w:rPr>
          <w:sz w:val="24"/>
          <w:szCs w:val="24"/>
        </w:rPr>
      </w:pPr>
    </w:p>
    <w:p w:rsidR="0040133A" w:rsidRDefault="0040133A">
      <w:pPr>
        <w:jc w:val="both"/>
        <w:rPr>
          <w:sz w:val="24"/>
          <w:szCs w:val="24"/>
        </w:rPr>
      </w:pPr>
    </w:p>
    <w:p w:rsidR="0040133A" w:rsidRDefault="00D730A1">
      <w:pPr>
        <w:pStyle w:val="Nadpis3"/>
        <w:numPr>
          <w:ilvl w:val="2"/>
          <w:numId w:val="2"/>
        </w:numPr>
        <w:shd w:val="clear" w:color="auto" w:fill="D9D9D9"/>
        <w:tabs>
          <w:tab w:val="left" w:pos="567"/>
        </w:tabs>
        <w:ind w:left="567" w:hanging="567"/>
        <w:jc w:val="both"/>
        <w:rPr>
          <w:sz w:val="22"/>
          <w:szCs w:val="22"/>
        </w:rPr>
      </w:pPr>
      <w:r>
        <w:rPr>
          <w:sz w:val="22"/>
          <w:szCs w:val="22"/>
        </w:rPr>
        <w:t>IV.</w:t>
      </w:r>
    </w:p>
    <w:p w:rsidR="0040133A" w:rsidRDefault="0040133A">
      <w:pPr>
        <w:jc w:val="center"/>
        <w:rPr>
          <w:sz w:val="24"/>
          <w:szCs w:val="24"/>
        </w:rPr>
      </w:pPr>
    </w:p>
    <w:p w:rsidR="00BE20A6" w:rsidRDefault="00BE20A6" w:rsidP="00170CF7">
      <w:pPr>
        <w:pStyle w:val="Zkladntext"/>
        <w:jc w:val="both"/>
        <w:rPr>
          <w:iCs/>
        </w:rPr>
      </w:pPr>
      <w:r>
        <w:rPr>
          <w:iCs/>
        </w:rPr>
        <w:t>Dodatkem č. 3 ze dne 25. dubna 2019 (uveřejněn v registru smluv 21. května 2019) byl upraven rozsah prací na části díla označené SO 04 Objekt rozhodčích. Cena dílčí části označené SO 04 Objekt rozhodčích byla navýšena o částku 26 514,13 Kč bez DPH, za práce, které si objednatel před dokončením stavby doobjednal nad rámec položkového rozpočtu Smlouvy o dílo. Smluvní strany se dne 25. dubna 2019 dohodly, že cena díla bude 7.678.045,24</w:t>
      </w:r>
      <w:r>
        <w:t xml:space="preserve"> </w:t>
      </w:r>
      <w:r>
        <w:rPr>
          <w:iCs/>
        </w:rPr>
        <w:t>Kč bez DPH. Při zohlednění výše zmíněné chyby v haléřích celková cena díla vychází 7.678.045,23 Kč bez DPH. Cena SO 01 Tribuna zůstává ve výši upravené dodatkem č. 2, tedy 4.146.233,38 a cena SO 04 Objektu rozhodčích byla nově dle položkového rozpočtu stanovena na 3.531.811,76 Kč bez DPH. (Dopočtem bylo zjištěno, že součet nesouhlasí, správně má být výsledná cena SO 04 Objektu rozhodčích 3.531.811,85 Kč bez DPH).</w:t>
      </w:r>
    </w:p>
    <w:p w:rsidR="00BE20A6" w:rsidRDefault="00BE20A6" w:rsidP="00170CF7">
      <w:pPr>
        <w:jc w:val="both"/>
        <w:rPr>
          <w:iCs/>
        </w:rPr>
      </w:pPr>
    </w:p>
    <w:p w:rsidR="0040133A" w:rsidRDefault="0040133A">
      <w:pPr>
        <w:jc w:val="both"/>
        <w:rPr>
          <w:sz w:val="24"/>
          <w:szCs w:val="24"/>
        </w:rPr>
      </w:pPr>
    </w:p>
    <w:p w:rsidR="0040133A" w:rsidRDefault="0040133A">
      <w:pPr>
        <w:jc w:val="both"/>
        <w:rPr>
          <w:sz w:val="24"/>
          <w:szCs w:val="24"/>
        </w:rPr>
      </w:pPr>
    </w:p>
    <w:p w:rsidR="0040133A" w:rsidRDefault="00D730A1">
      <w:pPr>
        <w:pStyle w:val="Nadpis3"/>
        <w:numPr>
          <w:ilvl w:val="2"/>
          <w:numId w:val="2"/>
        </w:numPr>
        <w:shd w:val="clear" w:color="auto" w:fill="D9D9D9"/>
        <w:tabs>
          <w:tab w:val="left" w:pos="567"/>
        </w:tabs>
        <w:ind w:left="567" w:hanging="567"/>
        <w:jc w:val="both"/>
        <w:rPr>
          <w:sz w:val="22"/>
          <w:szCs w:val="22"/>
        </w:rPr>
      </w:pPr>
      <w:r>
        <w:rPr>
          <w:sz w:val="22"/>
          <w:szCs w:val="22"/>
        </w:rPr>
        <w:t>V.</w:t>
      </w:r>
    </w:p>
    <w:p w:rsidR="00BE20A6" w:rsidRDefault="00BE20A6" w:rsidP="00BE20A6">
      <w:pPr>
        <w:pStyle w:val="Zkladntext"/>
        <w:jc w:val="center"/>
        <w:rPr>
          <w:iCs/>
        </w:rPr>
      </w:pPr>
    </w:p>
    <w:p w:rsidR="00BE20A6" w:rsidRPr="0029035F" w:rsidRDefault="00BE20A6" w:rsidP="00170CF7">
      <w:pPr>
        <w:pStyle w:val="Zkladntext"/>
        <w:jc w:val="both"/>
      </w:pPr>
      <w:r>
        <w:rPr>
          <w:iCs/>
        </w:rPr>
        <w:t>Zhotovitel dne 30. 6. 2018 vystavil objednateli fakturu č. 200180086 na částku 643.076,-Kč za práce, které nebyly provedeny zcela a zhotovitelem byly chybně vyúčtovány v plném rozsahu. Zástupce objednatele tuto fakturu řádně převzal a potvrdil věcnou správnost, o správnosti výše faktury následně vznikl soudní spor, který skončil soudním smírem. V něm se zhotovitel zavázal uhradit pouze část faktury zhotovitele č.200180086, za již provedené práce ve výši 483.757,99 Kč, zbylá částka 159.317,65 Kč pak zhotovitelem vyžadována nebyla.</w:t>
      </w:r>
    </w:p>
    <w:p w:rsidR="00BE20A6" w:rsidRDefault="00BE20A6" w:rsidP="00170CF7">
      <w:pPr>
        <w:pStyle w:val="Zkladntext"/>
        <w:jc w:val="both"/>
        <w:rPr>
          <w:iCs/>
        </w:rPr>
      </w:pPr>
      <w:r>
        <w:rPr>
          <w:iCs/>
        </w:rPr>
        <w:t>Vzhledem k tomu, že faktura 200180086 byla již zaúčtována jak u zhotovitele, tak u objednatele, vystavil poté zhotovitel dne 22. 11. 2018 fakturu – dobropis č. 200180209 na částku -159.317,65 Kč, za neprovedené práce.</w:t>
      </w:r>
    </w:p>
    <w:p w:rsidR="00BE20A6" w:rsidRDefault="00BE20A6" w:rsidP="00170CF7">
      <w:pPr>
        <w:pStyle w:val="Zkladntext"/>
        <w:jc w:val="both"/>
        <w:rPr>
          <w:iCs/>
          <w:szCs w:val="24"/>
        </w:rPr>
      </w:pPr>
      <w:r>
        <w:rPr>
          <w:iCs/>
          <w:szCs w:val="24"/>
        </w:rPr>
        <w:t xml:space="preserve">Poté došlo dne 8. března 2019 k uzavření dodatku č. 2, kterým byl snížen objem prováděných prací o částku -217.787,24 Kč, v této částce byla již zahrnuta dobropisovaná částka – 159.317,65 Kč. Zhotovitel vystavil dne 30.4.2019 v pořadí druhý dobropis č. 200190045 na částku -58.469,59 Kč, neboť v souvislosti s dodatkem č. 2 nebyly zhotovitelem prováděny další navázané práce. Celková dobropisovaná částka tak odpovídá dodatku č. 2 ze dne 8. března 2019. Smluvní strany tedy došly ke shodě, že dobropisované částky plně odpovídají snížení ceny díla upravené dodatkem č. 2 ze dne </w:t>
      </w:r>
      <w:proofErr w:type="gramStart"/>
      <w:r>
        <w:rPr>
          <w:iCs/>
          <w:szCs w:val="24"/>
        </w:rPr>
        <w:t>30.4.2019</w:t>
      </w:r>
      <w:proofErr w:type="gramEnd"/>
      <w:r>
        <w:rPr>
          <w:iCs/>
          <w:szCs w:val="24"/>
        </w:rPr>
        <w:t xml:space="preserve">  celkem o -217.787,24 Kč. </w:t>
      </w:r>
    </w:p>
    <w:p w:rsidR="0029035F" w:rsidRDefault="0029035F" w:rsidP="00BE20A6">
      <w:pPr>
        <w:pStyle w:val="Zkladntext"/>
        <w:rPr>
          <w:iCs/>
          <w:szCs w:val="24"/>
        </w:rPr>
      </w:pPr>
    </w:p>
    <w:p w:rsidR="0029035F" w:rsidRDefault="0029035F" w:rsidP="00BE20A6">
      <w:pPr>
        <w:pStyle w:val="Zkladntext"/>
      </w:pPr>
    </w:p>
    <w:p w:rsidR="008D0487" w:rsidRDefault="008D0487" w:rsidP="00BE20A6">
      <w:pPr>
        <w:pStyle w:val="Zkladntext"/>
      </w:pPr>
    </w:p>
    <w:p w:rsidR="008D0487" w:rsidRDefault="008D0487" w:rsidP="00BE20A6">
      <w:pPr>
        <w:pStyle w:val="Zkladntext"/>
      </w:pPr>
    </w:p>
    <w:p w:rsidR="00BE20A6" w:rsidRDefault="00BE20A6" w:rsidP="00BE20A6">
      <w:pPr>
        <w:pStyle w:val="Nadpis3"/>
        <w:numPr>
          <w:ilvl w:val="2"/>
          <w:numId w:val="2"/>
        </w:numPr>
        <w:shd w:val="clear" w:color="auto" w:fill="D9D9D9"/>
        <w:tabs>
          <w:tab w:val="left" w:pos="567"/>
        </w:tabs>
        <w:ind w:left="567" w:hanging="567"/>
        <w:jc w:val="both"/>
        <w:rPr>
          <w:sz w:val="22"/>
          <w:szCs w:val="22"/>
        </w:rPr>
      </w:pPr>
      <w:r>
        <w:rPr>
          <w:sz w:val="22"/>
          <w:szCs w:val="22"/>
        </w:rPr>
        <w:lastRenderedPageBreak/>
        <w:t>VI.</w:t>
      </w:r>
    </w:p>
    <w:p w:rsidR="00BE20A6" w:rsidRDefault="00BE20A6" w:rsidP="00BE20A6">
      <w:pPr>
        <w:pStyle w:val="Zkladntext"/>
        <w:rPr>
          <w:iCs/>
        </w:rPr>
      </w:pPr>
    </w:p>
    <w:p w:rsidR="00BE20A6" w:rsidRDefault="00BE20A6" w:rsidP="00170CF7">
      <w:pPr>
        <w:pStyle w:val="Zkladntext"/>
        <w:jc w:val="both"/>
      </w:pPr>
      <w:r>
        <w:rPr>
          <w:iCs/>
        </w:rPr>
        <w:t xml:space="preserve">Smluvní strany proto narovnávají tato výše uvedená sporná práva a povinnosti tak, že objednatel je povinen doplatit pouze částku 1.316.515,24 Kč. Doposud bylo na faktury zhotovitele zaplaceno celkem 6.361.529,99 Kč. Zaplacením </w:t>
      </w:r>
      <w:r w:rsidRPr="008D0487">
        <w:rPr>
          <w:iCs/>
        </w:rPr>
        <w:t xml:space="preserve">částky </w:t>
      </w:r>
      <w:r w:rsidRPr="008D0487">
        <w:rPr>
          <w:b/>
          <w:bCs/>
          <w:iCs/>
        </w:rPr>
        <w:t>1.316.51</w:t>
      </w:r>
      <w:r w:rsidR="00170CF7" w:rsidRPr="008D0487">
        <w:rPr>
          <w:b/>
          <w:bCs/>
          <w:iCs/>
        </w:rPr>
        <w:t>4,89</w:t>
      </w:r>
      <w:r w:rsidRPr="008D0487">
        <w:rPr>
          <w:iCs/>
        </w:rPr>
        <w:t xml:space="preserve"> Kč bude uhrazeno celkem </w:t>
      </w:r>
      <w:r w:rsidRPr="008D0487">
        <w:rPr>
          <w:b/>
          <w:bCs/>
          <w:iCs/>
        </w:rPr>
        <w:t>7.678.045,23</w:t>
      </w:r>
      <w:r w:rsidRPr="008D0487">
        <w:rPr>
          <w:iCs/>
        </w:rPr>
        <w:t xml:space="preserve"> Kč. Tedy bude zaplacena částka odpovídající Smlouvě o dílo upravené dodatky č. 1, 2, 3, jak vyplývá z následující tabulky - rekapitulace ceny díla po zohlednění všech dodatků a při dopočítání ceny na haléře. Zhotovitel výslovně prohlašuje, že rozdíl ve výši 3</w:t>
      </w:r>
      <w:r w:rsidR="00170CF7" w:rsidRPr="008D0487">
        <w:rPr>
          <w:iCs/>
        </w:rPr>
        <w:t>5</w:t>
      </w:r>
      <w:r w:rsidRPr="008D0487">
        <w:rPr>
          <w:iCs/>
        </w:rPr>
        <w:t xml:space="preserve"> haléřů (objednatel uhradí celkově částku o 3</w:t>
      </w:r>
      <w:r w:rsidR="00170CF7" w:rsidRPr="008D0487">
        <w:rPr>
          <w:iCs/>
        </w:rPr>
        <w:t>5</w:t>
      </w:r>
      <w:r w:rsidRPr="008D0487">
        <w:rPr>
          <w:iCs/>
        </w:rPr>
        <w:t xml:space="preserve"> haléřů nižší </w:t>
      </w:r>
      <w:r>
        <w:rPr>
          <w:iCs/>
        </w:rPr>
        <w:t>než je cena díla ve znění dodatku č. 3 uvedená v následující tabulce)</w:t>
      </w:r>
      <w:r w:rsidR="00170CF7">
        <w:rPr>
          <w:iCs/>
        </w:rPr>
        <w:t xml:space="preserve"> </w:t>
      </w:r>
      <w:r>
        <w:rPr>
          <w:iCs/>
        </w:rPr>
        <w:t xml:space="preserve">je způsoben vedením položkového rozpočtu v jeho účetním systému a na úhradu tohoto rozdílu mu účinností této dohody zaniká jakýkoliv právní nárok. </w:t>
      </w:r>
    </w:p>
    <w:p w:rsidR="00BE20A6" w:rsidRDefault="00BE20A6" w:rsidP="00BE20A6">
      <w:pPr>
        <w:pStyle w:val="Zkladntext"/>
        <w:rPr>
          <w:iCs/>
        </w:rPr>
      </w:pPr>
    </w:p>
    <w:tbl>
      <w:tblPr>
        <w:tblW w:w="5640" w:type="dxa"/>
        <w:jc w:val="center"/>
        <w:tblCellMar>
          <w:left w:w="70" w:type="dxa"/>
          <w:right w:w="70" w:type="dxa"/>
        </w:tblCellMar>
        <w:tblLook w:val="04A0" w:firstRow="1" w:lastRow="0" w:firstColumn="1" w:lastColumn="0" w:noHBand="0" w:noVBand="1"/>
      </w:tblPr>
      <w:tblGrid>
        <w:gridCol w:w="3740"/>
        <w:gridCol w:w="1900"/>
      </w:tblGrid>
      <w:tr w:rsidR="00BE20A6" w:rsidTr="00592566">
        <w:trPr>
          <w:trHeight w:val="324"/>
          <w:jc w:val="center"/>
        </w:trPr>
        <w:tc>
          <w:tcPr>
            <w:tcW w:w="3739" w:type="dxa"/>
            <w:tcBorders>
              <w:top w:val="single" w:sz="8" w:space="0" w:color="000000"/>
              <w:left w:val="single" w:sz="8" w:space="0" w:color="000000"/>
              <w:bottom w:val="single" w:sz="8" w:space="0" w:color="000000"/>
              <w:right w:val="single" w:sz="4" w:space="0" w:color="000000"/>
            </w:tcBorders>
            <w:vAlign w:val="bottom"/>
            <w:hideMark/>
          </w:tcPr>
          <w:p w:rsidR="00BE20A6" w:rsidRDefault="00BE20A6" w:rsidP="00592566">
            <w:pPr>
              <w:suppressAutoHyphens w:val="0"/>
              <w:rPr>
                <w:b/>
                <w:bCs/>
                <w:sz w:val="24"/>
                <w:szCs w:val="24"/>
                <w:lang w:eastAsia="cs-CZ" w:bidi="hi-IN"/>
              </w:rPr>
            </w:pPr>
            <w:r>
              <w:rPr>
                <w:b/>
                <w:bCs/>
                <w:sz w:val="24"/>
                <w:szCs w:val="24"/>
                <w:lang w:eastAsia="cs-CZ" w:bidi="hi-IN"/>
              </w:rPr>
              <w:t xml:space="preserve">Celková cena díla: </w:t>
            </w:r>
          </w:p>
        </w:tc>
        <w:tc>
          <w:tcPr>
            <w:tcW w:w="1900" w:type="dxa"/>
            <w:tcBorders>
              <w:top w:val="single" w:sz="8" w:space="0" w:color="000000"/>
              <w:left w:val="nil"/>
              <w:bottom w:val="single" w:sz="8" w:space="0" w:color="000000"/>
              <w:right w:val="single" w:sz="8" w:space="0" w:color="000000"/>
            </w:tcBorders>
            <w:vAlign w:val="bottom"/>
            <w:hideMark/>
          </w:tcPr>
          <w:p w:rsidR="00BE20A6" w:rsidRDefault="00BE20A6" w:rsidP="00592566">
            <w:pPr>
              <w:suppressAutoHyphens w:val="0"/>
              <w:rPr>
                <w:b/>
                <w:bCs/>
                <w:sz w:val="24"/>
                <w:szCs w:val="24"/>
                <w:lang w:eastAsia="cs-CZ" w:bidi="hi-IN"/>
              </w:rPr>
            </w:pPr>
            <w:r>
              <w:rPr>
                <w:b/>
                <w:bCs/>
                <w:sz w:val="24"/>
                <w:szCs w:val="24"/>
                <w:lang w:eastAsia="cs-CZ" w:bidi="hi-IN"/>
              </w:rPr>
              <w:t xml:space="preserve">     7 999 108,33    </w:t>
            </w:r>
          </w:p>
        </w:tc>
      </w:tr>
      <w:tr w:rsidR="00BE20A6" w:rsidTr="00592566">
        <w:trPr>
          <w:trHeight w:val="312"/>
          <w:jc w:val="center"/>
        </w:trPr>
        <w:tc>
          <w:tcPr>
            <w:tcW w:w="3739" w:type="dxa"/>
            <w:tcBorders>
              <w:top w:val="nil"/>
              <w:left w:val="single" w:sz="8" w:space="0" w:color="000000"/>
              <w:bottom w:val="single" w:sz="4" w:space="0" w:color="000000"/>
              <w:right w:val="single" w:sz="4"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SO 01 - Tribuna:</w:t>
            </w:r>
          </w:p>
        </w:tc>
        <w:tc>
          <w:tcPr>
            <w:tcW w:w="1900" w:type="dxa"/>
            <w:tcBorders>
              <w:top w:val="nil"/>
              <w:left w:val="nil"/>
              <w:bottom w:val="single" w:sz="4" w:space="0" w:color="000000"/>
              <w:right w:val="single" w:sz="8"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 xml:space="preserve">    4 493 810,61    </w:t>
            </w:r>
          </w:p>
        </w:tc>
      </w:tr>
      <w:tr w:rsidR="00BE20A6" w:rsidTr="00592566">
        <w:trPr>
          <w:trHeight w:val="324"/>
          <w:jc w:val="center"/>
        </w:trPr>
        <w:tc>
          <w:tcPr>
            <w:tcW w:w="3739" w:type="dxa"/>
            <w:tcBorders>
              <w:top w:val="nil"/>
              <w:left w:val="single" w:sz="8" w:space="0" w:color="000000"/>
              <w:bottom w:val="nil"/>
              <w:right w:val="single" w:sz="4"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SO 04 - Objekt rozhodčích:</w:t>
            </w:r>
          </w:p>
        </w:tc>
        <w:tc>
          <w:tcPr>
            <w:tcW w:w="1900" w:type="dxa"/>
            <w:tcBorders>
              <w:top w:val="nil"/>
              <w:left w:val="nil"/>
              <w:bottom w:val="nil"/>
              <w:right w:val="single" w:sz="8"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 xml:space="preserve">    3 505 297,72    </w:t>
            </w:r>
          </w:p>
        </w:tc>
      </w:tr>
      <w:tr w:rsidR="00BE20A6" w:rsidTr="00592566">
        <w:trPr>
          <w:trHeight w:val="312"/>
          <w:jc w:val="center"/>
        </w:trPr>
        <w:tc>
          <w:tcPr>
            <w:tcW w:w="3739" w:type="dxa"/>
            <w:tcBorders>
              <w:top w:val="single" w:sz="8" w:space="0" w:color="000000"/>
              <w:left w:val="single" w:sz="8" w:space="0" w:color="000000"/>
              <w:bottom w:val="single" w:sz="4" w:space="0" w:color="000000"/>
              <w:right w:val="single" w:sz="4" w:space="0" w:color="000000"/>
            </w:tcBorders>
            <w:vAlign w:val="bottom"/>
            <w:hideMark/>
          </w:tcPr>
          <w:p w:rsidR="00BE20A6" w:rsidRDefault="00BE20A6" w:rsidP="00592566">
            <w:pPr>
              <w:suppressAutoHyphens w:val="0"/>
              <w:rPr>
                <w:sz w:val="24"/>
                <w:szCs w:val="24"/>
                <w:u w:val="single"/>
                <w:lang w:eastAsia="cs-CZ" w:bidi="hi-IN"/>
              </w:rPr>
            </w:pPr>
            <w:r>
              <w:rPr>
                <w:sz w:val="24"/>
                <w:szCs w:val="24"/>
                <w:u w:val="single"/>
                <w:lang w:eastAsia="cs-CZ" w:bidi="hi-IN"/>
              </w:rPr>
              <w:t>Dodatek č. 1</w:t>
            </w:r>
          </w:p>
        </w:tc>
        <w:tc>
          <w:tcPr>
            <w:tcW w:w="1900" w:type="dxa"/>
            <w:tcBorders>
              <w:top w:val="single" w:sz="8" w:space="0" w:color="000000"/>
              <w:left w:val="nil"/>
              <w:bottom w:val="single" w:sz="4" w:space="0" w:color="000000"/>
              <w:right w:val="single" w:sz="8" w:space="0" w:color="000000"/>
            </w:tcBorders>
            <w:vAlign w:val="bottom"/>
            <w:hideMark/>
          </w:tcPr>
          <w:p w:rsidR="00BE20A6" w:rsidRDefault="00BE20A6" w:rsidP="00592566">
            <w:pPr>
              <w:suppressAutoHyphens w:val="0"/>
              <w:rPr>
                <w:sz w:val="24"/>
                <w:szCs w:val="24"/>
                <w:lang w:eastAsia="cs-CZ" w:bidi="hi-IN"/>
              </w:rPr>
            </w:pPr>
            <w:r>
              <w:rPr>
                <w:sz w:val="24"/>
                <w:szCs w:val="24"/>
                <w:lang w:eastAsia="cs-CZ" w:bidi="hi-IN"/>
              </w:rPr>
              <w:t xml:space="preserve">-      129 789,99    </w:t>
            </w:r>
          </w:p>
        </w:tc>
      </w:tr>
      <w:tr w:rsidR="00BE20A6" w:rsidTr="00592566">
        <w:trPr>
          <w:trHeight w:val="324"/>
          <w:jc w:val="center"/>
        </w:trPr>
        <w:tc>
          <w:tcPr>
            <w:tcW w:w="3739" w:type="dxa"/>
            <w:tcBorders>
              <w:top w:val="nil"/>
              <w:left w:val="single" w:sz="8" w:space="0" w:color="000000"/>
              <w:bottom w:val="single" w:sz="8" w:space="0" w:color="000000"/>
              <w:right w:val="single" w:sz="4" w:space="0" w:color="000000"/>
            </w:tcBorders>
            <w:vAlign w:val="bottom"/>
            <w:hideMark/>
          </w:tcPr>
          <w:p w:rsidR="00BE20A6" w:rsidRDefault="00BE20A6" w:rsidP="00592566">
            <w:pPr>
              <w:suppressAutoHyphens w:val="0"/>
              <w:rPr>
                <w:b/>
                <w:bCs/>
                <w:sz w:val="24"/>
                <w:szCs w:val="24"/>
                <w:lang w:eastAsia="cs-CZ" w:bidi="hi-IN"/>
              </w:rPr>
            </w:pPr>
            <w:r>
              <w:rPr>
                <w:b/>
                <w:bCs/>
                <w:sz w:val="24"/>
                <w:szCs w:val="24"/>
                <w:lang w:eastAsia="cs-CZ" w:bidi="hi-IN"/>
              </w:rPr>
              <w:t>Cena díla po DOD č. 1</w:t>
            </w:r>
          </w:p>
        </w:tc>
        <w:tc>
          <w:tcPr>
            <w:tcW w:w="1900" w:type="dxa"/>
            <w:tcBorders>
              <w:top w:val="nil"/>
              <w:left w:val="nil"/>
              <w:bottom w:val="single" w:sz="8" w:space="0" w:color="000000"/>
              <w:right w:val="single" w:sz="8" w:space="0" w:color="000000"/>
            </w:tcBorders>
            <w:vAlign w:val="bottom"/>
            <w:hideMark/>
          </w:tcPr>
          <w:p w:rsidR="00BE20A6" w:rsidRDefault="00BE20A6" w:rsidP="00592566">
            <w:pPr>
              <w:suppressAutoHyphens w:val="0"/>
              <w:rPr>
                <w:b/>
                <w:bCs/>
                <w:sz w:val="24"/>
                <w:szCs w:val="24"/>
                <w:lang w:eastAsia="cs-CZ" w:bidi="hi-IN"/>
              </w:rPr>
            </w:pPr>
            <w:r>
              <w:rPr>
                <w:b/>
                <w:bCs/>
                <w:sz w:val="24"/>
                <w:szCs w:val="24"/>
                <w:lang w:eastAsia="cs-CZ" w:bidi="hi-IN"/>
              </w:rPr>
              <w:t xml:space="preserve">     7 869 318,34    </w:t>
            </w:r>
          </w:p>
        </w:tc>
      </w:tr>
      <w:tr w:rsidR="00BE20A6" w:rsidTr="00592566">
        <w:trPr>
          <w:trHeight w:val="312"/>
          <w:jc w:val="center"/>
        </w:trPr>
        <w:tc>
          <w:tcPr>
            <w:tcW w:w="3739" w:type="dxa"/>
            <w:tcBorders>
              <w:top w:val="nil"/>
              <w:left w:val="single" w:sz="8" w:space="0" w:color="000000"/>
              <w:bottom w:val="single" w:sz="4" w:space="0" w:color="000000"/>
              <w:right w:val="single" w:sz="4"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SO 01 - Tribuna:</w:t>
            </w:r>
          </w:p>
        </w:tc>
        <w:tc>
          <w:tcPr>
            <w:tcW w:w="1900" w:type="dxa"/>
            <w:tcBorders>
              <w:top w:val="nil"/>
              <w:left w:val="nil"/>
              <w:bottom w:val="single" w:sz="4" w:space="0" w:color="000000"/>
              <w:right w:val="single" w:sz="8"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 xml:space="preserve">    4 364 020,62    </w:t>
            </w:r>
          </w:p>
        </w:tc>
      </w:tr>
      <w:tr w:rsidR="00BE20A6" w:rsidTr="00592566">
        <w:trPr>
          <w:trHeight w:val="324"/>
          <w:jc w:val="center"/>
        </w:trPr>
        <w:tc>
          <w:tcPr>
            <w:tcW w:w="3739" w:type="dxa"/>
            <w:tcBorders>
              <w:top w:val="nil"/>
              <w:left w:val="single" w:sz="8" w:space="0" w:color="000000"/>
              <w:bottom w:val="nil"/>
              <w:right w:val="single" w:sz="4"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SO 04 - Objekt rozhodčích:</w:t>
            </w:r>
          </w:p>
        </w:tc>
        <w:tc>
          <w:tcPr>
            <w:tcW w:w="1900" w:type="dxa"/>
            <w:tcBorders>
              <w:top w:val="nil"/>
              <w:left w:val="nil"/>
              <w:bottom w:val="nil"/>
              <w:right w:val="single" w:sz="8"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 xml:space="preserve">    3 505 297,72    </w:t>
            </w:r>
          </w:p>
        </w:tc>
      </w:tr>
      <w:tr w:rsidR="00BE20A6" w:rsidTr="00592566">
        <w:trPr>
          <w:trHeight w:val="312"/>
          <w:jc w:val="center"/>
        </w:trPr>
        <w:tc>
          <w:tcPr>
            <w:tcW w:w="3739" w:type="dxa"/>
            <w:tcBorders>
              <w:top w:val="single" w:sz="8" w:space="0" w:color="000000"/>
              <w:left w:val="single" w:sz="8" w:space="0" w:color="000000"/>
              <w:bottom w:val="single" w:sz="4" w:space="0" w:color="000000"/>
              <w:right w:val="single" w:sz="4" w:space="0" w:color="000000"/>
            </w:tcBorders>
            <w:vAlign w:val="bottom"/>
            <w:hideMark/>
          </w:tcPr>
          <w:p w:rsidR="00BE20A6" w:rsidRDefault="00BE20A6" w:rsidP="00592566">
            <w:pPr>
              <w:suppressAutoHyphens w:val="0"/>
              <w:rPr>
                <w:sz w:val="24"/>
                <w:szCs w:val="24"/>
                <w:u w:val="single"/>
                <w:lang w:eastAsia="cs-CZ" w:bidi="hi-IN"/>
              </w:rPr>
            </w:pPr>
            <w:r>
              <w:rPr>
                <w:sz w:val="24"/>
                <w:szCs w:val="24"/>
                <w:u w:val="single"/>
                <w:lang w:eastAsia="cs-CZ" w:bidi="hi-IN"/>
              </w:rPr>
              <w:t>Dodatek č. 2</w:t>
            </w:r>
          </w:p>
        </w:tc>
        <w:tc>
          <w:tcPr>
            <w:tcW w:w="1900" w:type="dxa"/>
            <w:tcBorders>
              <w:top w:val="single" w:sz="8" w:space="0" w:color="000000"/>
              <w:left w:val="nil"/>
              <w:bottom w:val="single" w:sz="4" w:space="0" w:color="000000"/>
              <w:right w:val="single" w:sz="8" w:space="0" w:color="000000"/>
            </w:tcBorders>
            <w:vAlign w:val="bottom"/>
            <w:hideMark/>
          </w:tcPr>
          <w:p w:rsidR="00BE20A6" w:rsidRDefault="00BE20A6" w:rsidP="00592566">
            <w:pPr>
              <w:suppressAutoHyphens w:val="0"/>
              <w:rPr>
                <w:sz w:val="24"/>
                <w:szCs w:val="24"/>
                <w:lang w:eastAsia="cs-CZ" w:bidi="hi-IN"/>
              </w:rPr>
            </w:pPr>
            <w:r>
              <w:rPr>
                <w:sz w:val="24"/>
                <w:szCs w:val="24"/>
                <w:lang w:eastAsia="cs-CZ" w:bidi="hi-IN"/>
              </w:rPr>
              <w:t xml:space="preserve">-      217 787,24    </w:t>
            </w:r>
          </w:p>
        </w:tc>
      </w:tr>
      <w:tr w:rsidR="00BE20A6" w:rsidTr="00592566">
        <w:trPr>
          <w:trHeight w:val="324"/>
          <w:jc w:val="center"/>
        </w:trPr>
        <w:tc>
          <w:tcPr>
            <w:tcW w:w="3739" w:type="dxa"/>
            <w:tcBorders>
              <w:top w:val="nil"/>
              <w:left w:val="single" w:sz="8" w:space="0" w:color="000000"/>
              <w:bottom w:val="single" w:sz="8" w:space="0" w:color="000000"/>
              <w:right w:val="single" w:sz="4" w:space="0" w:color="000000"/>
            </w:tcBorders>
            <w:vAlign w:val="bottom"/>
            <w:hideMark/>
          </w:tcPr>
          <w:p w:rsidR="00BE20A6" w:rsidRDefault="00BE20A6" w:rsidP="00592566">
            <w:pPr>
              <w:suppressAutoHyphens w:val="0"/>
              <w:rPr>
                <w:b/>
                <w:bCs/>
                <w:sz w:val="24"/>
                <w:szCs w:val="24"/>
                <w:lang w:eastAsia="cs-CZ" w:bidi="hi-IN"/>
              </w:rPr>
            </w:pPr>
            <w:r>
              <w:rPr>
                <w:b/>
                <w:bCs/>
                <w:sz w:val="24"/>
                <w:szCs w:val="24"/>
                <w:lang w:eastAsia="cs-CZ" w:bidi="hi-IN"/>
              </w:rPr>
              <w:t>Cena díla po DOD č. 2</w:t>
            </w:r>
          </w:p>
        </w:tc>
        <w:tc>
          <w:tcPr>
            <w:tcW w:w="1900" w:type="dxa"/>
            <w:tcBorders>
              <w:top w:val="nil"/>
              <w:left w:val="nil"/>
              <w:bottom w:val="single" w:sz="8" w:space="0" w:color="000000"/>
              <w:right w:val="single" w:sz="8" w:space="0" w:color="000000"/>
            </w:tcBorders>
            <w:vAlign w:val="bottom"/>
            <w:hideMark/>
          </w:tcPr>
          <w:p w:rsidR="00BE20A6" w:rsidRDefault="00BE20A6" w:rsidP="00592566">
            <w:pPr>
              <w:suppressAutoHyphens w:val="0"/>
              <w:rPr>
                <w:b/>
                <w:bCs/>
                <w:sz w:val="24"/>
                <w:szCs w:val="24"/>
                <w:lang w:eastAsia="cs-CZ" w:bidi="hi-IN"/>
              </w:rPr>
            </w:pPr>
            <w:r>
              <w:rPr>
                <w:b/>
                <w:bCs/>
                <w:sz w:val="24"/>
                <w:szCs w:val="24"/>
                <w:lang w:eastAsia="cs-CZ" w:bidi="hi-IN"/>
              </w:rPr>
              <w:t xml:space="preserve">     7 651 531,10    </w:t>
            </w:r>
          </w:p>
        </w:tc>
      </w:tr>
      <w:tr w:rsidR="00BE20A6" w:rsidTr="00592566">
        <w:trPr>
          <w:trHeight w:val="312"/>
          <w:jc w:val="center"/>
        </w:trPr>
        <w:tc>
          <w:tcPr>
            <w:tcW w:w="3739" w:type="dxa"/>
            <w:tcBorders>
              <w:top w:val="nil"/>
              <w:left w:val="single" w:sz="8" w:space="0" w:color="000000"/>
              <w:bottom w:val="single" w:sz="4" w:space="0" w:color="000000"/>
              <w:right w:val="single" w:sz="4"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SO 01 - Tribuna:</w:t>
            </w:r>
          </w:p>
        </w:tc>
        <w:tc>
          <w:tcPr>
            <w:tcW w:w="1900" w:type="dxa"/>
            <w:tcBorders>
              <w:top w:val="nil"/>
              <w:left w:val="nil"/>
              <w:bottom w:val="single" w:sz="4" w:space="0" w:color="000000"/>
              <w:right w:val="single" w:sz="8"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 xml:space="preserve">    4 146 233,38    </w:t>
            </w:r>
          </w:p>
        </w:tc>
      </w:tr>
      <w:tr w:rsidR="00BE20A6" w:rsidTr="00592566">
        <w:trPr>
          <w:trHeight w:val="324"/>
          <w:jc w:val="center"/>
        </w:trPr>
        <w:tc>
          <w:tcPr>
            <w:tcW w:w="3739" w:type="dxa"/>
            <w:tcBorders>
              <w:top w:val="nil"/>
              <w:left w:val="single" w:sz="8" w:space="0" w:color="000000"/>
              <w:bottom w:val="nil"/>
              <w:right w:val="single" w:sz="4"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SO 04 - Objekt rozhodčích:</w:t>
            </w:r>
          </w:p>
        </w:tc>
        <w:tc>
          <w:tcPr>
            <w:tcW w:w="1900" w:type="dxa"/>
            <w:tcBorders>
              <w:top w:val="nil"/>
              <w:left w:val="nil"/>
              <w:bottom w:val="nil"/>
              <w:right w:val="single" w:sz="8"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 xml:space="preserve">    3 505 297,72    </w:t>
            </w:r>
          </w:p>
        </w:tc>
      </w:tr>
      <w:tr w:rsidR="00BE20A6" w:rsidTr="00592566">
        <w:trPr>
          <w:trHeight w:val="312"/>
          <w:jc w:val="center"/>
        </w:trPr>
        <w:tc>
          <w:tcPr>
            <w:tcW w:w="3739" w:type="dxa"/>
            <w:tcBorders>
              <w:top w:val="single" w:sz="8" w:space="0" w:color="000000"/>
              <w:left w:val="single" w:sz="8" w:space="0" w:color="000000"/>
              <w:bottom w:val="single" w:sz="4" w:space="0" w:color="000000"/>
              <w:right w:val="single" w:sz="4" w:space="0" w:color="000000"/>
            </w:tcBorders>
            <w:vAlign w:val="bottom"/>
            <w:hideMark/>
          </w:tcPr>
          <w:p w:rsidR="00BE20A6" w:rsidRDefault="00BE20A6" w:rsidP="00592566">
            <w:pPr>
              <w:suppressAutoHyphens w:val="0"/>
              <w:rPr>
                <w:sz w:val="24"/>
                <w:szCs w:val="24"/>
                <w:u w:val="single"/>
                <w:lang w:eastAsia="cs-CZ" w:bidi="hi-IN"/>
              </w:rPr>
            </w:pPr>
            <w:r>
              <w:rPr>
                <w:sz w:val="24"/>
                <w:szCs w:val="24"/>
                <w:u w:val="single"/>
                <w:lang w:eastAsia="cs-CZ" w:bidi="hi-IN"/>
              </w:rPr>
              <w:t>Dodatek č. 3</w:t>
            </w:r>
          </w:p>
        </w:tc>
        <w:tc>
          <w:tcPr>
            <w:tcW w:w="1900" w:type="dxa"/>
            <w:tcBorders>
              <w:top w:val="single" w:sz="8" w:space="0" w:color="000000"/>
              <w:left w:val="nil"/>
              <w:bottom w:val="single" w:sz="4" w:space="0" w:color="000000"/>
              <w:right w:val="single" w:sz="8" w:space="0" w:color="000000"/>
            </w:tcBorders>
            <w:vAlign w:val="bottom"/>
            <w:hideMark/>
          </w:tcPr>
          <w:p w:rsidR="00BE20A6" w:rsidRDefault="00BE20A6" w:rsidP="00592566">
            <w:pPr>
              <w:suppressAutoHyphens w:val="0"/>
              <w:rPr>
                <w:sz w:val="24"/>
                <w:szCs w:val="24"/>
                <w:lang w:eastAsia="cs-CZ" w:bidi="hi-IN"/>
              </w:rPr>
            </w:pPr>
            <w:r>
              <w:rPr>
                <w:sz w:val="24"/>
                <w:szCs w:val="24"/>
                <w:lang w:eastAsia="cs-CZ" w:bidi="hi-IN"/>
              </w:rPr>
              <w:t xml:space="preserve">          26 514,13    </w:t>
            </w:r>
          </w:p>
        </w:tc>
      </w:tr>
      <w:tr w:rsidR="00BE20A6" w:rsidTr="00592566">
        <w:trPr>
          <w:trHeight w:val="324"/>
          <w:jc w:val="center"/>
        </w:trPr>
        <w:tc>
          <w:tcPr>
            <w:tcW w:w="3739" w:type="dxa"/>
            <w:tcBorders>
              <w:top w:val="nil"/>
              <w:left w:val="single" w:sz="8" w:space="0" w:color="000000"/>
              <w:bottom w:val="single" w:sz="8" w:space="0" w:color="000000"/>
              <w:right w:val="single" w:sz="4" w:space="0" w:color="000000"/>
            </w:tcBorders>
            <w:vAlign w:val="bottom"/>
            <w:hideMark/>
          </w:tcPr>
          <w:p w:rsidR="00BE20A6" w:rsidRDefault="00BE20A6" w:rsidP="00592566">
            <w:pPr>
              <w:suppressAutoHyphens w:val="0"/>
              <w:rPr>
                <w:b/>
                <w:bCs/>
                <w:sz w:val="24"/>
                <w:szCs w:val="24"/>
                <w:lang w:eastAsia="cs-CZ" w:bidi="hi-IN"/>
              </w:rPr>
            </w:pPr>
            <w:r>
              <w:rPr>
                <w:b/>
                <w:bCs/>
                <w:sz w:val="24"/>
                <w:szCs w:val="24"/>
                <w:lang w:eastAsia="cs-CZ" w:bidi="hi-IN"/>
              </w:rPr>
              <w:t>Cena díla po DOD č. 3</w:t>
            </w:r>
          </w:p>
        </w:tc>
        <w:tc>
          <w:tcPr>
            <w:tcW w:w="1900" w:type="dxa"/>
            <w:tcBorders>
              <w:top w:val="nil"/>
              <w:left w:val="nil"/>
              <w:bottom w:val="single" w:sz="8" w:space="0" w:color="000000"/>
              <w:right w:val="single" w:sz="8" w:space="0" w:color="000000"/>
            </w:tcBorders>
            <w:vAlign w:val="bottom"/>
            <w:hideMark/>
          </w:tcPr>
          <w:p w:rsidR="00BE20A6" w:rsidRDefault="00BE20A6" w:rsidP="00592566">
            <w:pPr>
              <w:suppressAutoHyphens w:val="0"/>
              <w:rPr>
                <w:b/>
                <w:bCs/>
                <w:sz w:val="24"/>
                <w:szCs w:val="24"/>
                <w:lang w:eastAsia="cs-CZ" w:bidi="hi-IN"/>
              </w:rPr>
            </w:pPr>
            <w:r>
              <w:rPr>
                <w:b/>
                <w:bCs/>
                <w:sz w:val="24"/>
                <w:szCs w:val="24"/>
                <w:lang w:eastAsia="cs-CZ" w:bidi="hi-IN"/>
              </w:rPr>
              <w:t xml:space="preserve">     7 678 045,23    </w:t>
            </w:r>
          </w:p>
        </w:tc>
      </w:tr>
      <w:tr w:rsidR="00BE20A6" w:rsidTr="00592566">
        <w:trPr>
          <w:trHeight w:val="312"/>
          <w:jc w:val="center"/>
        </w:trPr>
        <w:tc>
          <w:tcPr>
            <w:tcW w:w="3739" w:type="dxa"/>
            <w:tcBorders>
              <w:top w:val="nil"/>
              <w:left w:val="single" w:sz="8" w:space="0" w:color="000000"/>
              <w:bottom w:val="single" w:sz="4" w:space="0" w:color="000000"/>
              <w:right w:val="single" w:sz="4"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SO 01 - Tribuna:</w:t>
            </w:r>
          </w:p>
        </w:tc>
        <w:tc>
          <w:tcPr>
            <w:tcW w:w="1900" w:type="dxa"/>
            <w:tcBorders>
              <w:top w:val="nil"/>
              <w:left w:val="nil"/>
              <w:bottom w:val="single" w:sz="4" w:space="0" w:color="000000"/>
              <w:right w:val="single" w:sz="8"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 xml:space="preserve">    4 146 233,38    </w:t>
            </w:r>
          </w:p>
        </w:tc>
      </w:tr>
      <w:tr w:rsidR="00BE20A6" w:rsidTr="00592566">
        <w:trPr>
          <w:trHeight w:val="324"/>
          <w:jc w:val="center"/>
        </w:trPr>
        <w:tc>
          <w:tcPr>
            <w:tcW w:w="3739" w:type="dxa"/>
            <w:tcBorders>
              <w:top w:val="nil"/>
              <w:left w:val="single" w:sz="8" w:space="0" w:color="000000"/>
              <w:bottom w:val="single" w:sz="8" w:space="0" w:color="000000"/>
              <w:right w:val="single" w:sz="4"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SO 04 - Objekt rozhodčích:</w:t>
            </w:r>
          </w:p>
        </w:tc>
        <w:tc>
          <w:tcPr>
            <w:tcW w:w="1900" w:type="dxa"/>
            <w:tcBorders>
              <w:top w:val="nil"/>
              <w:left w:val="nil"/>
              <w:bottom w:val="single" w:sz="8" w:space="0" w:color="000000"/>
              <w:right w:val="single" w:sz="8" w:space="0" w:color="000000"/>
            </w:tcBorders>
            <w:vAlign w:val="bottom"/>
            <w:hideMark/>
          </w:tcPr>
          <w:p w:rsidR="00BE20A6" w:rsidRDefault="00BE20A6" w:rsidP="00592566">
            <w:pPr>
              <w:suppressAutoHyphens w:val="0"/>
              <w:rPr>
                <w:iCs/>
                <w:sz w:val="24"/>
                <w:szCs w:val="24"/>
                <w:lang w:eastAsia="cs-CZ" w:bidi="hi-IN"/>
              </w:rPr>
            </w:pPr>
            <w:r>
              <w:rPr>
                <w:iCs/>
                <w:sz w:val="24"/>
                <w:szCs w:val="24"/>
                <w:lang w:eastAsia="cs-CZ" w:bidi="hi-IN"/>
              </w:rPr>
              <w:t xml:space="preserve">    3 531 811,85    </w:t>
            </w:r>
          </w:p>
        </w:tc>
      </w:tr>
    </w:tbl>
    <w:p w:rsidR="00BE20A6" w:rsidRDefault="00BE20A6" w:rsidP="00BE20A6">
      <w:pPr>
        <w:pStyle w:val="Zkladntext"/>
        <w:jc w:val="center"/>
        <w:rPr>
          <w:sz w:val="24"/>
        </w:rPr>
      </w:pPr>
    </w:p>
    <w:p w:rsidR="00BE20A6" w:rsidRDefault="00BE20A6" w:rsidP="00BE20A6">
      <w:pPr>
        <w:pStyle w:val="Zkladntext"/>
        <w:rPr>
          <w:iCs/>
        </w:rPr>
      </w:pPr>
    </w:p>
    <w:p w:rsidR="00BE20A6" w:rsidRDefault="00BE20A6" w:rsidP="00170CF7">
      <w:pPr>
        <w:pStyle w:val="Zkladntext"/>
        <w:jc w:val="both"/>
      </w:pPr>
      <w:r>
        <w:t xml:space="preserve">Objednatel potvrzuje, že převzal plnění dle Smlouvy o dílo a vůči zhotoviteli, co se týče rozsahu převzetí díla, nemá žádné nároky.  Objednatel a zhotovitel se dále dohodli, že objednatel uhradí zbývající </w:t>
      </w:r>
      <w:r w:rsidRPr="008D0487">
        <w:t xml:space="preserve">částku </w:t>
      </w:r>
      <w:r w:rsidRPr="008D0487">
        <w:rPr>
          <w:b/>
          <w:bCs/>
        </w:rPr>
        <w:t>1.316.51</w:t>
      </w:r>
      <w:r w:rsidR="00170CF7" w:rsidRPr="008D0487">
        <w:rPr>
          <w:b/>
          <w:bCs/>
        </w:rPr>
        <w:t>4,89</w:t>
      </w:r>
      <w:r w:rsidRPr="008D0487">
        <w:t xml:space="preserve"> Kč bez DPH a smluvní pokutu dle </w:t>
      </w:r>
      <w:proofErr w:type="spellStart"/>
      <w:r w:rsidRPr="008D0487">
        <w:t>ust</w:t>
      </w:r>
      <w:proofErr w:type="spellEnd"/>
      <w:r w:rsidRPr="008D0487">
        <w:t xml:space="preserve">. </w:t>
      </w:r>
      <w:proofErr w:type="gramStart"/>
      <w:r w:rsidRPr="008D0487">
        <w:t>X.2 smlouvy</w:t>
      </w:r>
      <w:proofErr w:type="gramEnd"/>
      <w:r w:rsidRPr="008D0487">
        <w:t xml:space="preserve"> o dílo za prodlení objednatele se zaplacením faktury č. 200190044, splatnou dne 30.5.2019 na částku 1.</w:t>
      </w:r>
      <w:r w:rsidR="00170CF7" w:rsidRPr="008D0487">
        <w:t>348.470,35</w:t>
      </w:r>
      <w:r w:rsidRPr="008D0487">
        <w:t xml:space="preserve"> Kč, smluvní pokut</w:t>
      </w:r>
      <w:r w:rsidR="00554C72" w:rsidRPr="008D0487">
        <w:t>a</w:t>
      </w:r>
      <w:r w:rsidRPr="008D0487">
        <w:t xml:space="preserve"> </w:t>
      </w:r>
      <w:r>
        <w:t xml:space="preserve">činí 0,015% z ceny díla, za každý den prodlení, od data splatnosti faktury č. 200190044 až do zaplacení. </w:t>
      </w:r>
    </w:p>
    <w:p w:rsidR="00BE20A6" w:rsidRPr="006D5808" w:rsidRDefault="00BE20A6" w:rsidP="006D5808">
      <w:pPr>
        <w:pStyle w:val="Zkladntext"/>
        <w:jc w:val="both"/>
        <w:rPr>
          <w:color w:val="000000"/>
        </w:rPr>
      </w:pPr>
      <w:r>
        <w:rPr>
          <w:color w:val="000000"/>
        </w:rPr>
        <w:t>Zhotovitel se zavazuje zaplatit dlužnou částku z faktury č. 200190044 a smluvní pokutu do 5 dnů od data platnosti a účinnosti této dohody o narovnání, nejpozději však do 26.6.2019. Pokud se tak nestane, má zhotovitel právo od této dohody odstoupit. Uhrazením těchto částek spolu budou zhotovitel a objednatel ohledně ceny díla zcela vypořádání a zhotovitel prohlašuje, že nemá dalších nároků vůči objednateli</w:t>
      </w:r>
      <w:r>
        <w:rPr>
          <w:color w:val="C9211E"/>
        </w:rPr>
        <w:t>.</w:t>
      </w:r>
    </w:p>
    <w:p w:rsidR="00BE20A6" w:rsidRDefault="00BE20A6" w:rsidP="00170CF7">
      <w:pPr>
        <w:pStyle w:val="Zkladntext"/>
        <w:jc w:val="both"/>
      </w:pPr>
      <w:r>
        <w:t xml:space="preserve">Smluvní strany dále prohlašují, že ustanovení Smlouvy o dílo ze dne 30. listopadu 2017 ve znění jejích dodatků č. 1, 2 a 3, nedotčená touto Dohodou o narovnání, zůstávají v platnosti, a smluvní strany jsou jí dále vázány, zejména jedná-li se o záruky z vadného plnění a nároků z titulu náhrady škody. </w:t>
      </w:r>
    </w:p>
    <w:p w:rsidR="00BE20A6" w:rsidRDefault="00BE20A6" w:rsidP="00170CF7">
      <w:pPr>
        <w:pStyle w:val="Zkladntext"/>
        <w:jc w:val="both"/>
      </w:pPr>
      <w:r>
        <w:t>Tato Dohoda o narovnání byla uzavřena dle pravé a svobodné vůle smluvních stran a tyto jako důkaz připojují své vlastnoruční podpisy.</w:t>
      </w:r>
    </w:p>
    <w:p w:rsidR="00BE20A6" w:rsidRDefault="00BE20A6" w:rsidP="00BE20A6">
      <w:pPr>
        <w:pStyle w:val="Zkladntext"/>
      </w:pPr>
    </w:p>
    <w:p w:rsidR="00BE20A6" w:rsidRDefault="00BE20A6" w:rsidP="00BE20A6">
      <w:pPr>
        <w:pStyle w:val="Nadpis3"/>
        <w:numPr>
          <w:ilvl w:val="2"/>
          <w:numId w:val="2"/>
        </w:numPr>
        <w:shd w:val="clear" w:color="auto" w:fill="D9D9D9"/>
        <w:tabs>
          <w:tab w:val="left" w:pos="567"/>
        </w:tabs>
        <w:ind w:left="567" w:hanging="567"/>
        <w:jc w:val="both"/>
        <w:rPr>
          <w:sz w:val="22"/>
          <w:szCs w:val="22"/>
        </w:rPr>
      </w:pPr>
      <w:r>
        <w:rPr>
          <w:sz w:val="22"/>
          <w:szCs w:val="22"/>
        </w:rPr>
        <w:t>VII.</w:t>
      </w:r>
    </w:p>
    <w:p w:rsidR="0040133A" w:rsidRDefault="0040133A">
      <w:pPr>
        <w:tabs>
          <w:tab w:val="left" w:pos="-2268"/>
          <w:tab w:val="left" w:pos="-142"/>
        </w:tabs>
        <w:jc w:val="both"/>
        <w:rPr>
          <w:sz w:val="22"/>
          <w:szCs w:val="22"/>
        </w:rPr>
      </w:pPr>
    </w:p>
    <w:p w:rsidR="00BE20A6" w:rsidRPr="0029035F" w:rsidRDefault="00BE20A6" w:rsidP="00BE20A6">
      <w:pPr>
        <w:pStyle w:val="Vchoz"/>
        <w:tabs>
          <w:tab w:val="left" w:pos="1843"/>
        </w:tabs>
        <w:jc w:val="both"/>
        <w:rPr>
          <w:rFonts w:ascii="Arial" w:eastAsia="Times New Roman" w:hAnsi="Arial" w:cs="Arial"/>
          <w:color w:val="000000"/>
          <w:sz w:val="22"/>
          <w:szCs w:val="22"/>
        </w:rPr>
      </w:pPr>
      <w:r w:rsidRPr="0029035F">
        <w:rPr>
          <w:rFonts w:ascii="Arial" w:eastAsia="Times New Roman" w:hAnsi="Arial" w:cs="Arial"/>
          <w:color w:val="000000"/>
          <w:sz w:val="22"/>
          <w:szCs w:val="22"/>
        </w:rPr>
        <w:t xml:space="preserve">Obě smluvní strany výslovně prohlašují, že žádné ustanovení Dohody o narovnání nepovažují za obchodní tajemství podle § 504 zákona č. 89/2012 Sb., občanský zákoník, v platném znění a udělují svolení k jejich užití a zveřejnění bez jakýchkoliv podmínek. </w:t>
      </w:r>
      <w:r w:rsidR="00554C72" w:rsidRPr="008D0487">
        <w:rPr>
          <w:rFonts w:ascii="Arial" w:eastAsia="Times New Roman" w:hAnsi="Arial" w:cs="Arial"/>
          <w:color w:val="auto"/>
          <w:sz w:val="22"/>
          <w:szCs w:val="22"/>
        </w:rPr>
        <w:t>Zhotovitel</w:t>
      </w:r>
      <w:r w:rsidRPr="008D0487">
        <w:rPr>
          <w:rFonts w:ascii="Arial" w:eastAsia="Times New Roman" w:hAnsi="Arial" w:cs="Arial"/>
          <w:color w:val="auto"/>
          <w:sz w:val="22"/>
          <w:szCs w:val="22"/>
        </w:rPr>
        <w:t xml:space="preserve"> b</w:t>
      </w:r>
      <w:r w:rsidRPr="0029035F">
        <w:rPr>
          <w:rFonts w:ascii="Arial" w:eastAsia="Times New Roman" w:hAnsi="Arial" w:cs="Arial"/>
          <w:color w:val="000000"/>
          <w:sz w:val="22"/>
          <w:szCs w:val="22"/>
        </w:rPr>
        <w:t xml:space="preserve">ere na vědomí, že objednatel je povinen uveřejnit tuto Dohodu o narovnání v registru smluv dle zák. č. 340/2015 Sb., zákon o registru smluv, v platném znění a tuto povinnost zajistí sám objednatel. Obě smluvní strany berou na vědomí a vyjadřují svůj souhlas k tomu, aby tato Dohoda o narovnání byla zveřejněna v registru smluv, neboť až uveřejněním tato Dohoda o narovnání nabývá účinnosti. </w:t>
      </w:r>
    </w:p>
    <w:p w:rsidR="00BE20A6" w:rsidRPr="0029035F" w:rsidRDefault="00BE20A6" w:rsidP="00BE20A6">
      <w:pPr>
        <w:pStyle w:val="Vchoz"/>
        <w:tabs>
          <w:tab w:val="left" w:pos="1843"/>
        </w:tabs>
        <w:jc w:val="both"/>
        <w:rPr>
          <w:rFonts w:ascii="Arial" w:eastAsia="Times New Roman" w:hAnsi="Arial" w:cs="Arial"/>
          <w:color w:val="000000"/>
          <w:sz w:val="22"/>
          <w:szCs w:val="22"/>
        </w:rPr>
      </w:pPr>
    </w:p>
    <w:p w:rsidR="00BE20A6" w:rsidRPr="0029035F" w:rsidRDefault="00BE20A6" w:rsidP="00BE20A6">
      <w:pPr>
        <w:pStyle w:val="Vchoz"/>
        <w:tabs>
          <w:tab w:val="left" w:pos="1843"/>
        </w:tabs>
        <w:jc w:val="both"/>
        <w:rPr>
          <w:rFonts w:ascii="Arial" w:hAnsi="Arial" w:cs="Arial"/>
          <w:sz w:val="22"/>
          <w:szCs w:val="22"/>
        </w:rPr>
      </w:pPr>
      <w:r w:rsidRPr="0029035F">
        <w:rPr>
          <w:rFonts w:ascii="Arial" w:eastAsia="Times New Roman" w:hAnsi="Arial" w:cs="Arial"/>
          <w:color w:val="000000"/>
          <w:sz w:val="22"/>
          <w:szCs w:val="22"/>
        </w:rPr>
        <w:t>V případě, že v této Dohod</w:t>
      </w:r>
      <w:r w:rsidR="00554C72">
        <w:rPr>
          <w:rFonts w:ascii="Arial" w:eastAsia="Times New Roman" w:hAnsi="Arial" w:cs="Arial"/>
          <w:color w:val="000000"/>
          <w:sz w:val="22"/>
          <w:szCs w:val="22"/>
        </w:rPr>
        <w:t>ě</w:t>
      </w:r>
      <w:r w:rsidRPr="0029035F">
        <w:rPr>
          <w:rFonts w:ascii="Arial" w:eastAsia="Times New Roman" w:hAnsi="Arial" w:cs="Arial"/>
          <w:color w:val="000000"/>
          <w:sz w:val="22"/>
          <w:szCs w:val="22"/>
        </w:rPr>
        <w:t xml:space="preserve"> o narovnání nejsou právní vztahy mezi účastníky výslovně upraveny, řídí se příslušnými ustanoveními občanského zákoníku, event. dalšími právními předpisy s touto Dohodou o narovnání souvisejícími.</w:t>
      </w:r>
    </w:p>
    <w:p w:rsidR="0040133A" w:rsidRPr="0029035F" w:rsidRDefault="0040133A">
      <w:pPr>
        <w:tabs>
          <w:tab w:val="left" w:pos="-2268"/>
          <w:tab w:val="left" w:pos="-142"/>
        </w:tabs>
        <w:jc w:val="both"/>
        <w:rPr>
          <w:rFonts w:ascii="Arial" w:hAnsi="Arial" w:cs="Arial"/>
          <w:sz w:val="22"/>
          <w:szCs w:val="22"/>
        </w:rPr>
      </w:pPr>
    </w:p>
    <w:p w:rsidR="0040133A" w:rsidRPr="0029035F" w:rsidRDefault="0040133A">
      <w:pPr>
        <w:pStyle w:val="normln0"/>
        <w:tabs>
          <w:tab w:val="left" w:pos="-2268"/>
        </w:tabs>
        <w:spacing w:before="120" w:after="120"/>
        <w:rPr>
          <w:color w:val="FF0000"/>
          <w:sz w:val="22"/>
          <w:szCs w:val="22"/>
        </w:rPr>
      </w:pPr>
    </w:p>
    <w:tbl>
      <w:tblPr>
        <w:tblW w:w="9286" w:type="dxa"/>
        <w:jc w:val="center"/>
        <w:tblLook w:val="04A0" w:firstRow="1" w:lastRow="0" w:firstColumn="1" w:lastColumn="0" w:noHBand="0" w:noVBand="1"/>
      </w:tblPr>
      <w:tblGrid>
        <w:gridCol w:w="4395"/>
        <w:gridCol w:w="552"/>
        <w:gridCol w:w="4339"/>
      </w:tblGrid>
      <w:tr w:rsidR="008D0487" w:rsidRPr="008D0487">
        <w:trPr>
          <w:jc w:val="center"/>
        </w:trPr>
        <w:tc>
          <w:tcPr>
            <w:tcW w:w="4395" w:type="dxa"/>
            <w:shd w:val="clear" w:color="auto" w:fill="auto"/>
          </w:tcPr>
          <w:p w:rsidR="0040133A" w:rsidRPr="008D0487" w:rsidRDefault="00D730A1">
            <w:pPr>
              <w:pStyle w:val="Zkladntext"/>
              <w:keepNext/>
              <w:spacing w:after="0"/>
              <w:rPr>
                <w:szCs w:val="22"/>
              </w:rPr>
            </w:pPr>
            <w:r w:rsidRPr="008D0487">
              <w:rPr>
                <w:szCs w:val="22"/>
                <w:lang w:eastAsia="cs-CZ"/>
              </w:rPr>
              <w:t>V Písku dne</w:t>
            </w:r>
            <w:r w:rsidR="00170CF7" w:rsidRPr="008D0487">
              <w:rPr>
                <w:szCs w:val="22"/>
                <w:lang w:eastAsia="cs-CZ"/>
              </w:rPr>
              <w:t>: 20. června 2019</w:t>
            </w:r>
          </w:p>
        </w:tc>
        <w:tc>
          <w:tcPr>
            <w:tcW w:w="552" w:type="dxa"/>
            <w:shd w:val="clear" w:color="auto" w:fill="auto"/>
          </w:tcPr>
          <w:p w:rsidR="0040133A" w:rsidRPr="008D0487" w:rsidRDefault="0040133A">
            <w:pPr>
              <w:pStyle w:val="Zkladntext"/>
              <w:keepNext/>
              <w:snapToGrid w:val="0"/>
              <w:spacing w:after="0"/>
              <w:rPr>
                <w:szCs w:val="22"/>
                <w:lang w:eastAsia="cs-CZ"/>
              </w:rPr>
            </w:pPr>
          </w:p>
        </w:tc>
        <w:tc>
          <w:tcPr>
            <w:tcW w:w="4339" w:type="dxa"/>
            <w:shd w:val="clear" w:color="auto" w:fill="auto"/>
          </w:tcPr>
          <w:p w:rsidR="0040133A" w:rsidRPr="008D0487" w:rsidRDefault="00D730A1">
            <w:pPr>
              <w:pStyle w:val="Zkladntext"/>
              <w:keepNext/>
              <w:spacing w:after="0"/>
              <w:rPr>
                <w:szCs w:val="22"/>
                <w:lang w:eastAsia="cs-CZ"/>
              </w:rPr>
            </w:pPr>
            <w:r w:rsidRPr="008D0487">
              <w:rPr>
                <w:szCs w:val="22"/>
                <w:lang w:eastAsia="cs-CZ"/>
              </w:rPr>
              <w:t>V P</w:t>
            </w:r>
            <w:r w:rsidR="00170CF7" w:rsidRPr="008D0487">
              <w:rPr>
                <w:szCs w:val="22"/>
                <w:lang w:eastAsia="cs-CZ"/>
              </w:rPr>
              <w:t>ísku</w:t>
            </w:r>
            <w:r w:rsidRPr="008D0487">
              <w:rPr>
                <w:szCs w:val="22"/>
                <w:lang w:eastAsia="cs-CZ"/>
              </w:rPr>
              <w:t xml:space="preserve"> dne</w:t>
            </w:r>
            <w:r w:rsidR="00170CF7" w:rsidRPr="008D0487">
              <w:rPr>
                <w:szCs w:val="22"/>
                <w:lang w:eastAsia="cs-CZ"/>
              </w:rPr>
              <w:t>: 20. června 2019</w:t>
            </w:r>
          </w:p>
          <w:p w:rsidR="00170CF7" w:rsidRPr="008D0487" w:rsidRDefault="00170CF7">
            <w:pPr>
              <w:pStyle w:val="Zkladntext"/>
              <w:keepNext/>
              <w:spacing w:after="0"/>
              <w:rPr>
                <w:szCs w:val="22"/>
                <w:lang w:eastAsia="cs-CZ"/>
              </w:rPr>
            </w:pPr>
          </w:p>
        </w:tc>
      </w:tr>
      <w:tr w:rsidR="0040133A" w:rsidRPr="0029035F">
        <w:trPr>
          <w:jc w:val="center"/>
        </w:trPr>
        <w:tc>
          <w:tcPr>
            <w:tcW w:w="4395" w:type="dxa"/>
            <w:shd w:val="clear" w:color="auto" w:fill="auto"/>
          </w:tcPr>
          <w:p w:rsidR="0040133A" w:rsidRPr="0029035F" w:rsidRDefault="00D730A1">
            <w:pPr>
              <w:pStyle w:val="Zkladntext"/>
              <w:keepNext/>
              <w:spacing w:before="240" w:after="0"/>
              <w:rPr>
                <w:szCs w:val="22"/>
                <w:lang w:eastAsia="cs-CZ"/>
              </w:rPr>
            </w:pPr>
            <w:r w:rsidRPr="0029035F">
              <w:rPr>
                <w:szCs w:val="22"/>
                <w:lang w:eastAsia="cs-CZ"/>
              </w:rPr>
              <w:t>Za objednatele:</w:t>
            </w:r>
          </w:p>
        </w:tc>
        <w:tc>
          <w:tcPr>
            <w:tcW w:w="552" w:type="dxa"/>
            <w:shd w:val="clear" w:color="auto" w:fill="auto"/>
          </w:tcPr>
          <w:p w:rsidR="0040133A" w:rsidRPr="0029035F" w:rsidRDefault="0040133A">
            <w:pPr>
              <w:pStyle w:val="Zkladntext"/>
              <w:keepNext/>
              <w:snapToGrid w:val="0"/>
              <w:spacing w:before="240" w:after="0"/>
              <w:rPr>
                <w:szCs w:val="22"/>
                <w:lang w:eastAsia="cs-CZ"/>
              </w:rPr>
            </w:pPr>
          </w:p>
        </w:tc>
        <w:tc>
          <w:tcPr>
            <w:tcW w:w="4339" w:type="dxa"/>
            <w:shd w:val="clear" w:color="auto" w:fill="auto"/>
          </w:tcPr>
          <w:p w:rsidR="0040133A" w:rsidRPr="0029035F" w:rsidRDefault="00D730A1">
            <w:pPr>
              <w:pStyle w:val="Zkladntext"/>
              <w:keepNext/>
              <w:spacing w:before="240" w:after="0"/>
              <w:rPr>
                <w:szCs w:val="22"/>
                <w:lang w:eastAsia="cs-CZ"/>
              </w:rPr>
            </w:pPr>
            <w:r w:rsidRPr="0029035F">
              <w:rPr>
                <w:szCs w:val="22"/>
                <w:lang w:eastAsia="cs-CZ"/>
              </w:rPr>
              <w:t>Za zhotovitele:</w:t>
            </w:r>
          </w:p>
        </w:tc>
      </w:tr>
      <w:tr w:rsidR="0040133A" w:rsidRPr="0029035F">
        <w:trPr>
          <w:trHeight w:val="1257"/>
          <w:jc w:val="center"/>
        </w:trPr>
        <w:tc>
          <w:tcPr>
            <w:tcW w:w="4395" w:type="dxa"/>
            <w:tcBorders>
              <w:bottom w:val="dotted" w:sz="4" w:space="0" w:color="000000"/>
            </w:tcBorders>
            <w:shd w:val="clear" w:color="auto" w:fill="auto"/>
          </w:tcPr>
          <w:p w:rsidR="0040133A" w:rsidRPr="0029035F" w:rsidRDefault="0040133A">
            <w:pPr>
              <w:pStyle w:val="Zkladntext"/>
              <w:snapToGrid w:val="0"/>
              <w:spacing w:before="240"/>
              <w:rPr>
                <w:szCs w:val="22"/>
                <w:lang w:eastAsia="cs-CZ"/>
              </w:rPr>
            </w:pPr>
          </w:p>
          <w:p w:rsidR="0040133A" w:rsidRPr="0029035F" w:rsidRDefault="0040133A">
            <w:pPr>
              <w:pStyle w:val="Zkladntext"/>
              <w:spacing w:before="240"/>
              <w:rPr>
                <w:szCs w:val="22"/>
                <w:lang w:eastAsia="cs-CZ"/>
              </w:rPr>
            </w:pPr>
          </w:p>
          <w:p w:rsidR="0040133A" w:rsidRPr="0029035F" w:rsidRDefault="0040133A">
            <w:pPr>
              <w:pStyle w:val="Zkladntext"/>
              <w:spacing w:before="240"/>
              <w:rPr>
                <w:szCs w:val="22"/>
                <w:lang w:eastAsia="cs-CZ"/>
              </w:rPr>
            </w:pPr>
          </w:p>
          <w:p w:rsidR="0040133A" w:rsidRPr="0029035F" w:rsidRDefault="0040133A">
            <w:pPr>
              <w:pStyle w:val="Zkladntext"/>
              <w:spacing w:before="240"/>
              <w:rPr>
                <w:szCs w:val="22"/>
                <w:lang w:eastAsia="cs-CZ"/>
              </w:rPr>
            </w:pPr>
          </w:p>
        </w:tc>
        <w:tc>
          <w:tcPr>
            <w:tcW w:w="552" w:type="dxa"/>
            <w:shd w:val="clear" w:color="auto" w:fill="auto"/>
          </w:tcPr>
          <w:p w:rsidR="0040133A" w:rsidRPr="0029035F" w:rsidRDefault="0040133A">
            <w:pPr>
              <w:pStyle w:val="Zkladntext"/>
              <w:snapToGrid w:val="0"/>
              <w:spacing w:before="240"/>
              <w:rPr>
                <w:szCs w:val="22"/>
                <w:lang w:eastAsia="cs-CZ"/>
              </w:rPr>
            </w:pPr>
          </w:p>
          <w:p w:rsidR="0040133A" w:rsidRPr="0029035F" w:rsidRDefault="0040133A">
            <w:pPr>
              <w:pStyle w:val="Zkladntext"/>
              <w:spacing w:before="240"/>
              <w:rPr>
                <w:szCs w:val="22"/>
                <w:lang w:eastAsia="cs-CZ"/>
              </w:rPr>
            </w:pPr>
          </w:p>
          <w:p w:rsidR="0040133A" w:rsidRPr="0029035F" w:rsidRDefault="0040133A">
            <w:pPr>
              <w:pStyle w:val="Zkladntext"/>
              <w:spacing w:before="240"/>
              <w:rPr>
                <w:szCs w:val="22"/>
                <w:lang w:eastAsia="cs-CZ"/>
              </w:rPr>
            </w:pPr>
          </w:p>
        </w:tc>
        <w:tc>
          <w:tcPr>
            <w:tcW w:w="4339" w:type="dxa"/>
            <w:tcBorders>
              <w:bottom w:val="dotted" w:sz="4" w:space="0" w:color="000000"/>
            </w:tcBorders>
            <w:shd w:val="clear" w:color="auto" w:fill="auto"/>
          </w:tcPr>
          <w:p w:rsidR="0040133A" w:rsidRPr="0029035F" w:rsidRDefault="0040133A">
            <w:pPr>
              <w:pStyle w:val="Zkladntext"/>
              <w:snapToGrid w:val="0"/>
              <w:spacing w:before="240"/>
              <w:rPr>
                <w:szCs w:val="22"/>
                <w:lang w:eastAsia="cs-CZ"/>
              </w:rPr>
            </w:pPr>
          </w:p>
        </w:tc>
      </w:tr>
      <w:tr w:rsidR="0040133A" w:rsidRPr="0029035F">
        <w:trPr>
          <w:jc w:val="center"/>
        </w:trPr>
        <w:tc>
          <w:tcPr>
            <w:tcW w:w="4395" w:type="dxa"/>
            <w:tcBorders>
              <w:top w:val="dotted" w:sz="4" w:space="0" w:color="000000"/>
            </w:tcBorders>
            <w:shd w:val="clear" w:color="auto" w:fill="auto"/>
            <w:vAlign w:val="center"/>
          </w:tcPr>
          <w:p w:rsidR="0029035F" w:rsidRPr="0029035F" w:rsidRDefault="0029035F">
            <w:pPr>
              <w:pStyle w:val="Zkladntext"/>
              <w:spacing w:after="0"/>
              <w:jc w:val="center"/>
              <w:rPr>
                <w:bCs/>
                <w:szCs w:val="22"/>
                <w:lang w:eastAsia="cs-CZ"/>
              </w:rPr>
            </w:pPr>
            <w:r w:rsidRPr="0029035F">
              <w:rPr>
                <w:bCs/>
                <w:szCs w:val="22"/>
                <w:lang w:eastAsia="cs-CZ"/>
              </w:rPr>
              <w:t>Zemský hřebčinec Písek s.p.o.</w:t>
            </w:r>
          </w:p>
          <w:p w:rsidR="0040133A" w:rsidRPr="0029035F" w:rsidRDefault="00004BB7">
            <w:pPr>
              <w:pStyle w:val="Zkladntext"/>
              <w:spacing w:after="0"/>
              <w:jc w:val="center"/>
              <w:rPr>
                <w:bCs/>
                <w:szCs w:val="22"/>
                <w:lang w:eastAsia="cs-CZ"/>
              </w:rPr>
            </w:pPr>
            <w:proofErr w:type="spellStart"/>
            <w:r>
              <w:rPr>
                <w:bCs/>
                <w:szCs w:val="22"/>
                <w:lang w:eastAsia="cs-CZ"/>
              </w:rPr>
              <w:t>xxx</w:t>
            </w:r>
            <w:proofErr w:type="spellEnd"/>
            <w:r>
              <w:rPr>
                <w:bCs/>
                <w:szCs w:val="22"/>
                <w:lang w:eastAsia="cs-CZ"/>
              </w:rPr>
              <w:t xml:space="preserve">. </w:t>
            </w:r>
            <w:proofErr w:type="spellStart"/>
            <w:r>
              <w:rPr>
                <w:bCs/>
                <w:szCs w:val="22"/>
                <w:lang w:eastAsia="cs-CZ"/>
              </w:rPr>
              <w:t>xxxxx</w:t>
            </w:r>
            <w:proofErr w:type="spellEnd"/>
            <w:r>
              <w:rPr>
                <w:bCs/>
                <w:szCs w:val="22"/>
                <w:lang w:eastAsia="cs-CZ"/>
              </w:rPr>
              <w:t xml:space="preserve"> </w:t>
            </w:r>
            <w:proofErr w:type="spellStart"/>
            <w:r>
              <w:rPr>
                <w:bCs/>
                <w:szCs w:val="22"/>
                <w:lang w:eastAsia="cs-CZ"/>
              </w:rPr>
              <w:t>xxxxxxxxxx</w:t>
            </w:r>
            <w:proofErr w:type="spellEnd"/>
          </w:p>
          <w:p w:rsidR="0040133A" w:rsidRPr="0029035F" w:rsidRDefault="00D730A1">
            <w:pPr>
              <w:pStyle w:val="Zkladntext"/>
              <w:spacing w:after="0"/>
              <w:jc w:val="center"/>
              <w:rPr>
                <w:bCs/>
                <w:szCs w:val="22"/>
                <w:lang w:eastAsia="cs-CZ"/>
              </w:rPr>
            </w:pPr>
            <w:r w:rsidRPr="0029035F">
              <w:rPr>
                <w:bCs/>
                <w:szCs w:val="22"/>
                <w:lang w:eastAsia="cs-CZ"/>
              </w:rPr>
              <w:t>ředitel organizace</w:t>
            </w:r>
          </w:p>
        </w:tc>
        <w:tc>
          <w:tcPr>
            <w:tcW w:w="552" w:type="dxa"/>
            <w:shd w:val="clear" w:color="auto" w:fill="auto"/>
            <w:vAlign w:val="center"/>
          </w:tcPr>
          <w:p w:rsidR="0040133A" w:rsidRPr="0029035F" w:rsidRDefault="0040133A">
            <w:pPr>
              <w:pStyle w:val="Zkladntext"/>
              <w:snapToGrid w:val="0"/>
              <w:jc w:val="center"/>
              <w:rPr>
                <w:szCs w:val="22"/>
                <w:lang w:eastAsia="cs-CZ"/>
              </w:rPr>
            </w:pPr>
          </w:p>
        </w:tc>
        <w:tc>
          <w:tcPr>
            <w:tcW w:w="4339" w:type="dxa"/>
            <w:tcBorders>
              <w:top w:val="dotted" w:sz="4" w:space="0" w:color="000000"/>
            </w:tcBorders>
            <w:shd w:val="clear" w:color="auto" w:fill="auto"/>
            <w:vAlign w:val="center"/>
          </w:tcPr>
          <w:p w:rsidR="0029035F" w:rsidRPr="0029035F" w:rsidRDefault="0029035F">
            <w:pPr>
              <w:pStyle w:val="Zkladntext"/>
              <w:spacing w:after="0"/>
              <w:jc w:val="center"/>
              <w:rPr>
                <w:szCs w:val="22"/>
                <w:lang w:eastAsia="cs-CZ"/>
              </w:rPr>
            </w:pPr>
            <w:r w:rsidRPr="0029035F">
              <w:rPr>
                <w:szCs w:val="22"/>
                <w:lang w:eastAsia="cs-CZ"/>
              </w:rPr>
              <w:t>KOČÍ a.s.</w:t>
            </w:r>
          </w:p>
          <w:p w:rsidR="0040133A" w:rsidRPr="0029035F" w:rsidRDefault="00004BB7">
            <w:pPr>
              <w:pStyle w:val="Zkladntext"/>
              <w:spacing w:after="0"/>
              <w:jc w:val="center"/>
              <w:rPr>
                <w:szCs w:val="22"/>
                <w:lang w:eastAsia="cs-CZ"/>
              </w:rPr>
            </w:pPr>
            <w:proofErr w:type="spellStart"/>
            <w:r>
              <w:rPr>
                <w:szCs w:val="22"/>
                <w:lang w:eastAsia="cs-CZ"/>
              </w:rPr>
              <w:t>xxx</w:t>
            </w:r>
            <w:proofErr w:type="spellEnd"/>
            <w:r>
              <w:rPr>
                <w:szCs w:val="22"/>
                <w:lang w:eastAsia="cs-CZ"/>
              </w:rPr>
              <w:t xml:space="preserve">. </w:t>
            </w:r>
            <w:proofErr w:type="spellStart"/>
            <w:r>
              <w:rPr>
                <w:szCs w:val="22"/>
                <w:lang w:eastAsia="cs-CZ"/>
              </w:rPr>
              <w:t>xxxxx</w:t>
            </w:r>
            <w:proofErr w:type="spellEnd"/>
            <w:r>
              <w:rPr>
                <w:szCs w:val="22"/>
                <w:lang w:eastAsia="cs-CZ"/>
              </w:rPr>
              <w:t xml:space="preserve"> xxxx</w:t>
            </w:r>
            <w:bookmarkStart w:id="0" w:name="_GoBack"/>
            <w:bookmarkEnd w:id="0"/>
          </w:p>
          <w:p w:rsidR="0040133A" w:rsidRPr="0029035F" w:rsidRDefault="0029035F">
            <w:pPr>
              <w:pStyle w:val="Zkladntext"/>
              <w:spacing w:after="0"/>
              <w:jc w:val="center"/>
              <w:rPr>
                <w:szCs w:val="22"/>
                <w:lang w:eastAsia="cs-CZ"/>
              </w:rPr>
            </w:pPr>
            <w:r w:rsidRPr="0029035F">
              <w:rPr>
                <w:szCs w:val="22"/>
                <w:lang w:eastAsia="cs-CZ"/>
              </w:rPr>
              <w:t xml:space="preserve">statutární </w:t>
            </w:r>
            <w:r w:rsidR="00D730A1" w:rsidRPr="0029035F">
              <w:rPr>
                <w:szCs w:val="22"/>
                <w:lang w:eastAsia="cs-CZ"/>
              </w:rPr>
              <w:t xml:space="preserve">ředitel </w:t>
            </w:r>
          </w:p>
        </w:tc>
      </w:tr>
    </w:tbl>
    <w:p w:rsidR="0040133A" w:rsidRDefault="0040133A">
      <w:pPr>
        <w:pStyle w:val="Zkladntext"/>
        <w:spacing w:before="240" w:after="240"/>
        <w:jc w:val="both"/>
      </w:pPr>
    </w:p>
    <w:p w:rsidR="001F2D66" w:rsidRDefault="001F2D66">
      <w:pPr>
        <w:pStyle w:val="Zkladntext"/>
        <w:spacing w:before="240" w:after="240"/>
        <w:jc w:val="both"/>
      </w:pPr>
    </w:p>
    <w:p w:rsidR="00BE20A6" w:rsidRDefault="00BE20A6">
      <w:pPr>
        <w:pStyle w:val="Zkladntext"/>
        <w:spacing w:before="240" w:after="240"/>
        <w:jc w:val="both"/>
      </w:pPr>
    </w:p>
    <w:p w:rsidR="001F2D66" w:rsidRDefault="001F2D66">
      <w:pPr>
        <w:pStyle w:val="Zkladntext"/>
        <w:spacing w:before="240" w:after="240"/>
        <w:jc w:val="both"/>
      </w:pPr>
    </w:p>
    <w:p w:rsidR="001F2D66" w:rsidRDefault="001F2D66">
      <w:pPr>
        <w:pStyle w:val="Zkladntext"/>
        <w:spacing w:before="240" w:after="240"/>
        <w:jc w:val="both"/>
      </w:pPr>
    </w:p>
    <w:sectPr w:rsidR="001F2D66">
      <w:headerReference w:type="default" r:id="rId8"/>
      <w:footerReference w:type="default" r:id="rId9"/>
      <w:pgSz w:w="11906" w:h="16838"/>
      <w:pgMar w:top="1134" w:right="1418" w:bottom="1276" w:left="1418" w:header="56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B81" w:rsidRDefault="00972B81">
      <w:r>
        <w:separator/>
      </w:r>
    </w:p>
  </w:endnote>
  <w:endnote w:type="continuationSeparator" w:id="0">
    <w:p w:rsidR="00972B81" w:rsidRDefault="0097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Arial">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3A" w:rsidRDefault="00D730A1">
    <w:pPr>
      <w:pStyle w:val="Zpat"/>
      <w:pBdr>
        <w:top w:val="single" w:sz="4" w:space="1" w:color="808080"/>
      </w:pBdr>
      <w:tabs>
        <w:tab w:val="clear" w:pos="9072"/>
        <w:tab w:val="left" w:pos="9070"/>
      </w:tabs>
      <w:ind w:right="360"/>
    </w:pPr>
    <w:r>
      <w:rPr>
        <w:noProof/>
        <w:lang w:eastAsia="cs-CZ"/>
      </w:rPr>
      <mc:AlternateContent>
        <mc:Choice Requires="wps">
          <w:drawing>
            <wp:anchor distT="0" distB="0" distL="0" distR="0" simplePos="0" relativeHeight="4" behindDoc="1" locked="0" layoutInCell="1" allowOverlap="1">
              <wp:simplePos x="0" y="0"/>
              <wp:positionH relativeFrom="page">
                <wp:posOffset>5551170</wp:posOffset>
              </wp:positionH>
              <wp:positionV relativeFrom="paragraph">
                <wp:posOffset>635</wp:posOffset>
              </wp:positionV>
              <wp:extent cx="1105535" cy="219075"/>
              <wp:effectExtent l="0" t="0" r="0" b="0"/>
              <wp:wrapSquare wrapText="largest"/>
              <wp:docPr id="2" name="Rámec1"/>
              <wp:cNvGraphicFramePr/>
              <a:graphic xmlns:a="http://schemas.openxmlformats.org/drawingml/2006/main">
                <a:graphicData uri="http://schemas.microsoft.com/office/word/2010/wordprocessingShape">
                  <wps:wsp>
                    <wps:cNvSpPr/>
                    <wps:spPr>
                      <a:xfrm>
                        <a:off x="0" y="0"/>
                        <a:ext cx="1104840" cy="218520"/>
                      </a:xfrm>
                      <a:prstGeom prst="rect">
                        <a:avLst/>
                      </a:prstGeom>
                      <a:noFill/>
                      <a:ln>
                        <a:noFill/>
                      </a:ln>
                    </wps:spPr>
                    <wps:style>
                      <a:lnRef idx="0">
                        <a:scrgbClr r="0" g="0" b="0"/>
                      </a:lnRef>
                      <a:fillRef idx="0">
                        <a:scrgbClr r="0" g="0" b="0"/>
                      </a:fillRef>
                      <a:effectRef idx="0">
                        <a:scrgbClr r="0" g="0" b="0"/>
                      </a:effectRef>
                      <a:fontRef idx="minor"/>
                    </wps:style>
                    <wps:txbx>
                      <w:txbxContent>
                        <w:p w:rsidR="0040133A" w:rsidRDefault="00D730A1">
                          <w:pPr>
                            <w:pStyle w:val="Zpat"/>
                            <w:spacing w:before="120" w:after="120"/>
                          </w:pPr>
                          <w:r>
                            <w:rPr>
                              <w:rStyle w:val="slostrnky"/>
                              <w:rFonts w:ascii="Arial" w:hAnsi="Arial" w:cs="Arial"/>
                              <w:color w:val="000000"/>
                            </w:rPr>
                            <w:t xml:space="preserve">Strana </w:t>
                          </w:r>
                          <w:r>
                            <w:rPr>
                              <w:rStyle w:val="slostrnky"/>
                              <w:rFonts w:cs="Arial"/>
                            </w:rPr>
                            <w:fldChar w:fldCharType="begin"/>
                          </w:r>
                          <w:r>
                            <w:rPr>
                              <w:rStyle w:val="slostrnky"/>
                              <w:rFonts w:cs="Arial"/>
                            </w:rPr>
                            <w:instrText>PAGE</w:instrText>
                          </w:r>
                          <w:r>
                            <w:rPr>
                              <w:rStyle w:val="slostrnky"/>
                              <w:rFonts w:cs="Arial"/>
                            </w:rPr>
                            <w:fldChar w:fldCharType="separate"/>
                          </w:r>
                          <w:r w:rsidR="00004BB7">
                            <w:rPr>
                              <w:rStyle w:val="slostrnky"/>
                              <w:rFonts w:cs="Arial"/>
                              <w:noProof/>
                            </w:rPr>
                            <w:t>4</w:t>
                          </w:r>
                          <w:r>
                            <w:rPr>
                              <w:rStyle w:val="slostrnky"/>
                              <w:rFonts w:cs="Arial"/>
                            </w:rPr>
                            <w:fldChar w:fldCharType="end"/>
                          </w:r>
                          <w:r>
                            <w:rPr>
                              <w:rStyle w:val="slostrnky"/>
                              <w:rFonts w:ascii="Arial" w:hAnsi="Arial" w:cs="Arial"/>
                              <w:color w:val="000000"/>
                            </w:rPr>
                            <w:t xml:space="preserve"> (celkem </w:t>
                          </w:r>
                          <w:r>
                            <w:rPr>
                              <w:rStyle w:val="slostrnky"/>
                              <w:rFonts w:cs="Arial"/>
                            </w:rPr>
                            <w:fldChar w:fldCharType="begin"/>
                          </w:r>
                          <w:r>
                            <w:rPr>
                              <w:rStyle w:val="slostrnky"/>
                              <w:rFonts w:cs="Arial"/>
                            </w:rPr>
                            <w:instrText>NUMPAGES</w:instrText>
                          </w:r>
                          <w:r>
                            <w:rPr>
                              <w:rStyle w:val="slostrnky"/>
                              <w:rFonts w:cs="Arial"/>
                            </w:rPr>
                            <w:fldChar w:fldCharType="separate"/>
                          </w:r>
                          <w:r w:rsidR="00004BB7">
                            <w:rPr>
                              <w:rStyle w:val="slostrnky"/>
                              <w:rFonts w:cs="Arial"/>
                              <w:noProof/>
                            </w:rPr>
                            <w:t>4</w:t>
                          </w:r>
                          <w:r>
                            <w:rPr>
                              <w:rStyle w:val="slostrnky"/>
                              <w:rFonts w:cs="Arial"/>
                            </w:rPr>
                            <w:fldChar w:fldCharType="end"/>
                          </w:r>
                          <w:r>
                            <w:rPr>
                              <w:rStyle w:val="slostrnky"/>
                              <w:rFonts w:ascii="Arial" w:hAnsi="Arial" w:cs="Arial"/>
                              <w:color w:val="000000"/>
                            </w:rPr>
                            <w:t>)</w:t>
                          </w:r>
                        </w:p>
                      </w:txbxContent>
                    </wps:txbx>
                    <wps:bodyPr lIns="720" tIns="720" rIns="720" bIns="720">
                      <a:noAutofit/>
                    </wps:bodyPr>
                  </wps:wsp>
                </a:graphicData>
              </a:graphic>
            </wp:anchor>
          </w:drawing>
        </mc:Choice>
        <mc:Fallback>
          <w:pict>
            <v:rect id="Rámec1" o:spid="_x0000_s1026" style="position:absolute;margin-left:437.1pt;margin-top:.05pt;width:87.05pt;height:17.2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" filled="f" stroked="f">
              <v:textbox inset=".02mm,.02mm,.02mm,.02mm">
                <w:txbxContent>
                  <w:p w:rsidR="0040133A" w:rsidRDefault="00D730A1">
                    <w:pPr>
                      <w:pStyle w:val="Zpat"/>
                      <w:spacing w:before="120" w:after="120"/>
                    </w:pPr>
                    <w:r>
                      <w:rPr>
                        <w:rStyle w:val="slostrnky"/>
                        <w:rFonts w:ascii="Arial" w:hAnsi="Arial" w:cs="Arial"/>
                        <w:color w:val="000000"/>
                      </w:rPr>
                      <w:t xml:space="preserve">Strana </w:t>
                    </w:r>
                    <w:r>
                      <w:rPr>
                        <w:rStyle w:val="slostrnky"/>
                        <w:rFonts w:cs="Arial"/>
                      </w:rPr>
                      <w:fldChar w:fldCharType="begin"/>
                    </w:r>
                    <w:r>
                      <w:rPr>
                        <w:rStyle w:val="slostrnky"/>
                        <w:rFonts w:cs="Arial"/>
                      </w:rPr>
                      <w:instrText>PAGE</w:instrText>
                    </w:r>
                    <w:r>
                      <w:rPr>
                        <w:rStyle w:val="slostrnky"/>
                        <w:rFonts w:cs="Arial"/>
                      </w:rPr>
                      <w:fldChar w:fldCharType="separate"/>
                    </w:r>
                    <w:r w:rsidR="00004BB7">
                      <w:rPr>
                        <w:rStyle w:val="slostrnky"/>
                        <w:rFonts w:cs="Arial"/>
                        <w:noProof/>
                      </w:rPr>
                      <w:t>4</w:t>
                    </w:r>
                    <w:r>
                      <w:rPr>
                        <w:rStyle w:val="slostrnky"/>
                        <w:rFonts w:cs="Arial"/>
                      </w:rPr>
                      <w:fldChar w:fldCharType="end"/>
                    </w:r>
                    <w:r>
                      <w:rPr>
                        <w:rStyle w:val="slostrnky"/>
                        <w:rFonts w:ascii="Arial" w:hAnsi="Arial" w:cs="Arial"/>
                        <w:color w:val="000000"/>
                      </w:rPr>
                      <w:t xml:space="preserve"> (celkem </w:t>
                    </w:r>
                    <w:r>
                      <w:rPr>
                        <w:rStyle w:val="slostrnky"/>
                        <w:rFonts w:cs="Arial"/>
                      </w:rPr>
                      <w:fldChar w:fldCharType="begin"/>
                    </w:r>
                    <w:r>
                      <w:rPr>
                        <w:rStyle w:val="slostrnky"/>
                        <w:rFonts w:cs="Arial"/>
                      </w:rPr>
                      <w:instrText>NUMPAGES</w:instrText>
                    </w:r>
                    <w:r>
                      <w:rPr>
                        <w:rStyle w:val="slostrnky"/>
                        <w:rFonts w:cs="Arial"/>
                      </w:rPr>
                      <w:fldChar w:fldCharType="separate"/>
                    </w:r>
                    <w:r w:rsidR="00004BB7">
                      <w:rPr>
                        <w:rStyle w:val="slostrnky"/>
                        <w:rFonts w:cs="Arial"/>
                        <w:noProof/>
                      </w:rPr>
                      <w:t>4</w:t>
                    </w:r>
                    <w:r>
                      <w:rPr>
                        <w:rStyle w:val="slostrnky"/>
                        <w:rFonts w:cs="Arial"/>
                      </w:rPr>
                      <w:fldChar w:fldCharType="end"/>
                    </w:r>
                    <w:r>
                      <w:rPr>
                        <w:rStyle w:val="slostrnky"/>
                        <w:rFonts w:ascii="Arial" w:hAnsi="Arial" w:cs="Arial"/>
                        <w:color w:val="000000"/>
                      </w:rPr>
                      <w:t>)</w:t>
                    </w:r>
                  </w:p>
                </w:txbxContent>
              </v:textbox>
              <w10:wrap type="square" side="larges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B81" w:rsidRDefault="00972B81">
      <w:r>
        <w:separator/>
      </w:r>
    </w:p>
  </w:footnote>
  <w:footnote w:type="continuationSeparator" w:id="0">
    <w:p w:rsidR="00972B81" w:rsidRDefault="00972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3A" w:rsidRDefault="00D730A1">
    <w:pPr>
      <w:pStyle w:val="Zhlav"/>
      <w:pBdr>
        <w:bottom w:val="single" w:sz="6" w:space="6" w:color="808080"/>
      </w:pBdr>
      <w:tabs>
        <w:tab w:val="left" w:pos="6120"/>
        <w:tab w:val="left" w:pos="6840"/>
      </w:tabs>
      <w:spacing w:before="60"/>
      <w:jc w:val="center"/>
      <w:rPr>
        <w:rFonts w:ascii="Arial" w:hAnsi="Arial" w:cs="Arial"/>
        <w:b/>
        <w:bCs/>
        <w:smallCaps/>
        <w:color w:val="808080"/>
      </w:rPr>
    </w:pPr>
    <w:r>
      <w:rPr>
        <w:rFonts w:ascii="Arial" w:hAnsi="Arial" w:cs="Arial"/>
        <w:b/>
        <w:bCs/>
        <w:smallCaps/>
        <w:color w:val="808080"/>
      </w:rPr>
      <w:t>Revitalizace, zabezpečení a digitalizace národní kulturní památky Zemského hřebčince Písek, registrační číslo projektu: CZ.06.3.33/0.0/0.0/15_0000322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15C0"/>
    <w:multiLevelType w:val="multilevel"/>
    <w:tmpl w:val="51E8B2C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625790"/>
    <w:multiLevelType w:val="multilevel"/>
    <w:tmpl w:val="DC206B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4146991"/>
    <w:multiLevelType w:val="multilevel"/>
    <w:tmpl w:val="4AD2C7D2"/>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pStyle w:val="Nadpis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3A"/>
    <w:rsid w:val="00004BB7"/>
    <w:rsid w:val="00042811"/>
    <w:rsid w:val="00170CF7"/>
    <w:rsid w:val="00177612"/>
    <w:rsid w:val="001F2D66"/>
    <w:rsid w:val="0029035F"/>
    <w:rsid w:val="00386A07"/>
    <w:rsid w:val="0040133A"/>
    <w:rsid w:val="00464E1A"/>
    <w:rsid w:val="004B2FB1"/>
    <w:rsid w:val="00554C72"/>
    <w:rsid w:val="005B4F08"/>
    <w:rsid w:val="00614CB8"/>
    <w:rsid w:val="006D5808"/>
    <w:rsid w:val="007D5726"/>
    <w:rsid w:val="008D0487"/>
    <w:rsid w:val="00972B81"/>
    <w:rsid w:val="00BE20A6"/>
    <w:rsid w:val="00D730A1"/>
    <w:rsid w:val="00D936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4034B-9B34-4471-B7D5-FC0D73C0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05FC"/>
    <w:pPr>
      <w:suppressAutoHyphens/>
    </w:pPr>
    <w:rPr>
      <w:rFonts w:ascii="Times New Roman" w:eastAsia="Times New Roman" w:hAnsi="Times New Roman" w:cs="Times New Roman"/>
      <w:szCs w:val="20"/>
      <w:lang w:bidi="ar-SA"/>
    </w:rPr>
  </w:style>
  <w:style w:type="paragraph" w:styleId="Nadpis1">
    <w:name w:val="heading 1"/>
    <w:basedOn w:val="Normln"/>
    <w:next w:val="Normln"/>
    <w:qFormat/>
    <w:rsid w:val="000605FC"/>
    <w:pPr>
      <w:keepNext/>
      <w:numPr>
        <w:numId w:val="1"/>
      </w:numPr>
      <w:spacing w:before="240" w:after="60"/>
      <w:outlineLvl w:val="0"/>
    </w:pPr>
    <w:rPr>
      <w:rFonts w:ascii="Arial" w:hAnsi="Arial" w:cs="Arial"/>
      <w:b/>
      <w:kern w:val="2"/>
      <w:sz w:val="28"/>
    </w:rPr>
  </w:style>
  <w:style w:type="paragraph" w:styleId="Nadpis2">
    <w:name w:val="heading 2"/>
    <w:basedOn w:val="Normln"/>
    <w:next w:val="Normln"/>
    <w:qFormat/>
    <w:rsid w:val="000605FC"/>
    <w:pPr>
      <w:keepNext/>
      <w:numPr>
        <w:ilvl w:val="1"/>
        <w:numId w:val="1"/>
      </w:numPr>
      <w:tabs>
        <w:tab w:val="left" w:pos="284"/>
        <w:tab w:val="right" w:leader="dot" w:pos="8789"/>
      </w:tabs>
      <w:jc w:val="both"/>
      <w:outlineLvl w:val="1"/>
    </w:pPr>
    <w:rPr>
      <w:rFonts w:ascii="Arial" w:hAnsi="Arial" w:cs="Arial"/>
      <w:b/>
      <w:sz w:val="24"/>
    </w:rPr>
  </w:style>
  <w:style w:type="paragraph" w:styleId="Nadpis3">
    <w:name w:val="heading 3"/>
    <w:basedOn w:val="Normln"/>
    <w:next w:val="Normln"/>
    <w:qFormat/>
    <w:rsid w:val="000605FC"/>
    <w:pPr>
      <w:keepNext/>
      <w:numPr>
        <w:ilvl w:val="2"/>
        <w:numId w:val="1"/>
      </w:numPr>
      <w:outlineLvl w:val="2"/>
    </w:pPr>
    <w:rPr>
      <w:rFonts w:ascii="Arial" w:hAnsi="Arial" w:cs="Arial"/>
      <w:b/>
      <w:sz w:val="24"/>
    </w:rPr>
  </w:style>
  <w:style w:type="paragraph" w:styleId="Nadpis4">
    <w:name w:val="heading 4"/>
    <w:basedOn w:val="Normln"/>
    <w:next w:val="Normln"/>
    <w:qFormat/>
    <w:rsid w:val="000605FC"/>
    <w:pPr>
      <w:keepNext/>
      <w:numPr>
        <w:ilvl w:val="3"/>
        <w:numId w:val="1"/>
      </w:numPr>
      <w:spacing w:before="120"/>
      <w:jc w:val="center"/>
      <w:outlineLvl w:val="3"/>
    </w:pPr>
    <w:rPr>
      <w:rFonts w:ascii="Arial" w:hAnsi="Arial" w:cs="Arial"/>
      <w:b/>
      <w:bCs/>
      <w:sz w:val="28"/>
    </w:rPr>
  </w:style>
  <w:style w:type="paragraph" w:styleId="Nadpis5">
    <w:name w:val="heading 5"/>
    <w:basedOn w:val="Normln"/>
    <w:next w:val="Normln"/>
    <w:qFormat/>
    <w:rsid w:val="000605FC"/>
    <w:pPr>
      <w:keepNext/>
      <w:numPr>
        <w:ilvl w:val="4"/>
        <w:numId w:val="1"/>
      </w:numPr>
      <w:ind w:left="0" w:right="102" w:firstLine="0"/>
      <w:outlineLvl w:val="4"/>
    </w:pPr>
    <w:rPr>
      <w:rFonts w:ascii="Arial" w:hAnsi="Arial" w:cs="Arial"/>
      <w:sz w:val="24"/>
      <w:szCs w:val="24"/>
    </w:rPr>
  </w:style>
  <w:style w:type="paragraph" w:styleId="Nadpis6">
    <w:name w:val="heading 6"/>
    <w:basedOn w:val="Normln"/>
    <w:next w:val="Normln"/>
    <w:qFormat/>
    <w:rsid w:val="000605FC"/>
    <w:pPr>
      <w:keepNext/>
      <w:numPr>
        <w:ilvl w:val="5"/>
        <w:numId w:val="1"/>
      </w:numPr>
      <w:ind w:left="0" w:right="102" w:firstLine="1134"/>
      <w:outlineLvl w:val="5"/>
    </w:pPr>
    <w:rPr>
      <w:sz w:val="24"/>
      <w:szCs w:val="24"/>
    </w:rPr>
  </w:style>
  <w:style w:type="paragraph" w:styleId="Nadpis7">
    <w:name w:val="heading 7"/>
    <w:basedOn w:val="Normln"/>
    <w:next w:val="Normln"/>
    <w:qFormat/>
    <w:rsid w:val="000605FC"/>
    <w:pPr>
      <w:keepNext/>
      <w:numPr>
        <w:ilvl w:val="6"/>
        <w:numId w:val="1"/>
      </w:numPr>
      <w:ind w:left="709" w:right="102" w:firstLine="0"/>
      <w:outlineLvl w:val="6"/>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Wingdings 2" w:hAnsi="Wingdings 2" w:cs="Wingdings 2"/>
      <w:sz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Courier New"/>
    </w:rPr>
  </w:style>
  <w:style w:type="character" w:customStyle="1" w:styleId="WW8Num11z0">
    <w:name w:val="WW8Num11z0"/>
    <w:qFormat/>
    <w:rPr>
      <w:b/>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b/>
    </w:rPr>
  </w:style>
  <w:style w:type="character" w:customStyle="1" w:styleId="WW8Num19z0">
    <w:name w:val="WW8Num19z0"/>
    <w:qFormat/>
    <w:rPr>
      <w:rFonts w:ascii="Times New Roman" w:hAnsi="Times New Roman" w:cs="Times New Roman"/>
      <w:sz w:val="24"/>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b w:val="0"/>
      <w:i/>
      <w:u w:val="none"/>
    </w:rPr>
  </w:style>
  <w:style w:type="character" w:customStyle="1" w:styleId="WW8Num21z0">
    <w:name w:val="WW8Num21z0"/>
    <w:qFormat/>
    <w:rPr>
      <w:rFonts w:ascii="Arial" w:hAnsi="Arial" w:cs="Times New Roman"/>
      <w:b w:val="0"/>
      <w:i w:val="0"/>
      <w:strike w:val="0"/>
      <w:dstrike w:val="0"/>
      <w:sz w:val="24"/>
      <w:u w:val="none"/>
    </w:rPr>
  </w:style>
  <w:style w:type="character" w:customStyle="1" w:styleId="WW8Num22z0">
    <w:name w:val="WW8Num22z0"/>
    <w:qFormat/>
    <w:rPr>
      <w:rFonts w:ascii="Wingdings 2" w:hAnsi="Wingdings 2" w:cs="Wingdings 2"/>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b/>
    </w:rPr>
  </w:style>
  <w:style w:type="character" w:customStyle="1" w:styleId="WW8Num27z0">
    <w:name w:val="WW8Num27z0"/>
    <w:qFormat/>
    <w:rPr>
      <w:rFonts w:ascii="Arial" w:hAnsi="Arial" w:cs="Arial"/>
      <w:b w:val="0"/>
      <w:i w:val="0"/>
      <w:sz w:val="24"/>
      <w:u w:val="none"/>
    </w:rPr>
  </w:style>
  <w:style w:type="character" w:customStyle="1" w:styleId="WW8Num28z0">
    <w:name w:val="WW8Num28z0"/>
    <w:qFormat/>
    <w:rPr>
      <w:rFonts w:ascii="Symbol" w:hAnsi="Symbol" w:cs="Symbol"/>
    </w:rPr>
  </w:style>
  <w:style w:type="character" w:customStyle="1" w:styleId="WW8Num29z0">
    <w:name w:val="WW8Num29z0"/>
    <w:qFormat/>
    <w:rPr>
      <w:rFonts w:ascii="Symbol" w:hAnsi="Symbol" w:cs="Symbol"/>
    </w:rPr>
  </w:style>
  <w:style w:type="character" w:customStyle="1" w:styleId="WW8Num30z0">
    <w:name w:val="WW8Num30z0"/>
    <w:qFormat/>
    <w:rPr>
      <w:rFonts w:ascii="Times New Roman" w:hAnsi="Times New Roman" w:cs="Times New Roman"/>
      <w:sz w:val="24"/>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3z0">
    <w:name w:val="WW8Num33z0"/>
    <w:qFormat/>
    <w:rPr>
      <w:rFonts w:ascii="Arial" w:hAnsi="Arial" w:cs="Arial"/>
      <w:b w:val="0"/>
      <w:i w:val="0"/>
      <w:sz w:val="24"/>
      <w:u w:val="none"/>
    </w:rPr>
  </w:style>
  <w:style w:type="character" w:customStyle="1" w:styleId="WW8Num35z0">
    <w:name w:val="WW8Num35z0"/>
    <w:qFormat/>
    <w:rPr>
      <w:b/>
    </w:rPr>
  </w:style>
  <w:style w:type="character" w:customStyle="1" w:styleId="WW8Num36z0">
    <w:name w:val="WW8Num36z0"/>
    <w:qFormat/>
    <w:rPr>
      <w:rFonts w:ascii="Symbol" w:hAnsi="Symbol" w:cs="Symbol"/>
    </w:rPr>
  </w:style>
  <w:style w:type="character" w:customStyle="1" w:styleId="WW8Num38z0">
    <w:name w:val="WW8Num38z0"/>
    <w:qFormat/>
    <w:rPr>
      <w:rFonts w:ascii="Arial" w:hAnsi="Arial" w:cs="Times New Roman"/>
      <w:b w:val="0"/>
      <w:i w:val="0"/>
      <w:strike w:val="0"/>
      <w:dstrike w:val="0"/>
      <w:sz w:val="24"/>
      <w:u w:val="none"/>
    </w:rPr>
  </w:style>
  <w:style w:type="character" w:customStyle="1" w:styleId="WW8Num39z0">
    <w:name w:val="WW8Num39z0"/>
    <w:qFormat/>
    <w:rPr>
      <w:rFonts w:ascii="Times New Roman" w:hAnsi="Times New Roman" w:cs="Times New Roman"/>
      <w:sz w:val="24"/>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Arial" w:hAnsi="Arial" w:cs="Arial"/>
      <w:b w:val="0"/>
      <w:i w:val="0"/>
      <w:sz w:val="24"/>
      <w:u w:val="none"/>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Times New Roman" w:hAnsi="Times New Roman" w:cs="Times New Roman"/>
      <w:sz w:val="24"/>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St26z0">
    <w:name w:val="WW8NumSt26z0"/>
    <w:qFormat/>
    <w:rPr>
      <w:rFonts w:ascii="Arial" w:hAnsi="Arial" w:cs="Times New Roman"/>
    </w:rPr>
  </w:style>
  <w:style w:type="character" w:customStyle="1" w:styleId="WW8NumSt27z0">
    <w:name w:val="WW8NumSt27z0"/>
    <w:qFormat/>
    <w:rPr>
      <w:rFonts w:ascii="Arial" w:hAnsi="Arial" w:cs="Arial"/>
    </w:rPr>
  </w:style>
  <w:style w:type="character" w:styleId="slostrnky">
    <w:name w:val="page number"/>
    <w:basedOn w:val="Standardnpsmoodstavce"/>
    <w:qFormat/>
  </w:style>
  <w:style w:type="character" w:customStyle="1" w:styleId="normlnChar">
    <w:name w:val="normální Char"/>
    <w:qFormat/>
    <w:rPr>
      <w:rFonts w:ascii="Arial" w:hAnsi="Arial" w:cs="Arial"/>
      <w:sz w:val="24"/>
    </w:rPr>
  </w:style>
  <w:style w:type="character" w:customStyle="1" w:styleId="ZkladntextChar">
    <w:name w:val="Základní text Char"/>
    <w:qFormat/>
    <w:rPr>
      <w:rFonts w:ascii="Arial" w:hAnsi="Arial" w:cs="Arial"/>
      <w:sz w:val="22"/>
    </w:rPr>
  </w:style>
  <w:style w:type="character" w:customStyle="1" w:styleId="ZhlavChar">
    <w:name w:val="Záhlaví Char"/>
    <w:qFormat/>
  </w:style>
  <w:style w:type="character" w:customStyle="1" w:styleId="TextbublinyChar">
    <w:name w:val="Text bubliny Char"/>
    <w:qFormat/>
    <w:rPr>
      <w:rFonts w:ascii="Tahoma" w:hAnsi="Tahoma" w:cs="Tahoma"/>
      <w:sz w:val="16"/>
      <w:szCs w:val="16"/>
    </w:rPr>
  </w:style>
  <w:style w:type="character" w:customStyle="1" w:styleId="tsubjname">
    <w:name w:val="tsubjname"/>
    <w:qFormat/>
  </w:style>
  <w:style w:type="paragraph" w:customStyle="1" w:styleId="Nadpis">
    <w:name w:val="Nadpis"/>
    <w:basedOn w:val="Normln"/>
    <w:next w:val="Zkladntext"/>
    <w:qFormat/>
    <w:pPr>
      <w:spacing w:before="240" w:after="60"/>
      <w:jc w:val="center"/>
    </w:pPr>
    <w:rPr>
      <w:rFonts w:ascii="Arial" w:hAnsi="Arial" w:cs="Arial"/>
      <w:b/>
      <w:kern w:val="2"/>
      <w:sz w:val="32"/>
    </w:rPr>
  </w:style>
  <w:style w:type="paragraph" w:styleId="Zkladntext">
    <w:name w:val="Body Text"/>
    <w:basedOn w:val="Normln"/>
    <w:rsid w:val="000605FC"/>
    <w:pPr>
      <w:spacing w:after="120"/>
    </w:pPr>
    <w:rPr>
      <w:rFonts w:ascii="Arial" w:hAnsi="Arial" w:cs="Arial"/>
      <w:sz w:val="22"/>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normln0">
    <w:name w:val="normální"/>
    <w:basedOn w:val="Normln"/>
    <w:qFormat/>
    <w:pPr>
      <w:jc w:val="both"/>
    </w:pPr>
    <w:rPr>
      <w:rFonts w:ascii="Arial" w:hAnsi="Arial" w:cs="Arial"/>
      <w:sz w:val="24"/>
    </w:rPr>
  </w:style>
  <w:style w:type="paragraph" w:styleId="Zpat">
    <w:name w:val="footer"/>
    <w:basedOn w:val="Normln"/>
    <w:pPr>
      <w:tabs>
        <w:tab w:val="center" w:pos="4536"/>
        <w:tab w:val="right" w:pos="9072"/>
      </w:tabs>
    </w:pPr>
  </w:style>
  <w:style w:type="paragraph" w:styleId="Zkladntext2">
    <w:name w:val="Body Text 2"/>
    <w:basedOn w:val="Normln"/>
    <w:qFormat/>
    <w:rPr>
      <w:rFonts w:ascii="Arial" w:hAnsi="Arial" w:cs="Arial"/>
      <w:color w:val="FF0000"/>
      <w:sz w:val="24"/>
    </w:rPr>
  </w:style>
  <w:style w:type="paragraph" w:styleId="Zkladntext3">
    <w:name w:val="Body Text 3"/>
    <w:basedOn w:val="Normln"/>
    <w:qFormat/>
    <w:rsid w:val="000605FC"/>
    <w:pPr>
      <w:spacing w:before="120"/>
    </w:pPr>
    <w:rPr>
      <w:rFonts w:ascii="Arial" w:hAnsi="Arial" w:cs="Arial"/>
      <w:sz w:val="24"/>
    </w:rPr>
  </w:style>
  <w:style w:type="paragraph" w:styleId="Zhlav">
    <w:name w:val="header"/>
    <w:basedOn w:val="Normln"/>
    <w:pPr>
      <w:tabs>
        <w:tab w:val="center" w:pos="4536"/>
        <w:tab w:val="right" w:pos="9072"/>
      </w:tabs>
    </w:pPr>
  </w:style>
  <w:style w:type="paragraph" w:styleId="Textvbloku">
    <w:name w:val="Block Text"/>
    <w:basedOn w:val="Normln"/>
    <w:qFormat/>
    <w:pPr>
      <w:ind w:left="142" w:right="102" w:hanging="142"/>
    </w:pPr>
    <w:rPr>
      <w:rFonts w:ascii="Arial" w:hAnsi="Arial" w:cs="Arial"/>
      <w:sz w:val="24"/>
      <w:szCs w:val="24"/>
    </w:rPr>
  </w:style>
  <w:style w:type="paragraph" w:styleId="Zkladntextodsazen">
    <w:name w:val="Body Text Indent"/>
    <w:basedOn w:val="Normln"/>
    <w:rsid w:val="000605FC"/>
    <w:pPr>
      <w:ind w:left="567" w:hanging="567"/>
    </w:pPr>
    <w:rPr>
      <w:rFonts w:ascii="Arial" w:hAnsi="Arial" w:cs="Arial"/>
      <w:sz w:val="22"/>
    </w:rPr>
  </w:style>
  <w:style w:type="paragraph" w:styleId="Zkladntextodsazen2">
    <w:name w:val="Body Text Indent 2"/>
    <w:basedOn w:val="Normln"/>
    <w:qFormat/>
    <w:rsid w:val="000605FC"/>
    <w:pPr>
      <w:tabs>
        <w:tab w:val="left" w:pos="567"/>
      </w:tabs>
      <w:ind w:left="567"/>
      <w:jc w:val="both"/>
    </w:pPr>
    <w:rPr>
      <w:rFonts w:ascii="Arial" w:hAnsi="Arial" w:cs="Arial"/>
      <w:sz w:val="24"/>
      <w:szCs w:val="24"/>
    </w:rPr>
  </w:style>
  <w:style w:type="paragraph" w:styleId="Zkladntextodsazen3">
    <w:name w:val="Body Text Indent 3"/>
    <w:basedOn w:val="Normln"/>
    <w:qFormat/>
    <w:rsid w:val="000605FC"/>
    <w:pPr>
      <w:tabs>
        <w:tab w:val="left" w:pos="3402"/>
      </w:tabs>
      <w:spacing w:before="240"/>
      <w:ind w:left="284"/>
      <w:jc w:val="both"/>
    </w:pPr>
    <w:rPr>
      <w:rFonts w:ascii="Arial" w:hAnsi="Arial" w:cs="Arial"/>
      <w:b/>
      <w:sz w:val="24"/>
      <w:szCs w:val="22"/>
      <w:u w:val="single"/>
    </w:rPr>
  </w:style>
  <w:style w:type="paragraph" w:customStyle="1" w:styleId="Normln1">
    <w:name w:val="Normln"/>
    <w:qFormat/>
    <w:rsid w:val="000605FC"/>
    <w:pPr>
      <w:suppressAutoHyphens/>
    </w:pPr>
    <w:rPr>
      <w:rFonts w:ascii="MS Sans Serif;Arial" w:eastAsia="Times New Roman" w:hAnsi="MS Sans Serif;Arial" w:cs="MS Sans Serif;Arial"/>
      <w:lang w:bidi="ar-SA"/>
    </w:rPr>
  </w:style>
  <w:style w:type="paragraph" w:styleId="Rozloendokumentu">
    <w:name w:val="Document Map"/>
    <w:basedOn w:val="Normln"/>
    <w:qFormat/>
    <w:pPr>
      <w:shd w:val="clear" w:color="auto" w:fill="000080"/>
    </w:pPr>
    <w:rPr>
      <w:rFonts w:ascii="Tahoma" w:hAnsi="Tahoma" w:cs="Tahoma"/>
    </w:rPr>
  </w:style>
  <w:style w:type="paragraph" w:customStyle="1" w:styleId="LO-Normal">
    <w:name w:val="LO-Normal"/>
    <w:qFormat/>
    <w:rsid w:val="000605FC"/>
    <w:pPr>
      <w:widowControl w:val="0"/>
      <w:suppressAutoHyphens/>
    </w:pPr>
    <w:rPr>
      <w:rFonts w:ascii="Verdana" w:eastAsia="Times New Roman" w:hAnsi="Verdana" w:cs="Verdana"/>
      <w:color w:val="000000"/>
      <w:lang w:bidi="ar-SA"/>
    </w:rPr>
  </w:style>
  <w:style w:type="paragraph" w:styleId="Textbubliny">
    <w:name w:val="Balloon Text"/>
    <w:basedOn w:val="Normln"/>
    <w:qFormat/>
    <w:rPr>
      <w:rFonts w:ascii="Tahoma" w:hAnsi="Tahoma" w:cs="Tahoma"/>
      <w:sz w:val="16"/>
      <w:szCs w:val="16"/>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rsid w:val="000605FC"/>
    <w:pPr>
      <w:jc w:val="center"/>
    </w:pPr>
    <w:rPr>
      <w:b/>
      <w:bCs/>
    </w:rPr>
  </w:style>
  <w:style w:type="paragraph" w:customStyle="1" w:styleId="Obsahrmce">
    <w:name w:val="Obsah rámce"/>
    <w:basedOn w:val="Zkladntext"/>
    <w:qFormat/>
  </w:style>
  <w:style w:type="numbering" w:customStyle="1" w:styleId="WW8Num1">
    <w:name w:val="WW8Num1"/>
    <w:qFormat/>
  </w:style>
  <w:style w:type="paragraph" w:customStyle="1" w:styleId="Vchoz">
    <w:name w:val="Výchozí"/>
    <w:qFormat/>
    <w:rsid w:val="001F2D66"/>
    <w:pPr>
      <w:suppressAutoHyphens/>
    </w:pPr>
    <w:rPr>
      <w:rFonts w:ascii="Calibri" w:eastAsia="Calibri" w:hAnsi="Calibri" w:cs="Calibri"/>
      <w:color w:val="00000A"/>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77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8251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OPRAVA STAVEBNÍCH ZÁVAD POŽÁRNÍ NÁDRŽE V OBCI HOSTY A JEJÍ ODBAHNĚNÍ</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OPRAVA STAVEBNÍCH ZÁVAD POŽÁRNÍ NÁDRŽE V OBCI HOSTY A JEJÍ ODBAHNĚNÍ</dc:title>
  <dc:subject/>
  <dc:creator>Jaroslav Vítovec</dc:creator>
  <dc:description/>
  <cp:lastModifiedBy>Emilie Vávrová</cp:lastModifiedBy>
  <cp:revision>3</cp:revision>
  <cp:lastPrinted>2019-06-20T12:27:00Z</cp:lastPrinted>
  <dcterms:created xsi:type="dcterms:W3CDTF">2019-06-20T15:05:00Z</dcterms:created>
  <dcterms:modified xsi:type="dcterms:W3CDTF">2019-06-20T15:06:00Z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