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51" w:rsidRPr="00784400" w:rsidRDefault="00D67A51" w:rsidP="00D77F89">
      <w:pPr>
        <w:pStyle w:val="obec"/>
        <w:tabs>
          <w:tab w:val="left" w:pos="708"/>
        </w:tabs>
        <w:jc w:val="center"/>
        <w:rPr>
          <w:rFonts w:ascii="Arial" w:hAnsi="Arial" w:cs="Arial"/>
          <w:b/>
          <w:sz w:val="36"/>
          <w:szCs w:val="36"/>
        </w:rPr>
      </w:pPr>
      <w:r w:rsidRPr="00784400">
        <w:rPr>
          <w:rFonts w:ascii="Arial" w:hAnsi="Arial" w:cs="Arial"/>
          <w:b/>
          <w:sz w:val="36"/>
          <w:szCs w:val="36"/>
        </w:rPr>
        <w:t>Smlouv</w:t>
      </w:r>
      <w:r w:rsidR="00341606">
        <w:rPr>
          <w:rFonts w:ascii="Arial" w:hAnsi="Arial" w:cs="Arial"/>
          <w:b/>
          <w:sz w:val="36"/>
          <w:szCs w:val="36"/>
        </w:rPr>
        <w:t>a</w:t>
      </w:r>
      <w:r w:rsidRPr="00784400">
        <w:rPr>
          <w:rFonts w:ascii="Arial" w:hAnsi="Arial" w:cs="Arial"/>
          <w:b/>
          <w:sz w:val="36"/>
          <w:szCs w:val="36"/>
        </w:rPr>
        <w:t xml:space="preserve"> o nájmu</w:t>
      </w:r>
    </w:p>
    <w:p w:rsidR="00D67A51" w:rsidRPr="00784400" w:rsidRDefault="00D67A51" w:rsidP="004011A7">
      <w:pPr>
        <w:pStyle w:val="obec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:rsidR="00D67A51" w:rsidRPr="00341606" w:rsidRDefault="00D67A51" w:rsidP="00D67A51">
      <w:pPr>
        <w:widowControl/>
        <w:suppressAutoHyphens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41606">
        <w:rPr>
          <w:rFonts w:ascii="Arial" w:hAnsi="Arial" w:cs="Arial"/>
          <w:sz w:val="22"/>
          <w:szCs w:val="22"/>
        </w:rPr>
        <w:t>číslo smlouvy pronajímatele: SMMJ-0</w:t>
      </w:r>
      <w:r w:rsidR="00341606" w:rsidRPr="00341606">
        <w:rPr>
          <w:rFonts w:ascii="Arial" w:hAnsi="Arial" w:cs="Arial"/>
          <w:sz w:val="22"/>
          <w:szCs w:val="22"/>
        </w:rPr>
        <w:t>24</w:t>
      </w:r>
      <w:r w:rsidRPr="00341606">
        <w:rPr>
          <w:rFonts w:ascii="Arial" w:hAnsi="Arial" w:cs="Arial"/>
          <w:sz w:val="22"/>
          <w:szCs w:val="22"/>
        </w:rPr>
        <w:t>-201</w:t>
      </w:r>
      <w:r w:rsidR="00341606" w:rsidRPr="00341606">
        <w:rPr>
          <w:rFonts w:ascii="Arial" w:hAnsi="Arial" w:cs="Arial"/>
          <w:sz w:val="22"/>
          <w:szCs w:val="22"/>
        </w:rPr>
        <w:t>6</w:t>
      </w:r>
    </w:p>
    <w:p w:rsidR="00D67A51" w:rsidRPr="00341606" w:rsidRDefault="00D67A51" w:rsidP="00D77F89">
      <w:pPr>
        <w:jc w:val="center"/>
        <w:rPr>
          <w:rFonts w:ascii="Arial" w:hAnsi="Arial" w:cs="Arial"/>
          <w:b/>
        </w:rPr>
      </w:pPr>
    </w:p>
    <w:p w:rsidR="00D77F89" w:rsidRPr="000613C0" w:rsidRDefault="00D77F89" w:rsidP="00D77F89">
      <w:pPr>
        <w:jc w:val="center"/>
        <w:rPr>
          <w:rFonts w:ascii="Arial" w:hAnsi="Arial" w:cs="Arial"/>
          <w:b/>
        </w:rPr>
      </w:pPr>
      <w:r w:rsidRPr="000613C0">
        <w:rPr>
          <w:rFonts w:ascii="Arial" w:hAnsi="Arial" w:cs="Arial"/>
          <w:b/>
        </w:rPr>
        <w:t>I.</w:t>
      </w:r>
    </w:p>
    <w:p w:rsidR="00D77F89" w:rsidRPr="000613C0" w:rsidRDefault="00D77F89" w:rsidP="00D77F89">
      <w:pPr>
        <w:spacing w:after="240"/>
        <w:jc w:val="center"/>
        <w:rPr>
          <w:rFonts w:ascii="Arial" w:hAnsi="Arial" w:cs="Arial"/>
          <w:b/>
        </w:rPr>
      </w:pPr>
      <w:r w:rsidRPr="000613C0">
        <w:rPr>
          <w:rFonts w:ascii="Arial" w:hAnsi="Arial" w:cs="Arial"/>
          <w:b/>
        </w:rPr>
        <w:t>S</w:t>
      </w:r>
      <w:r w:rsidR="00431EA0" w:rsidRPr="000613C0">
        <w:rPr>
          <w:rFonts w:ascii="Arial" w:hAnsi="Arial" w:cs="Arial"/>
          <w:b/>
        </w:rPr>
        <w:t>mluvní strany</w:t>
      </w:r>
    </w:p>
    <w:p w:rsidR="00D77F89" w:rsidRPr="000613C0" w:rsidRDefault="00D77F89" w:rsidP="00D77F89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0613C0">
        <w:rPr>
          <w:rFonts w:ascii="Arial" w:hAnsi="Arial" w:cs="Arial"/>
          <w:b/>
          <w:sz w:val="22"/>
          <w:szCs w:val="22"/>
        </w:rPr>
        <w:t>Správa majetku města Jeseník, příspěvková organizace</w:t>
      </w:r>
    </w:p>
    <w:p w:rsidR="00E01D73" w:rsidRPr="000613C0" w:rsidRDefault="00E01D73" w:rsidP="00E01D73">
      <w:pPr>
        <w:pStyle w:val="obec"/>
        <w:tabs>
          <w:tab w:val="clear" w:pos="1418"/>
          <w:tab w:val="left" w:pos="708"/>
          <w:tab w:val="left" w:pos="1985"/>
        </w:tabs>
        <w:rPr>
          <w:rFonts w:ascii="Arial" w:hAnsi="Arial" w:cs="Arial"/>
          <w:sz w:val="22"/>
          <w:szCs w:val="22"/>
        </w:rPr>
      </w:pPr>
      <w:proofErr w:type="gramStart"/>
      <w:r w:rsidRPr="000613C0">
        <w:rPr>
          <w:rFonts w:ascii="Arial" w:hAnsi="Arial" w:cs="Arial"/>
          <w:sz w:val="22"/>
          <w:szCs w:val="22"/>
        </w:rPr>
        <w:t>organizace  zapsaná</w:t>
      </w:r>
      <w:proofErr w:type="gramEnd"/>
      <w:r w:rsidRPr="000613C0">
        <w:rPr>
          <w:rFonts w:ascii="Arial" w:hAnsi="Arial" w:cs="Arial"/>
          <w:sz w:val="22"/>
          <w:szCs w:val="22"/>
        </w:rPr>
        <w:t xml:space="preserve"> v obchodním rejstříku vedeném Krajským soudem v Ostravě, oddíl </w:t>
      </w:r>
      <w:proofErr w:type="spellStart"/>
      <w:r w:rsidRPr="000613C0">
        <w:rPr>
          <w:rFonts w:ascii="Arial" w:hAnsi="Arial" w:cs="Arial"/>
          <w:sz w:val="22"/>
          <w:szCs w:val="22"/>
        </w:rPr>
        <w:t>Pr</w:t>
      </w:r>
      <w:proofErr w:type="spellEnd"/>
      <w:r w:rsidRPr="000613C0">
        <w:rPr>
          <w:rFonts w:ascii="Arial" w:hAnsi="Arial" w:cs="Arial"/>
          <w:sz w:val="22"/>
          <w:szCs w:val="22"/>
        </w:rPr>
        <w:t>, vložka 5003</w:t>
      </w:r>
    </w:p>
    <w:p w:rsidR="00D77F89" w:rsidRPr="000613C0" w:rsidRDefault="00D77F89" w:rsidP="00D77F89">
      <w:pPr>
        <w:pStyle w:val="obec"/>
        <w:tabs>
          <w:tab w:val="clear" w:pos="467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Sídlo:</w:t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  <w:t xml:space="preserve">Masarykovo nám. 1/167, </w:t>
      </w:r>
      <w:proofErr w:type="gramStart"/>
      <w:r w:rsidRPr="000613C0">
        <w:rPr>
          <w:rFonts w:ascii="Arial" w:hAnsi="Arial" w:cs="Arial"/>
          <w:sz w:val="22"/>
          <w:szCs w:val="22"/>
        </w:rPr>
        <w:t>790 01  Jeseník</w:t>
      </w:r>
      <w:proofErr w:type="gramEnd"/>
      <w:r w:rsidRPr="000613C0">
        <w:rPr>
          <w:rFonts w:ascii="Arial" w:hAnsi="Arial" w:cs="Arial"/>
          <w:sz w:val="22"/>
          <w:szCs w:val="22"/>
        </w:rPr>
        <w:t xml:space="preserve"> </w:t>
      </w:r>
    </w:p>
    <w:p w:rsidR="00D77F89" w:rsidRPr="000613C0" w:rsidRDefault="00D77F89" w:rsidP="00D77F89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 xml:space="preserve">IČ: </w:t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  <w:t>72018763</w:t>
      </w:r>
      <w:r w:rsidRPr="000613C0">
        <w:rPr>
          <w:rFonts w:ascii="Arial" w:hAnsi="Arial" w:cs="Arial"/>
          <w:sz w:val="22"/>
          <w:szCs w:val="22"/>
        </w:rPr>
        <w:tab/>
      </w:r>
    </w:p>
    <w:p w:rsidR="00D77F89" w:rsidRPr="000613C0" w:rsidRDefault="00D77F89" w:rsidP="00D77F89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 xml:space="preserve">DIČ: </w:t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  <w:t>CZ72018763</w:t>
      </w:r>
    </w:p>
    <w:p w:rsidR="00D77F89" w:rsidRPr="000613C0" w:rsidRDefault="00D77F89" w:rsidP="00D77F89">
      <w:pPr>
        <w:tabs>
          <w:tab w:val="left" w:pos="2127"/>
        </w:tabs>
        <w:rPr>
          <w:rFonts w:ascii="Arial" w:hAnsi="Arial" w:cs="Arial"/>
          <w:iCs/>
          <w:sz w:val="22"/>
          <w:szCs w:val="22"/>
        </w:rPr>
      </w:pPr>
      <w:r w:rsidRPr="000613C0">
        <w:rPr>
          <w:rFonts w:ascii="Arial" w:hAnsi="Arial" w:cs="Arial"/>
          <w:iCs/>
          <w:sz w:val="22"/>
          <w:szCs w:val="22"/>
        </w:rPr>
        <w:t>Zastoupená:</w:t>
      </w:r>
      <w:r w:rsidRPr="000613C0">
        <w:rPr>
          <w:rFonts w:ascii="Arial" w:hAnsi="Arial" w:cs="Arial"/>
          <w:iCs/>
          <w:sz w:val="22"/>
          <w:szCs w:val="22"/>
        </w:rPr>
        <w:tab/>
      </w:r>
      <w:proofErr w:type="spellStart"/>
      <w:r w:rsidR="00341606">
        <w:rPr>
          <w:rFonts w:ascii="Arial" w:hAnsi="Arial" w:cs="Arial"/>
          <w:iCs/>
          <w:sz w:val="22"/>
          <w:szCs w:val="22"/>
        </w:rPr>
        <w:t>Radomírou</w:t>
      </w:r>
      <w:proofErr w:type="spellEnd"/>
      <w:r w:rsidR="0034160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41606">
        <w:rPr>
          <w:rFonts w:ascii="Arial" w:hAnsi="Arial" w:cs="Arial"/>
          <w:iCs/>
          <w:sz w:val="22"/>
          <w:szCs w:val="22"/>
        </w:rPr>
        <w:t>Beierovou</w:t>
      </w:r>
      <w:r w:rsidRPr="000613C0">
        <w:rPr>
          <w:rFonts w:ascii="Arial" w:hAnsi="Arial" w:cs="Arial"/>
          <w:iCs/>
          <w:sz w:val="22"/>
          <w:szCs w:val="22"/>
        </w:rPr>
        <w:t>,</w:t>
      </w:r>
      <w:r w:rsidR="00341606">
        <w:rPr>
          <w:rFonts w:ascii="Arial" w:hAnsi="Arial" w:cs="Arial"/>
          <w:iCs/>
          <w:sz w:val="22"/>
          <w:szCs w:val="22"/>
        </w:rPr>
        <w:t>pověřenou</w:t>
      </w:r>
      <w:proofErr w:type="spellEnd"/>
      <w:r w:rsidR="00341606">
        <w:rPr>
          <w:rFonts w:ascii="Arial" w:hAnsi="Arial" w:cs="Arial"/>
          <w:iCs/>
          <w:sz w:val="22"/>
          <w:szCs w:val="22"/>
        </w:rPr>
        <w:t xml:space="preserve"> řízením</w:t>
      </w:r>
      <w:r w:rsidRPr="000613C0">
        <w:rPr>
          <w:rFonts w:ascii="Arial" w:hAnsi="Arial" w:cs="Arial"/>
          <w:iCs/>
          <w:sz w:val="22"/>
          <w:szCs w:val="22"/>
        </w:rPr>
        <w:t xml:space="preserve"> organizace </w:t>
      </w:r>
    </w:p>
    <w:p w:rsidR="00D77F89" w:rsidRPr="000613C0" w:rsidRDefault="00D77F89" w:rsidP="00D77F89">
      <w:pPr>
        <w:tabs>
          <w:tab w:val="left" w:pos="2127"/>
        </w:tabs>
        <w:rPr>
          <w:rFonts w:ascii="Arial" w:hAnsi="Arial" w:cs="Arial"/>
          <w:iCs/>
          <w:sz w:val="22"/>
          <w:szCs w:val="22"/>
        </w:rPr>
      </w:pPr>
      <w:r w:rsidRPr="000613C0">
        <w:rPr>
          <w:rFonts w:ascii="Arial" w:hAnsi="Arial" w:cs="Arial"/>
          <w:iCs/>
          <w:sz w:val="22"/>
          <w:szCs w:val="22"/>
        </w:rPr>
        <w:t>Doručovací adresa:</w:t>
      </w:r>
      <w:r w:rsidRPr="000613C0">
        <w:rPr>
          <w:rFonts w:ascii="Arial" w:hAnsi="Arial" w:cs="Arial"/>
          <w:iCs/>
          <w:sz w:val="22"/>
          <w:szCs w:val="22"/>
        </w:rPr>
        <w:tab/>
        <w:t xml:space="preserve">Karla Čapka 1147/10, </w:t>
      </w:r>
      <w:proofErr w:type="gramStart"/>
      <w:r w:rsidRPr="000613C0">
        <w:rPr>
          <w:rFonts w:ascii="Arial" w:hAnsi="Arial" w:cs="Arial"/>
          <w:iCs/>
          <w:sz w:val="22"/>
          <w:szCs w:val="22"/>
        </w:rPr>
        <w:t>790 01  Jeseník</w:t>
      </w:r>
      <w:proofErr w:type="gramEnd"/>
    </w:p>
    <w:p w:rsidR="00D77F89" w:rsidRPr="000613C0" w:rsidRDefault="00D77F89" w:rsidP="00D77F89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Bankovní spojení:</w:t>
      </w:r>
      <w:r w:rsidRPr="000613C0">
        <w:rPr>
          <w:rFonts w:ascii="Arial" w:hAnsi="Arial" w:cs="Arial"/>
          <w:sz w:val="22"/>
          <w:szCs w:val="22"/>
        </w:rPr>
        <w:tab/>
        <w:t xml:space="preserve">Komerční banka Šumperk, expozitura Jeseník </w:t>
      </w:r>
    </w:p>
    <w:p w:rsidR="00D77F89" w:rsidRPr="000613C0" w:rsidRDefault="00D77F89" w:rsidP="00D77F89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 xml:space="preserve">číslo účtu: </w:t>
      </w:r>
      <w:r w:rsidRPr="000613C0">
        <w:rPr>
          <w:rFonts w:ascii="Arial" w:hAnsi="Arial" w:cs="Arial"/>
          <w:sz w:val="22"/>
          <w:szCs w:val="22"/>
        </w:rPr>
        <w:tab/>
        <w:t>43-3820200247/0100</w:t>
      </w:r>
    </w:p>
    <w:p w:rsidR="00D77F89" w:rsidRPr="000613C0" w:rsidRDefault="00D77F89" w:rsidP="00D77F89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telefon:</w:t>
      </w:r>
      <w:r w:rsidRPr="000613C0">
        <w:rPr>
          <w:rFonts w:ascii="Arial" w:hAnsi="Arial" w:cs="Arial"/>
          <w:sz w:val="22"/>
          <w:szCs w:val="22"/>
        </w:rPr>
        <w:tab/>
        <w:t>+420 584 498 411</w:t>
      </w:r>
    </w:p>
    <w:p w:rsidR="00D77F89" w:rsidRPr="000613C0" w:rsidRDefault="00D77F89" w:rsidP="00D77F89">
      <w:pPr>
        <w:pStyle w:val="obec"/>
        <w:tabs>
          <w:tab w:val="clear" w:pos="1418"/>
          <w:tab w:val="left" w:pos="708"/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0613C0">
        <w:rPr>
          <w:rFonts w:ascii="Arial" w:hAnsi="Arial" w:cs="Arial"/>
          <w:b/>
          <w:sz w:val="22"/>
          <w:szCs w:val="22"/>
        </w:rPr>
        <w:t xml:space="preserve">(dále jen </w:t>
      </w:r>
      <w:r w:rsidRPr="000613C0">
        <w:rPr>
          <w:rFonts w:ascii="Arial" w:hAnsi="Arial" w:cs="Arial"/>
          <w:b/>
          <w:i/>
          <w:sz w:val="22"/>
          <w:szCs w:val="22"/>
        </w:rPr>
        <w:t>„</w:t>
      </w:r>
      <w:r w:rsidRPr="000613C0">
        <w:rPr>
          <w:rFonts w:ascii="Arial" w:hAnsi="Arial" w:cs="Arial"/>
          <w:b/>
          <w:sz w:val="22"/>
          <w:szCs w:val="22"/>
        </w:rPr>
        <w:t>pronajímatel</w:t>
      </w:r>
      <w:r w:rsidRPr="000613C0">
        <w:rPr>
          <w:rFonts w:ascii="Arial" w:hAnsi="Arial" w:cs="Arial"/>
          <w:b/>
          <w:i/>
          <w:sz w:val="22"/>
          <w:szCs w:val="22"/>
        </w:rPr>
        <w:t>“</w:t>
      </w:r>
      <w:r w:rsidR="009B4CF6" w:rsidRPr="000613C0">
        <w:rPr>
          <w:rFonts w:ascii="Arial" w:hAnsi="Arial" w:cs="Arial"/>
          <w:b/>
          <w:i/>
          <w:sz w:val="22"/>
          <w:szCs w:val="22"/>
        </w:rPr>
        <w:t xml:space="preserve"> </w:t>
      </w:r>
      <w:r w:rsidR="004E783E" w:rsidRPr="000613C0">
        <w:rPr>
          <w:rFonts w:ascii="Arial" w:hAnsi="Arial" w:cs="Arial"/>
          <w:b/>
          <w:sz w:val="22"/>
          <w:szCs w:val="22"/>
        </w:rPr>
        <w:t>nebo též „</w:t>
      </w:r>
      <w:proofErr w:type="gramStart"/>
      <w:r w:rsidR="009B4CF6" w:rsidRPr="000613C0">
        <w:rPr>
          <w:rFonts w:ascii="Arial" w:hAnsi="Arial" w:cs="Arial"/>
          <w:b/>
          <w:sz w:val="22"/>
          <w:szCs w:val="22"/>
        </w:rPr>
        <w:t>SMMJ</w:t>
      </w:r>
      <w:r w:rsidR="009B4CF6" w:rsidRPr="000613C0">
        <w:rPr>
          <w:rFonts w:ascii="Arial" w:hAnsi="Arial" w:cs="Arial"/>
          <w:b/>
          <w:i/>
          <w:sz w:val="22"/>
          <w:szCs w:val="22"/>
        </w:rPr>
        <w:t xml:space="preserve">“ </w:t>
      </w:r>
      <w:r w:rsidRPr="000613C0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D77F89" w:rsidRPr="000613C0" w:rsidRDefault="00D77F89" w:rsidP="00D77F89">
      <w:pPr>
        <w:rPr>
          <w:rFonts w:ascii="Arial" w:hAnsi="Arial" w:cs="Arial"/>
          <w:sz w:val="22"/>
          <w:szCs w:val="22"/>
        </w:rPr>
      </w:pPr>
    </w:p>
    <w:p w:rsidR="00D77F89" w:rsidRPr="000613C0" w:rsidRDefault="00D77F89" w:rsidP="00D77F89">
      <w:pPr>
        <w:rPr>
          <w:rFonts w:ascii="Arial" w:hAnsi="Arial" w:cs="Arial"/>
          <w:b/>
          <w:sz w:val="22"/>
          <w:szCs w:val="22"/>
        </w:rPr>
      </w:pPr>
      <w:r w:rsidRPr="000613C0">
        <w:rPr>
          <w:rFonts w:ascii="Arial" w:hAnsi="Arial" w:cs="Arial"/>
          <w:b/>
          <w:sz w:val="22"/>
          <w:szCs w:val="22"/>
        </w:rPr>
        <w:t xml:space="preserve">a </w:t>
      </w:r>
    </w:p>
    <w:p w:rsidR="00D77F89" w:rsidRPr="000613C0" w:rsidRDefault="00D77F89" w:rsidP="00D77F8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A0452B" w:rsidRDefault="00341606" w:rsidP="000613C0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Středisko rozvoje sociálních služeb, o.</w:t>
      </w:r>
      <w:proofErr w:type="gramStart"/>
      <w:r>
        <w:rPr>
          <w:rFonts w:ascii="Arial" w:hAnsi="Arial" w:cs="Arial"/>
          <w:b/>
          <w:sz w:val="22"/>
          <w:szCs w:val="22"/>
        </w:rPr>
        <w:t>p.s.</w:t>
      </w:r>
      <w:r w:rsidR="00905240" w:rsidRPr="00905240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0613C0" w:rsidRPr="000613C0" w:rsidRDefault="000613C0" w:rsidP="000613C0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Sídlo:</w:t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</w:r>
      <w:r w:rsidR="00081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Na Stráni 297/22, Bukovice, 790 01 Jeseník</w:t>
      </w:r>
    </w:p>
    <w:p w:rsidR="000613C0" w:rsidRPr="000613C0" w:rsidRDefault="000613C0" w:rsidP="000613C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 xml:space="preserve">IČ: </w:t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</w:r>
      <w:r w:rsidR="00081D6B">
        <w:rPr>
          <w:rFonts w:ascii="Arial" w:hAnsi="Arial" w:cs="Arial"/>
          <w:sz w:val="22"/>
          <w:szCs w:val="22"/>
        </w:rPr>
        <w:t>27847977</w:t>
      </w:r>
    </w:p>
    <w:p w:rsidR="000613C0" w:rsidRPr="000613C0" w:rsidRDefault="000613C0" w:rsidP="000613C0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Zastoupen</w:t>
      </w:r>
      <w:r w:rsidR="002C36B7">
        <w:rPr>
          <w:rFonts w:ascii="Arial" w:hAnsi="Arial" w:cs="Arial"/>
          <w:sz w:val="22"/>
          <w:szCs w:val="22"/>
        </w:rPr>
        <w:t>a</w:t>
      </w:r>
      <w:r w:rsidRPr="000613C0">
        <w:rPr>
          <w:rFonts w:ascii="Arial" w:hAnsi="Arial" w:cs="Arial"/>
          <w:sz w:val="22"/>
          <w:szCs w:val="22"/>
        </w:rPr>
        <w:t xml:space="preserve">: </w:t>
      </w:r>
      <w:r w:rsidRPr="000613C0">
        <w:rPr>
          <w:rFonts w:ascii="Arial" w:hAnsi="Arial" w:cs="Arial"/>
          <w:sz w:val="22"/>
          <w:szCs w:val="22"/>
        </w:rPr>
        <w:tab/>
      </w:r>
      <w:proofErr w:type="spellStart"/>
      <w:r w:rsidR="00830408">
        <w:rPr>
          <w:rFonts w:ascii="Arial" w:hAnsi="Arial" w:cs="Arial"/>
          <w:sz w:val="22"/>
          <w:szCs w:val="22"/>
        </w:rPr>
        <w:t>xxxxxxx</w:t>
      </w:r>
      <w:proofErr w:type="spellEnd"/>
    </w:p>
    <w:p w:rsidR="000613C0" w:rsidRPr="000613C0" w:rsidRDefault="000613C0" w:rsidP="000613C0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telefon:</w:t>
      </w:r>
      <w:r w:rsidRPr="000613C0">
        <w:rPr>
          <w:rFonts w:ascii="Arial" w:hAnsi="Arial" w:cs="Arial"/>
          <w:sz w:val="22"/>
          <w:szCs w:val="22"/>
        </w:rPr>
        <w:tab/>
      </w:r>
      <w:proofErr w:type="spellStart"/>
      <w:r w:rsidR="00830408">
        <w:rPr>
          <w:rFonts w:ascii="Arial" w:hAnsi="Arial" w:cs="Arial"/>
          <w:sz w:val="22"/>
          <w:szCs w:val="22"/>
        </w:rPr>
        <w:t>xxxxxxx</w:t>
      </w:r>
      <w:proofErr w:type="spellEnd"/>
    </w:p>
    <w:p w:rsidR="000613C0" w:rsidRPr="000613C0" w:rsidRDefault="000613C0" w:rsidP="000613C0">
      <w:pPr>
        <w:pStyle w:val="obec"/>
        <w:tabs>
          <w:tab w:val="clear" w:pos="1418"/>
          <w:tab w:val="left" w:pos="708"/>
          <w:tab w:val="left" w:pos="2127"/>
        </w:tabs>
        <w:rPr>
          <w:rFonts w:ascii="Arial" w:hAnsi="Arial" w:cs="Arial"/>
          <w:sz w:val="22"/>
          <w:szCs w:val="22"/>
        </w:rPr>
      </w:pPr>
      <w:r w:rsidRPr="000613C0">
        <w:rPr>
          <w:rFonts w:ascii="Arial" w:hAnsi="Arial" w:cs="Arial"/>
          <w:sz w:val="22"/>
          <w:szCs w:val="22"/>
        </w:rPr>
        <w:t>e-mail:</w:t>
      </w:r>
      <w:r w:rsidRPr="000613C0">
        <w:rPr>
          <w:rFonts w:ascii="Arial" w:hAnsi="Arial" w:cs="Arial"/>
          <w:sz w:val="22"/>
          <w:szCs w:val="22"/>
        </w:rPr>
        <w:tab/>
      </w:r>
      <w:r w:rsidRPr="000613C0">
        <w:rPr>
          <w:rFonts w:ascii="Arial" w:hAnsi="Arial" w:cs="Arial"/>
          <w:sz w:val="22"/>
          <w:szCs w:val="22"/>
        </w:rPr>
        <w:tab/>
      </w:r>
      <w:r w:rsidR="00830408">
        <w:rPr>
          <w:rFonts w:ascii="Arial" w:hAnsi="Arial" w:cs="Arial"/>
          <w:sz w:val="22"/>
          <w:szCs w:val="22"/>
        </w:rPr>
        <w:t>xxxxxxx</w:t>
      </w:r>
      <w:bookmarkStart w:id="0" w:name="_GoBack"/>
      <w:bookmarkEnd w:id="0"/>
    </w:p>
    <w:p w:rsidR="000613C0" w:rsidRPr="000613C0" w:rsidRDefault="000613C0" w:rsidP="000613C0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0613C0">
        <w:rPr>
          <w:rFonts w:ascii="Arial" w:hAnsi="Arial" w:cs="Arial"/>
          <w:b/>
          <w:sz w:val="22"/>
          <w:szCs w:val="22"/>
        </w:rPr>
        <w:t xml:space="preserve">(dále </w:t>
      </w:r>
      <w:proofErr w:type="gramStart"/>
      <w:r w:rsidRPr="000613C0">
        <w:rPr>
          <w:rFonts w:ascii="Arial" w:hAnsi="Arial" w:cs="Arial"/>
          <w:b/>
          <w:sz w:val="22"/>
          <w:szCs w:val="22"/>
        </w:rPr>
        <w:t>jen ,,nájemce</w:t>
      </w:r>
      <w:proofErr w:type="gramEnd"/>
      <w:r w:rsidRPr="000613C0">
        <w:rPr>
          <w:rFonts w:ascii="Arial" w:hAnsi="Arial" w:cs="Arial"/>
          <w:b/>
          <w:sz w:val="22"/>
          <w:szCs w:val="22"/>
        </w:rPr>
        <w:t>“)</w:t>
      </w:r>
    </w:p>
    <w:p w:rsidR="00C43B97" w:rsidRDefault="00C43B97" w:rsidP="00C43B97">
      <w:pPr>
        <w:jc w:val="center"/>
        <w:rPr>
          <w:rFonts w:ascii="Arial" w:hAnsi="Arial" w:cs="Arial"/>
          <w:b/>
          <w:sz w:val="22"/>
          <w:szCs w:val="22"/>
        </w:rPr>
      </w:pPr>
    </w:p>
    <w:p w:rsidR="00C43B97" w:rsidRDefault="00C43B97" w:rsidP="00C43B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C43B97" w:rsidRDefault="00C43B97" w:rsidP="00C43B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smlouvy a nájmu</w:t>
      </w:r>
    </w:p>
    <w:p w:rsidR="00C43B97" w:rsidRDefault="00C43B97" w:rsidP="00C43B97">
      <w:pPr>
        <w:jc w:val="center"/>
        <w:rPr>
          <w:rFonts w:ascii="Arial" w:hAnsi="Arial" w:cs="Arial"/>
        </w:rPr>
      </w:pPr>
    </w:p>
    <w:p w:rsidR="000613C0" w:rsidRPr="00081D6B" w:rsidRDefault="000613C0" w:rsidP="000613C0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D6B">
        <w:rPr>
          <w:rFonts w:ascii="Arial" w:hAnsi="Arial" w:cs="Arial"/>
          <w:sz w:val="22"/>
          <w:szCs w:val="22"/>
        </w:rPr>
        <w:t>Účelem této smlouvy je nájem</w:t>
      </w:r>
      <w:r w:rsidR="00DF3E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3EC6">
        <w:rPr>
          <w:rFonts w:ascii="Arial" w:hAnsi="Arial" w:cs="Arial"/>
          <w:sz w:val="22"/>
          <w:szCs w:val="22"/>
        </w:rPr>
        <w:t xml:space="preserve">pro </w:t>
      </w:r>
      <w:r w:rsidR="007B0B86">
        <w:rPr>
          <w:rFonts w:ascii="Arial" w:hAnsi="Arial" w:cs="Arial"/>
          <w:sz w:val="22"/>
          <w:szCs w:val="22"/>
        </w:rPr>
        <w:t xml:space="preserve"> jednání</w:t>
      </w:r>
      <w:proofErr w:type="gramEnd"/>
      <w:r w:rsidR="007B0B86">
        <w:rPr>
          <w:rFonts w:ascii="Arial" w:hAnsi="Arial" w:cs="Arial"/>
          <w:sz w:val="22"/>
          <w:szCs w:val="22"/>
        </w:rPr>
        <w:t xml:space="preserve"> s klienty - </w:t>
      </w:r>
      <w:r w:rsidR="00081D6B">
        <w:rPr>
          <w:rFonts w:ascii="Arial" w:hAnsi="Arial" w:cs="Arial"/>
          <w:sz w:val="22"/>
          <w:szCs w:val="22"/>
        </w:rPr>
        <w:t xml:space="preserve"> dluhové poradenství.</w:t>
      </w:r>
    </w:p>
    <w:p w:rsidR="00C43B97" w:rsidRDefault="00C43B97" w:rsidP="00C43B97">
      <w:pPr>
        <w:jc w:val="center"/>
        <w:rPr>
          <w:rFonts w:ascii="Arial" w:hAnsi="Arial" w:cs="Arial"/>
          <w:b/>
        </w:rPr>
      </w:pPr>
      <w:r w:rsidRPr="00F360D0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F360D0">
        <w:rPr>
          <w:rFonts w:ascii="Arial" w:hAnsi="Arial" w:cs="Arial"/>
          <w:b/>
        </w:rPr>
        <w:t>.</w:t>
      </w:r>
    </w:p>
    <w:p w:rsidR="00C43B97" w:rsidRDefault="00C43B97" w:rsidP="00C43B97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nájmu</w:t>
      </w:r>
    </w:p>
    <w:p w:rsidR="00C43B97" w:rsidRPr="00F360D0" w:rsidRDefault="00C43B97" w:rsidP="00C43B97">
      <w:pPr>
        <w:numPr>
          <w:ilvl w:val="0"/>
          <w:numId w:val="1"/>
        </w:numPr>
        <w:tabs>
          <w:tab w:val="clear" w:pos="720"/>
          <w:tab w:val="num" w:pos="426"/>
          <w:tab w:val="left" w:pos="207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F360D0">
        <w:rPr>
          <w:rFonts w:ascii="Arial" w:hAnsi="Arial" w:cs="Arial"/>
          <w:sz w:val="22"/>
          <w:szCs w:val="22"/>
        </w:rPr>
        <w:t xml:space="preserve"> má na základě Zřizovací listiny</w:t>
      </w:r>
      <w:r>
        <w:rPr>
          <w:rFonts w:ascii="Arial" w:hAnsi="Arial" w:cs="Arial"/>
          <w:sz w:val="22"/>
          <w:szCs w:val="22"/>
        </w:rPr>
        <w:t xml:space="preserve"> v aktuálním znění</w:t>
      </w:r>
      <w:r w:rsidRPr="00F360D0">
        <w:rPr>
          <w:rFonts w:ascii="Arial" w:hAnsi="Arial" w:cs="Arial"/>
          <w:sz w:val="22"/>
          <w:szCs w:val="22"/>
        </w:rPr>
        <w:t xml:space="preserve"> </w:t>
      </w:r>
      <w:r w:rsidR="00C30CA3">
        <w:rPr>
          <w:rFonts w:ascii="Arial" w:hAnsi="Arial" w:cs="Arial"/>
          <w:sz w:val="22"/>
          <w:szCs w:val="22"/>
        </w:rPr>
        <w:t xml:space="preserve">dodatku </w:t>
      </w:r>
      <w:proofErr w:type="gramStart"/>
      <w:r w:rsidR="00C30CA3">
        <w:rPr>
          <w:rFonts w:ascii="Arial" w:hAnsi="Arial" w:cs="Arial"/>
          <w:sz w:val="22"/>
          <w:szCs w:val="22"/>
        </w:rPr>
        <w:t xml:space="preserve">č.1 </w:t>
      </w:r>
      <w:r w:rsidRPr="00F360D0">
        <w:rPr>
          <w:rFonts w:ascii="Arial" w:hAnsi="Arial" w:cs="Arial"/>
          <w:sz w:val="22"/>
          <w:szCs w:val="22"/>
        </w:rPr>
        <w:t>ze</w:t>
      </w:r>
      <w:proofErr w:type="gramEnd"/>
      <w:r w:rsidRPr="00F360D0">
        <w:rPr>
          <w:rFonts w:ascii="Arial" w:hAnsi="Arial" w:cs="Arial"/>
          <w:sz w:val="22"/>
          <w:szCs w:val="22"/>
        </w:rPr>
        <w:t xml:space="preserve"> dne </w:t>
      </w:r>
      <w:r w:rsidR="00C30CA3">
        <w:rPr>
          <w:rFonts w:ascii="Arial" w:hAnsi="Arial" w:cs="Arial"/>
          <w:sz w:val="22"/>
          <w:szCs w:val="22"/>
        </w:rPr>
        <w:t>17</w:t>
      </w:r>
      <w:r w:rsidRPr="00F360D0">
        <w:rPr>
          <w:rFonts w:ascii="Arial" w:hAnsi="Arial" w:cs="Arial"/>
          <w:sz w:val="22"/>
          <w:szCs w:val="22"/>
        </w:rPr>
        <w:t>.</w:t>
      </w:r>
      <w:r w:rsidR="00C30CA3">
        <w:rPr>
          <w:rFonts w:ascii="Arial" w:hAnsi="Arial" w:cs="Arial"/>
          <w:sz w:val="22"/>
          <w:szCs w:val="22"/>
        </w:rPr>
        <w:t>06</w:t>
      </w:r>
      <w:r w:rsidRPr="00F360D0">
        <w:rPr>
          <w:rFonts w:ascii="Arial" w:hAnsi="Arial" w:cs="Arial"/>
          <w:sz w:val="22"/>
          <w:szCs w:val="22"/>
        </w:rPr>
        <w:t>.201</w:t>
      </w:r>
      <w:r w:rsidR="00C30CA3">
        <w:rPr>
          <w:rFonts w:ascii="Arial" w:hAnsi="Arial" w:cs="Arial"/>
          <w:sz w:val="22"/>
          <w:szCs w:val="22"/>
        </w:rPr>
        <w:t>3</w:t>
      </w:r>
      <w:r w:rsidRPr="00F360D0">
        <w:rPr>
          <w:rFonts w:ascii="Arial" w:hAnsi="Arial" w:cs="Arial"/>
          <w:sz w:val="22"/>
          <w:szCs w:val="22"/>
        </w:rPr>
        <w:t xml:space="preserve"> svěřenu</w:t>
      </w:r>
      <w:r>
        <w:rPr>
          <w:rFonts w:ascii="Arial" w:hAnsi="Arial" w:cs="Arial"/>
          <w:sz w:val="22"/>
          <w:szCs w:val="22"/>
        </w:rPr>
        <w:t xml:space="preserve"> do správy</w:t>
      </w:r>
      <w:r w:rsidRPr="00F360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mimo jiné </w:t>
      </w:r>
      <w:r w:rsidRPr="00F360D0">
        <w:rPr>
          <w:rFonts w:ascii="Arial" w:hAnsi="Arial" w:cs="Arial"/>
          <w:sz w:val="22"/>
          <w:szCs w:val="22"/>
        </w:rPr>
        <w:t>administrativní budovu na ul. K. Čapka 1147/10</w:t>
      </w:r>
      <w:r>
        <w:rPr>
          <w:rFonts w:ascii="Arial" w:hAnsi="Arial" w:cs="Arial"/>
          <w:sz w:val="22"/>
          <w:szCs w:val="22"/>
        </w:rPr>
        <w:t xml:space="preserve"> v Jeseníku,</w:t>
      </w:r>
      <w:r w:rsidRPr="00F360D0">
        <w:rPr>
          <w:rFonts w:ascii="Arial" w:hAnsi="Arial" w:cs="Arial"/>
          <w:sz w:val="22"/>
          <w:szCs w:val="22"/>
        </w:rPr>
        <w:t xml:space="preserve"> zapsanou na listu vlastnictví č.</w:t>
      </w:r>
      <w:r>
        <w:rPr>
          <w:rFonts w:ascii="Arial" w:hAnsi="Arial" w:cs="Arial"/>
          <w:sz w:val="22"/>
          <w:szCs w:val="22"/>
        </w:rPr>
        <w:t xml:space="preserve"> </w:t>
      </w:r>
      <w:r w:rsidRPr="00F360D0">
        <w:rPr>
          <w:rFonts w:ascii="Arial" w:hAnsi="Arial" w:cs="Arial"/>
          <w:sz w:val="22"/>
          <w:szCs w:val="22"/>
        </w:rPr>
        <w:t>10001 pro katastrální území Jeseník, obec Jeseník, v katastru nemovitostí vedeném u Katastrálního úřadu pro Olomoucký kraj, Katastrální pracoviště Jesení</w:t>
      </w:r>
      <w:r>
        <w:rPr>
          <w:rFonts w:ascii="Arial" w:hAnsi="Arial" w:cs="Arial"/>
          <w:sz w:val="22"/>
          <w:szCs w:val="22"/>
        </w:rPr>
        <w:t>k (dále jen: "administrativní budova</w:t>
      </w:r>
      <w:r w:rsidRPr="0013784A">
        <w:rPr>
          <w:rFonts w:ascii="Arial" w:hAnsi="Arial" w:cs="Arial"/>
          <w:sz w:val="22"/>
          <w:szCs w:val="22"/>
        </w:rPr>
        <w:t xml:space="preserve">") a </w:t>
      </w:r>
      <w:r>
        <w:rPr>
          <w:rFonts w:ascii="Arial" w:hAnsi="Arial" w:cs="Arial"/>
          <w:sz w:val="22"/>
          <w:szCs w:val="22"/>
        </w:rPr>
        <w:t>pozemek</w:t>
      </w:r>
      <w:r w:rsidRPr="001378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784A">
        <w:rPr>
          <w:rFonts w:ascii="Arial" w:hAnsi="Arial" w:cs="Arial"/>
          <w:sz w:val="22"/>
          <w:szCs w:val="22"/>
        </w:rPr>
        <w:t>p.č</w:t>
      </w:r>
      <w:proofErr w:type="spellEnd"/>
      <w:r w:rsidRPr="0013784A">
        <w:rPr>
          <w:rFonts w:ascii="Arial" w:hAnsi="Arial" w:cs="Arial"/>
          <w:sz w:val="22"/>
          <w:szCs w:val="22"/>
        </w:rPr>
        <w:t>. 770/2 v katastrálním území Jeseník, v katastru nemovitostí vedeném u Katastrálního úřadu pro Olomoucký kraj, Katastrální pracoviště Jeseník</w:t>
      </w:r>
      <w:r>
        <w:rPr>
          <w:rFonts w:ascii="Arial" w:hAnsi="Arial" w:cs="Arial"/>
          <w:sz w:val="22"/>
          <w:szCs w:val="22"/>
        </w:rPr>
        <w:t>, včetně</w:t>
      </w:r>
      <w:r w:rsidRPr="001378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tomto pozemku vybudovaného </w:t>
      </w:r>
      <w:r w:rsidRPr="0013784A">
        <w:rPr>
          <w:rFonts w:ascii="Arial" w:hAnsi="Arial" w:cs="Arial"/>
          <w:sz w:val="22"/>
          <w:szCs w:val="22"/>
        </w:rPr>
        <w:t>parkoviště (dále jen: „zadní parkoviště“). SMMJ je na základě uvedené Zřizovací listiny oprávněna mimo jiné vlastními úkony a na vlastní odpovědnost uzavírat nájemní smlouvy k uvedené administrativní budově a zadnímu parkovišti.</w:t>
      </w:r>
    </w:p>
    <w:p w:rsidR="00C43B97" w:rsidRDefault="00C43B97" w:rsidP="00C43B97">
      <w:pPr>
        <w:ind w:left="426"/>
        <w:jc w:val="both"/>
      </w:pPr>
    </w:p>
    <w:p w:rsidR="00C43B97" w:rsidRPr="008D4418" w:rsidRDefault="00C43B97" w:rsidP="00C43B97">
      <w:pPr>
        <w:numPr>
          <w:ilvl w:val="0"/>
          <w:numId w:val="1"/>
        </w:numPr>
        <w:tabs>
          <w:tab w:val="clear" w:pos="720"/>
          <w:tab w:val="num" w:pos="426"/>
          <w:tab w:val="left" w:pos="2070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nájmu jsou následující části administrativní budovy a prostory nacházející se v administrativní budově:</w:t>
      </w:r>
    </w:p>
    <w:p w:rsidR="00381669" w:rsidRDefault="00381669" w:rsidP="00C43B97">
      <w:pPr>
        <w:pStyle w:val="Zkladntext"/>
        <w:widowControl/>
        <w:autoSpaceDE w:val="0"/>
        <w:spacing w:before="240" w:after="0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381669" w:rsidRDefault="00381669" w:rsidP="00C43B97">
      <w:pPr>
        <w:pStyle w:val="Zkladntext"/>
        <w:widowControl/>
        <w:autoSpaceDE w:val="0"/>
        <w:spacing w:before="240" w:after="0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C43B97" w:rsidRPr="00713F52" w:rsidRDefault="00C43B97" w:rsidP="00C43B97">
      <w:pPr>
        <w:pStyle w:val="Zkladntext"/>
        <w:widowControl/>
        <w:autoSpaceDE w:val="0"/>
        <w:spacing w:before="240" w:after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Jedná se konkrétně o tyto místnosti:</w:t>
      </w:r>
    </w:p>
    <w:p w:rsidR="00C43B97" w:rsidRDefault="00C43B97" w:rsidP="00C43B97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09"/>
        <w:gridCol w:w="2127"/>
        <w:gridCol w:w="3417"/>
      </w:tblGrid>
      <w:tr w:rsidR="000613C0" w:rsidTr="000613C0">
        <w:trPr>
          <w:trHeight w:val="373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613C0" w:rsidRDefault="000613C0" w:rsidP="000613C0">
            <w:pPr>
              <w:pStyle w:val="Zkladntext"/>
              <w:snapToGrid w:val="0"/>
              <w:ind w:left="2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Využití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C0" w:rsidRDefault="000613C0" w:rsidP="000613C0">
            <w:pPr>
              <w:pStyle w:val="Zkladntext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Číslo dveří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C0" w:rsidRDefault="000613C0" w:rsidP="000613C0">
            <w:pPr>
              <w:pStyle w:val="Zkladntext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Podlaží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613C0" w:rsidRDefault="000613C0" w:rsidP="000613C0">
            <w:pPr>
              <w:pStyle w:val="Zkladntext"/>
              <w:tabs>
                <w:tab w:val="right" w:pos="1598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Výměra v m</w:t>
            </w:r>
            <w:r w:rsidRPr="005048A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AC66AD" w:rsidTr="000613C0">
        <w:trPr>
          <w:trHeight w:val="385"/>
        </w:trPr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C66AD" w:rsidRDefault="00AC66AD" w:rsidP="00AC66AD">
            <w:pPr>
              <w:pStyle w:val="Zkladntext"/>
              <w:snapToGrid w:val="0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kancelář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C66AD" w:rsidRDefault="00AC66AD" w:rsidP="00AC66AD">
            <w:pPr>
              <w:pStyle w:val="Zkladntext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C66AD" w:rsidRDefault="00AC66AD" w:rsidP="00AC66AD">
            <w:pPr>
              <w:pStyle w:val="Zkladntext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6AD" w:rsidRDefault="00AC66AD" w:rsidP="00AC66AD">
            <w:pPr>
              <w:pStyle w:val="Zkladntext"/>
              <w:tabs>
                <w:tab w:val="right" w:pos="9214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26,27</w:t>
            </w:r>
          </w:p>
        </w:tc>
      </w:tr>
    </w:tbl>
    <w:p w:rsidR="000613C0" w:rsidRDefault="000613C0" w:rsidP="000613C0">
      <w:pPr>
        <w:jc w:val="both"/>
      </w:pPr>
    </w:p>
    <w:p w:rsidR="000613C0" w:rsidRDefault="000613C0" w:rsidP="000613C0">
      <w:pPr>
        <w:pStyle w:val="Zkladntext"/>
        <w:widowControl/>
        <w:autoSpaceDE w:val="0"/>
        <w:spacing w:after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Celková plocha </w:t>
      </w:r>
      <w:r w:rsidRPr="007F2ED3">
        <w:rPr>
          <w:rFonts w:ascii="Arial" w:hAnsi="Arial" w:cs="Arial"/>
          <w:b/>
          <w:sz w:val="22"/>
          <w:szCs w:val="22"/>
        </w:rPr>
        <w:t xml:space="preserve">prostoru sloužícího </w:t>
      </w:r>
      <w:r w:rsidR="007F2ED3" w:rsidRPr="007F2ED3">
        <w:rPr>
          <w:rFonts w:ascii="Arial" w:hAnsi="Arial" w:cs="Arial"/>
          <w:b/>
          <w:sz w:val="22"/>
          <w:szCs w:val="22"/>
        </w:rPr>
        <w:t>k výkonu sociální služby a poradenského zařízení</w:t>
      </w:r>
      <w:r w:rsidRPr="007F2ED3">
        <w:rPr>
          <w:rFonts w:ascii="Arial" w:hAnsi="Arial" w:cs="Arial"/>
          <w:b/>
          <w:sz w:val="22"/>
          <w:szCs w:val="22"/>
        </w:rPr>
        <w:t>, jehož</w:t>
      </w:r>
      <w:r w:rsidRPr="0061042F">
        <w:rPr>
          <w:rFonts w:ascii="Arial" w:hAnsi="Arial" w:cs="Arial"/>
          <w:b/>
          <w:sz w:val="22"/>
          <w:szCs w:val="22"/>
        </w:rPr>
        <w:t xml:space="preserve"> pronájem </w:t>
      </w:r>
      <w:proofErr w:type="gramStart"/>
      <w:r w:rsidRPr="0061042F">
        <w:rPr>
          <w:rFonts w:ascii="Arial" w:hAnsi="Arial" w:cs="Arial"/>
          <w:b/>
          <w:sz w:val="22"/>
          <w:szCs w:val="22"/>
        </w:rPr>
        <w:t>je</w:t>
      </w:r>
      <w:proofErr w:type="gramEnd"/>
      <w:r w:rsidRPr="0061042F">
        <w:rPr>
          <w:rFonts w:ascii="Arial" w:hAnsi="Arial" w:cs="Arial"/>
          <w:b/>
          <w:sz w:val="22"/>
          <w:szCs w:val="22"/>
        </w:rPr>
        <w:t xml:space="preserve"> předmětem této smlouvy je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B04CC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,</w:t>
      </w:r>
      <w:r w:rsidR="004B04CC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 xml:space="preserve"> m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</w:p>
    <w:p w:rsidR="00115415" w:rsidRDefault="00115415" w:rsidP="000613C0">
      <w:pPr>
        <w:pStyle w:val="Zkladntext"/>
        <w:widowControl/>
        <w:autoSpaceDE w:val="0"/>
        <w:spacing w:after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C43B97" w:rsidRDefault="00C43B97" w:rsidP="00C43B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43B97" w:rsidRDefault="00C43B97" w:rsidP="00C43B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nájmu</w:t>
      </w:r>
    </w:p>
    <w:p w:rsidR="002B0D3B" w:rsidRPr="002B0D3B" w:rsidRDefault="00A91783" w:rsidP="00A91783">
      <w:pPr>
        <w:numPr>
          <w:ilvl w:val="0"/>
          <w:numId w:val="4"/>
        </w:numPr>
        <w:tabs>
          <w:tab w:val="clear" w:pos="720"/>
          <w:tab w:val="left" w:pos="1245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1D6B">
        <w:rPr>
          <w:rFonts w:ascii="Arial" w:hAnsi="Arial" w:cs="Arial"/>
          <w:sz w:val="22"/>
          <w:szCs w:val="22"/>
        </w:rPr>
        <w:t xml:space="preserve">Smluvní strany uzavírají tuto nájemní smlouvu </w:t>
      </w:r>
      <w:r w:rsidR="002B0D3B">
        <w:rPr>
          <w:rFonts w:ascii="Arial" w:hAnsi="Arial" w:cs="Arial"/>
          <w:sz w:val="22"/>
          <w:szCs w:val="22"/>
        </w:rPr>
        <w:t xml:space="preserve">na </w:t>
      </w:r>
      <w:r w:rsidR="002B0D3B" w:rsidRPr="002B0D3B">
        <w:rPr>
          <w:rFonts w:ascii="Arial" w:hAnsi="Arial" w:cs="Arial"/>
          <w:b/>
          <w:sz w:val="22"/>
          <w:szCs w:val="22"/>
        </w:rPr>
        <w:t>dobu určitou</w:t>
      </w:r>
      <w:r w:rsidR="002B0D3B">
        <w:rPr>
          <w:rFonts w:ascii="Arial" w:hAnsi="Arial" w:cs="Arial"/>
          <w:sz w:val="22"/>
          <w:szCs w:val="22"/>
        </w:rPr>
        <w:t xml:space="preserve"> </w:t>
      </w:r>
      <w:r w:rsidRPr="00081D6B">
        <w:rPr>
          <w:rFonts w:ascii="Arial" w:hAnsi="Arial" w:cs="Arial"/>
          <w:b/>
          <w:sz w:val="22"/>
          <w:szCs w:val="22"/>
        </w:rPr>
        <w:t xml:space="preserve">od </w:t>
      </w:r>
      <w:proofErr w:type="gramStart"/>
      <w:r w:rsidR="00245A02">
        <w:rPr>
          <w:rFonts w:ascii="Arial" w:hAnsi="Arial" w:cs="Arial"/>
          <w:b/>
          <w:sz w:val="22"/>
          <w:szCs w:val="22"/>
        </w:rPr>
        <w:t>7</w:t>
      </w:r>
      <w:r w:rsidRPr="00081D6B">
        <w:rPr>
          <w:rFonts w:ascii="Arial" w:hAnsi="Arial" w:cs="Arial"/>
          <w:b/>
          <w:sz w:val="22"/>
          <w:szCs w:val="22"/>
        </w:rPr>
        <w:t>.</w:t>
      </w:r>
      <w:r w:rsidR="00081D6B" w:rsidRPr="00081D6B">
        <w:rPr>
          <w:rFonts w:ascii="Arial" w:hAnsi="Arial" w:cs="Arial"/>
          <w:b/>
          <w:sz w:val="22"/>
          <w:szCs w:val="22"/>
        </w:rPr>
        <w:t>11</w:t>
      </w:r>
      <w:r w:rsidRPr="00081D6B">
        <w:rPr>
          <w:rFonts w:ascii="Arial" w:hAnsi="Arial" w:cs="Arial"/>
          <w:b/>
          <w:sz w:val="22"/>
          <w:szCs w:val="22"/>
        </w:rPr>
        <w:t>.201</w:t>
      </w:r>
      <w:r w:rsidR="006D2BBD">
        <w:rPr>
          <w:rFonts w:ascii="Arial" w:hAnsi="Arial" w:cs="Arial"/>
          <w:b/>
          <w:sz w:val="22"/>
          <w:szCs w:val="22"/>
        </w:rPr>
        <w:t>6</w:t>
      </w:r>
      <w:proofErr w:type="gramEnd"/>
      <w:r w:rsidR="00081D6B" w:rsidRPr="00081D6B">
        <w:rPr>
          <w:rFonts w:ascii="Arial" w:hAnsi="Arial" w:cs="Arial"/>
          <w:b/>
          <w:sz w:val="22"/>
          <w:szCs w:val="22"/>
        </w:rPr>
        <w:t xml:space="preserve"> do 31.10.2017</w:t>
      </w:r>
      <w:r w:rsidR="006D2BBD">
        <w:rPr>
          <w:rFonts w:ascii="Arial" w:hAnsi="Arial" w:cs="Arial"/>
          <w:b/>
          <w:sz w:val="22"/>
          <w:szCs w:val="22"/>
        </w:rPr>
        <w:t>.</w:t>
      </w:r>
      <w:r w:rsidRPr="00081D6B">
        <w:rPr>
          <w:rFonts w:ascii="Arial" w:hAnsi="Arial" w:cs="Arial"/>
          <w:b/>
          <w:sz w:val="22"/>
          <w:szCs w:val="22"/>
        </w:rPr>
        <w:t xml:space="preserve"> </w:t>
      </w:r>
    </w:p>
    <w:p w:rsidR="00A91783" w:rsidRPr="00081D6B" w:rsidRDefault="00A91783" w:rsidP="00A91783">
      <w:pPr>
        <w:numPr>
          <w:ilvl w:val="0"/>
          <w:numId w:val="4"/>
        </w:numPr>
        <w:tabs>
          <w:tab w:val="clear" w:pos="720"/>
          <w:tab w:val="left" w:pos="1245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1D6B">
        <w:rPr>
          <w:rFonts w:ascii="Arial" w:hAnsi="Arial" w:cs="Arial"/>
          <w:sz w:val="22"/>
          <w:szCs w:val="22"/>
        </w:rPr>
        <w:t xml:space="preserve">S ohledem na charakter </w:t>
      </w:r>
      <w:r w:rsidR="00115415" w:rsidRPr="00081D6B">
        <w:rPr>
          <w:rFonts w:ascii="Arial" w:hAnsi="Arial" w:cs="Arial"/>
          <w:sz w:val="22"/>
          <w:szCs w:val="22"/>
        </w:rPr>
        <w:t>činnosti</w:t>
      </w:r>
      <w:r w:rsidRPr="00081D6B">
        <w:rPr>
          <w:rFonts w:ascii="Arial" w:hAnsi="Arial" w:cs="Arial"/>
          <w:sz w:val="22"/>
          <w:szCs w:val="22"/>
        </w:rPr>
        <w:t xml:space="preserve"> nájemce v prostoru pronajímaném na základě této smlouvy se smluvní strany v souladu s </w:t>
      </w:r>
      <w:proofErr w:type="spellStart"/>
      <w:r w:rsidRPr="00081D6B">
        <w:rPr>
          <w:rFonts w:ascii="Arial" w:hAnsi="Arial" w:cs="Arial"/>
          <w:sz w:val="22"/>
          <w:szCs w:val="22"/>
        </w:rPr>
        <w:t>ust</w:t>
      </w:r>
      <w:proofErr w:type="spellEnd"/>
      <w:r w:rsidRPr="00081D6B">
        <w:rPr>
          <w:rFonts w:ascii="Arial" w:hAnsi="Arial" w:cs="Arial"/>
          <w:sz w:val="22"/>
          <w:szCs w:val="22"/>
        </w:rPr>
        <w:t xml:space="preserve">. § 1 odst. 2 občanského zákoníku </w:t>
      </w:r>
      <w:proofErr w:type="gramStart"/>
      <w:r w:rsidRPr="00081D6B">
        <w:rPr>
          <w:rFonts w:ascii="Arial" w:hAnsi="Arial" w:cs="Arial"/>
          <w:sz w:val="22"/>
          <w:szCs w:val="22"/>
        </w:rPr>
        <w:t>odchylují</w:t>
      </w:r>
      <w:proofErr w:type="gramEnd"/>
      <w:r w:rsidRPr="00081D6B">
        <w:rPr>
          <w:rFonts w:ascii="Arial" w:hAnsi="Arial" w:cs="Arial"/>
          <w:sz w:val="22"/>
          <w:szCs w:val="22"/>
        </w:rPr>
        <w:t xml:space="preserve"> od zákonných ustanovení a sjednávají výpovědní dob</w:t>
      </w:r>
      <w:r w:rsidR="00905240" w:rsidRPr="00081D6B">
        <w:rPr>
          <w:rFonts w:ascii="Arial" w:hAnsi="Arial" w:cs="Arial"/>
          <w:sz w:val="22"/>
          <w:szCs w:val="22"/>
        </w:rPr>
        <w:t>u</w:t>
      </w:r>
      <w:r w:rsidRPr="00081D6B">
        <w:rPr>
          <w:rFonts w:ascii="Arial" w:hAnsi="Arial" w:cs="Arial"/>
          <w:sz w:val="22"/>
          <w:szCs w:val="22"/>
        </w:rPr>
        <w:t xml:space="preserve"> v délce 3 měsíců. Výpověď může dát pronajímatel i nájemce bez udání důvodu.</w:t>
      </w:r>
    </w:p>
    <w:p w:rsidR="00A91783" w:rsidRPr="00B60D6D" w:rsidRDefault="00A91783" w:rsidP="00A91783">
      <w:pPr>
        <w:numPr>
          <w:ilvl w:val="0"/>
          <w:numId w:val="4"/>
        </w:numPr>
        <w:tabs>
          <w:tab w:val="clear" w:pos="720"/>
          <w:tab w:val="left" w:pos="1245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Smluvní strany rovněž sjednávají, že pronajímatel je oprávněn vypovědět smlouvu s výpovědní dobou 1 měsíc v těchto případech: </w:t>
      </w:r>
    </w:p>
    <w:p w:rsidR="00A91783" w:rsidRPr="00B60D6D" w:rsidRDefault="00A91783" w:rsidP="00A91783">
      <w:pPr>
        <w:pStyle w:val="Odstavecseseznamem"/>
        <w:numPr>
          <w:ilvl w:val="0"/>
          <w:numId w:val="35"/>
        </w:numPr>
        <w:tabs>
          <w:tab w:val="left" w:pos="124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Nájemce hrubě či opakovaně porušuje své povinnosti vůči pronajímateli;</w:t>
      </w:r>
    </w:p>
    <w:p w:rsidR="00A91783" w:rsidRPr="00B60D6D" w:rsidRDefault="00A91783" w:rsidP="00A91783">
      <w:pPr>
        <w:pStyle w:val="Odstavecseseznamem"/>
        <w:numPr>
          <w:ilvl w:val="0"/>
          <w:numId w:val="35"/>
        </w:numPr>
        <w:tabs>
          <w:tab w:val="left" w:pos="124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Nájemce je po dobu delší než jeden měsíc v prodlení s placením nájemného a záloh na služby,</w:t>
      </w:r>
    </w:p>
    <w:p w:rsidR="00A91783" w:rsidRPr="00B60D6D" w:rsidRDefault="00A91783" w:rsidP="00A91783">
      <w:pPr>
        <w:pStyle w:val="Odstavecseseznamem"/>
        <w:numPr>
          <w:ilvl w:val="0"/>
          <w:numId w:val="35"/>
        </w:numPr>
        <w:tabs>
          <w:tab w:val="left" w:pos="124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Nájemce změnil předmět </w:t>
      </w:r>
      <w:r w:rsidR="00115415">
        <w:rPr>
          <w:rFonts w:ascii="Arial" w:hAnsi="Arial" w:cs="Arial"/>
          <w:sz w:val="22"/>
          <w:szCs w:val="22"/>
        </w:rPr>
        <w:t>činnosti</w:t>
      </w:r>
      <w:r w:rsidRPr="00B60D6D">
        <w:rPr>
          <w:rFonts w:ascii="Arial" w:hAnsi="Arial" w:cs="Arial"/>
          <w:sz w:val="22"/>
          <w:szCs w:val="22"/>
        </w:rPr>
        <w:t xml:space="preserve"> bez předchozího souhlasu pronajímatele;</w:t>
      </w:r>
    </w:p>
    <w:p w:rsidR="00A91783" w:rsidRPr="00B60D6D" w:rsidRDefault="00A91783" w:rsidP="00A91783">
      <w:pPr>
        <w:pStyle w:val="Odstavecseseznamem"/>
        <w:numPr>
          <w:ilvl w:val="0"/>
          <w:numId w:val="35"/>
        </w:numPr>
        <w:tabs>
          <w:tab w:val="left" w:pos="124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Nájemce přes písemnou výzvu k nápravě i nadále hrubě porušuje klid a pořádek v budově.</w:t>
      </w:r>
    </w:p>
    <w:p w:rsidR="00A91783" w:rsidRPr="00B60D6D" w:rsidRDefault="00A91783" w:rsidP="00A91783">
      <w:pPr>
        <w:numPr>
          <w:ilvl w:val="0"/>
          <w:numId w:val="4"/>
        </w:numPr>
        <w:tabs>
          <w:tab w:val="clear" w:pos="720"/>
          <w:tab w:val="left" w:pos="1245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Výpovědní lhůta </w:t>
      </w:r>
      <w:r w:rsidR="00905240">
        <w:rPr>
          <w:rFonts w:ascii="Arial" w:hAnsi="Arial" w:cs="Arial"/>
          <w:sz w:val="22"/>
          <w:szCs w:val="22"/>
        </w:rPr>
        <w:t xml:space="preserve">dle odst. 2 </w:t>
      </w:r>
      <w:r w:rsidRPr="00B60D6D">
        <w:rPr>
          <w:rFonts w:ascii="Arial" w:hAnsi="Arial" w:cs="Arial"/>
          <w:sz w:val="22"/>
          <w:szCs w:val="22"/>
        </w:rPr>
        <w:t>počíná běžet od 1. dne kalendářního měsíce následujícího po měsíci, v němž výpověď došla druhé smluvní straně.</w:t>
      </w:r>
      <w:r w:rsidR="00905240">
        <w:rPr>
          <w:rFonts w:ascii="Arial" w:hAnsi="Arial" w:cs="Arial"/>
          <w:sz w:val="22"/>
          <w:szCs w:val="22"/>
        </w:rPr>
        <w:t xml:space="preserve"> Výpovědní lhůta dle odst. 3 počíná běžet dnem následujícím po doručení výpovědi druhé smluvní straně.</w:t>
      </w:r>
    </w:p>
    <w:p w:rsidR="00A91783" w:rsidRDefault="00A91783" w:rsidP="00A91783">
      <w:pPr>
        <w:numPr>
          <w:ilvl w:val="0"/>
          <w:numId w:val="4"/>
        </w:numPr>
        <w:tabs>
          <w:tab w:val="clear" w:pos="720"/>
          <w:tab w:val="left" w:pos="1245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Pokud se obě smluvní strany dohodnou, může nájemní vztah skončit kdykoliv ke sjednanému datu. </w:t>
      </w:r>
    </w:p>
    <w:p w:rsidR="00A91783" w:rsidRPr="00B60D6D" w:rsidRDefault="00A91783" w:rsidP="00A91783">
      <w:pPr>
        <w:jc w:val="center"/>
        <w:rPr>
          <w:rFonts w:ascii="Arial" w:hAnsi="Arial" w:cs="Arial"/>
          <w:b/>
        </w:rPr>
      </w:pPr>
      <w:r w:rsidRPr="00B60D6D">
        <w:rPr>
          <w:rFonts w:ascii="Arial" w:hAnsi="Arial" w:cs="Arial"/>
          <w:b/>
        </w:rPr>
        <w:t>V.</w:t>
      </w:r>
    </w:p>
    <w:p w:rsidR="00A91783" w:rsidRPr="00B60D6D" w:rsidRDefault="00A91783" w:rsidP="00A91783">
      <w:pPr>
        <w:jc w:val="center"/>
        <w:rPr>
          <w:rFonts w:ascii="Arial" w:hAnsi="Arial" w:cs="Arial"/>
          <w:b/>
        </w:rPr>
      </w:pPr>
      <w:r w:rsidRPr="00B60D6D">
        <w:rPr>
          <w:rFonts w:ascii="Arial" w:hAnsi="Arial" w:cs="Arial"/>
          <w:b/>
        </w:rPr>
        <w:t>Úhrada nájemného a služeb</w:t>
      </w:r>
    </w:p>
    <w:p w:rsidR="00E02402" w:rsidRPr="00E02402" w:rsidRDefault="00E02402" w:rsidP="00E02402">
      <w:pPr>
        <w:pStyle w:val="Odstavecseseznamem"/>
        <w:numPr>
          <w:ilvl w:val="0"/>
          <w:numId w:val="5"/>
        </w:numPr>
        <w:tabs>
          <w:tab w:val="clear" w:pos="720"/>
          <w:tab w:val="left" w:pos="2025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2402">
        <w:rPr>
          <w:rFonts w:ascii="Arial" w:hAnsi="Arial" w:cs="Arial"/>
          <w:sz w:val="22"/>
          <w:szCs w:val="22"/>
        </w:rPr>
        <w:t xml:space="preserve">Nájemné za předmět nájmu uvedený v článku III., odst. 2. se sjednává dohodou a činí </w:t>
      </w:r>
      <w:r w:rsidR="00AC66AD">
        <w:rPr>
          <w:rFonts w:ascii="Arial" w:hAnsi="Arial" w:cs="Arial"/>
          <w:sz w:val="22"/>
          <w:szCs w:val="22"/>
        </w:rPr>
        <w:t>26,27</w:t>
      </w:r>
      <w:r w:rsidR="00D25EE6">
        <w:rPr>
          <w:rFonts w:ascii="Arial" w:hAnsi="Arial" w:cs="Arial"/>
          <w:sz w:val="22"/>
          <w:szCs w:val="22"/>
        </w:rPr>
        <w:t>m2</w:t>
      </w:r>
      <w:r w:rsidRPr="00E02402">
        <w:rPr>
          <w:rFonts w:ascii="Arial" w:hAnsi="Arial" w:cs="Arial"/>
          <w:sz w:val="22"/>
          <w:szCs w:val="22"/>
        </w:rPr>
        <w:t xml:space="preserve"> x </w:t>
      </w:r>
      <w:r w:rsidR="006D2BBD">
        <w:rPr>
          <w:rFonts w:ascii="Arial" w:hAnsi="Arial" w:cs="Arial"/>
          <w:sz w:val="22"/>
          <w:szCs w:val="22"/>
        </w:rPr>
        <w:t>7</w:t>
      </w:r>
      <w:r w:rsidR="00AC66AD">
        <w:rPr>
          <w:rFonts w:ascii="Arial" w:hAnsi="Arial" w:cs="Arial"/>
          <w:sz w:val="22"/>
          <w:szCs w:val="22"/>
        </w:rPr>
        <w:t>5</w:t>
      </w:r>
      <w:r w:rsidR="0059384F">
        <w:rPr>
          <w:rFonts w:ascii="Arial" w:hAnsi="Arial" w:cs="Arial"/>
          <w:sz w:val="22"/>
          <w:szCs w:val="22"/>
        </w:rPr>
        <w:t xml:space="preserve"> Kč</w:t>
      </w:r>
      <w:r w:rsidR="006D2BBD">
        <w:rPr>
          <w:rFonts w:ascii="Arial" w:hAnsi="Arial" w:cs="Arial"/>
          <w:sz w:val="22"/>
          <w:szCs w:val="22"/>
        </w:rPr>
        <w:t xml:space="preserve"> </w:t>
      </w:r>
      <w:r w:rsidRPr="00E02402">
        <w:rPr>
          <w:rFonts w:ascii="Arial" w:hAnsi="Arial" w:cs="Arial"/>
          <w:b/>
          <w:sz w:val="22"/>
          <w:szCs w:val="22"/>
        </w:rPr>
        <w:t xml:space="preserve">= </w:t>
      </w:r>
      <w:r w:rsidR="004B04CC">
        <w:rPr>
          <w:rFonts w:ascii="Arial" w:hAnsi="Arial" w:cs="Arial"/>
          <w:b/>
          <w:sz w:val="22"/>
          <w:szCs w:val="22"/>
        </w:rPr>
        <w:t>1</w:t>
      </w:r>
      <w:r w:rsidR="00646E7E">
        <w:rPr>
          <w:rFonts w:ascii="Arial" w:hAnsi="Arial" w:cs="Arial"/>
          <w:b/>
          <w:sz w:val="22"/>
          <w:szCs w:val="22"/>
        </w:rPr>
        <w:t> </w:t>
      </w:r>
      <w:r w:rsidR="004B04CC">
        <w:rPr>
          <w:rFonts w:ascii="Arial" w:hAnsi="Arial" w:cs="Arial"/>
          <w:b/>
          <w:sz w:val="22"/>
          <w:szCs w:val="22"/>
        </w:rPr>
        <w:t>970</w:t>
      </w:r>
      <w:r w:rsidRPr="00E02402">
        <w:rPr>
          <w:rFonts w:ascii="Arial" w:hAnsi="Arial" w:cs="Arial"/>
          <w:b/>
          <w:sz w:val="22"/>
          <w:szCs w:val="22"/>
        </w:rPr>
        <w:t xml:space="preserve">,- Kč/měsíc </w:t>
      </w:r>
    </w:p>
    <w:p w:rsidR="00E02402" w:rsidRDefault="00E02402" w:rsidP="00E02402">
      <w:pPr>
        <w:pStyle w:val="Odstavecseseznamem"/>
        <w:tabs>
          <w:tab w:val="left" w:pos="2025"/>
        </w:tabs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0240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59384F">
        <w:rPr>
          <w:rFonts w:ascii="Arial" w:hAnsi="Arial" w:cs="Arial"/>
          <w:sz w:val="22"/>
          <w:szCs w:val="22"/>
        </w:rPr>
        <w:t>jedentisícdevětsetsedmdesát</w:t>
      </w:r>
      <w:r w:rsidR="006D2BBD">
        <w:rPr>
          <w:rFonts w:ascii="Arial" w:hAnsi="Arial" w:cs="Arial"/>
          <w:sz w:val="22"/>
          <w:szCs w:val="22"/>
        </w:rPr>
        <w:t>korunčeských</w:t>
      </w:r>
      <w:r w:rsidRPr="00E02402">
        <w:rPr>
          <w:rFonts w:ascii="Arial" w:hAnsi="Arial" w:cs="Arial"/>
          <w:sz w:val="22"/>
          <w:szCs w:val="22"/>
        </w:rPr>
        <w:t>zaměsíc</w:t>
      </w:r>
      <w:proofErr w:type="spellEnd"/>
      <w:r w:rsidRPr="00E02402">
        <w:rPr>
          <w:rFonts w:ascii="Arial" w:hAnsi="Arial" w:cs="Arial"/>
          <w:sz w:val="22"/>
          <w:szCs w:val="22"/>
        </w:rPr>
        <w:t>)</w:t>
      </w:r>
      <w:r w:rsidRPr="00E02402">
        <w:rPr>
          <w:rFonts w:ascii="Arial" w:hAnsi="Arial" w:cs="Arial"/>
          <w:b/>
          <w:sz w:val="22"/>
          <w:szCs w:val="22"/>
        </w:rPr>
        <w:t xml:space="preserve">. </w:t>
      </w:r>
    </w:p>
    <w:p w:rsidR="007B0B86" w:rsidRDefault="007B0B86" w:rsidP="00E02402">
      <w:pPr>
        <w:pStyle w:val="Odstavecseseznamem"/>
        <w:tabs>
          <w:tab w:val="left" w:pos="2025"/>
        </w:tabs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7B0B86" w:rsidRDefault="007B0B86" w:rsidP="00E02402">
      <w:pPr>
        <w:pStyle w:val="Odstavecseseznamem"/>
        <w:tabs>
          <w:tab w:val="left" w:pos="2025"/>
        </w:tabs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Nájemné je osvobozeno od DPH.</w:t>
      </w:r>
    </w:p>
    <w:p w:rsidR="007B0B86" w:rsidRDefault="007B0B86" w:rsidP="00E02402">
      <w:pPr>
        <w:pStyle w:val="Odstavecseseznamem"/>
        <w:tabs>
          <w:tab w:val="left" w:pos="2025"/>
        </w:tabs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91783" w:rsidRPr="00B60D6D" w:rsidRDefault="00A91783" w:rsidP="00A91783">
      <w:pPr>
        <w:pStyle w:val="Zkladntext"/>
        <w:numPr>
          <w:ilvl w:val="0"/>
          <w:numId w:val="5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Nájemce bude hradit náklady na </w:t>
      </w:r>
      <w:r w:rsidRPr="00B60D6D">
        <w:rPr>
          <w:rFonts w:ascii="Arial" w:hAnsi="Arial" w:cs="Arial"/>
          <w:b/>
          <w:sz w:val="22"/>
          <w:szCs w:val="22"/>
        </w:rPr>
        <w:t>dodávky plynu, elektrické energie, vodné a stočné, údržbu výtahů, likvidaci běžného komunálního a separovaného odpadu, materiál na údržbu, hygienické potřeby na toaletách, zimní údržbu</w:t>
      </w:r>
      <w:r w:rsidRPr="00B60D6D">
        <w:rPr>
          <w:rFonts w:ascii="Arial" w:hAnsi="Arial" w:cs="Arial"/>
          <w:sz w:val="22"/>
          <w:szCs w:val="22"/>
        </w:rPr>
        <w:t xml:space="preserve">. Úhrada těchto služeb bude prováděna pravidelně formou </w:t>
      </w:r>
      <w:r w:rsidRPr="00B60D6D">
        <w:rPr>
          <w:rFonts w:ascii="Arial" w:hAnsi="Arial" w:cs="Arial"/>
          <w:b/>
          <w:sz w:val="22"/>
          <w:szCs w:val="22"/>
        </w:rPr>
        <w:t>měsíčních záloh</w:t>
      </w:r>
      <w:r w:rsidRPr="00B60D6D">
        <w:rPr>
          <w:rFonts w:ascii="Arial" w:hAnsi="Arial" w:cs="Arial"/>
          <w:sz w:val="22"/>
          <w:szCs w:val="22"/>
        </w:rPr>
        <w:t xml:space="preserve"> ve výši dle předpisu plateb viz. příloha </w:t>
      </w:r>
      <w:proofErr w:type="gramStart"/>
      <w:r w:rsidRPr="00B60D6D">
        <w:rPr>
          <w:rFonts w:ascii="Arial" w:hAnsi="Arial" w:cs="Arial"/>
          <w:sz w:val="22"/>
          <w:szCs w:val="22"/>
        </w:rPr>
        <w:t>č.1 k této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smlouvě. Tyto služby, energie a vodné budou nájemci přefakturovány bez rozlišení základu daně a výše DPH.</w:t>
      </w:r>
    </w:p>
    <w:p w:rsidR="00A91783" w:rsidRPr="00B60D6D" w:rsidRDefault="00A91783" w:rsidP="00A91783">
      <w:pPr>
        <w:pStyle w:val="Odstavecseseznamem"/>
        <w:numPr>
          <w:ilvl w:val="0"/>
          <w:numId w:val="5"/>
        </w:numPr>
        <w:tabs>
          <w:tab w:val="clear" w:pos="720"/>
          <w:tab w:val="left" w:pos="2025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Nájemce bude dále hradit náklady na služby poskytované pronajímatelem, které jsou předmětem DPH (aktuální sazba 21%):</w:t>
      </w:r>
    </w:p>
    <w:p w:rsidR="00733533" w:rsidRDefault="00905240">
      <w:pPr>
        <w:tabs>
          <w:tab w:val="left" w:pos="709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05486B" w:rsidRPr="0005486B">
        <w:rPr>
          <w:rFonts w:ascii="Arial" w:hAnsi="Arial" w:cs="Arial"/>
          <w:b/>
          <w:sz w:val="22"/>
          <w:szCs w:val="22"/>
        </w:rPr>
        <w:t>úklid společných prostor a předmětu nájmu</w:t>
      </w:r>
    </w:p>
    <w:p w:rsidR="00733533" w:rsidRDefault="00905240">
      <w:pPr>
        <w:tabs>
          <w:tab w:val="left" w:pos="709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05486B" w:rsidRPr="0005486B">
        <w:rPr>
          <w:rFonts w:ascii="Arial" w:hAnsi="Arial" w:cs="Arial"/>
          <w:b/>
          <w:sz w:val="22"/>
          <w:szCs w:val="22"/>
        </w:rPr>
        <w:t>ostraha objektu</w:t>
      </w:r>
    </w:p>
    <w:p w:rsidR="00733533" w:rsidRDefault="00905240">
      <w:pPr>
        <w:tabs>
          <w:tab w:val="left" w:pos="709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7B0B86">
        <w:rPr>
          <w:rFonts w:ascii="Arial" w:hAnsi="Arial" w:cs="Arial"/>
          <w:b/>
          <w:sz w:val="22"/>
          <w:szCs w:val="22"/>
        </w:rPr>
        <w:t>obsluha</w:t>
      </w:r>
      <w:r w:rsidR="0005486B" w:rsidRPr="0005486B">
        <w:rPr>
          <w:rFonts w:ascii="Arial" w:hAnsi="Arial" w:cs="Arial"/>
          <w:b/>
          <w:sz w:val="22"/>
          <w:szCs w:val="22"/>
        </w:rPr>
        <w:t xml:space="preserve"> kotelny</w:t>
      </w:r>
      <w:r w:rsidR="0005486B" w:rsidRPr="0005486B">
        <w:rPr>
          <w:rFonts w:ascii="Arial" w:hAnsi="Arial" w:cs="Arial"/>
          <w:sz w:val="22"/>
          <w:szCs w:val="22"/>
        </w:rPr>
        <w:t xml:space="preserve"> </w:t>
      </w:r>
    </w:p>
    <w:p w:rsidR="00A91783" w:rsidRPr="00B60D6D" w:rsidRDefault="00A91783" w:rsidP="00A91783">
      <w:pPr>
        <w:pStyle w:val="Odstavecseseznamem"/>
        <w:tabs>
          <w:tab w:val="left" w:pos="2025"/>
        </w:tabs>
        <w:spacing w:before="120"/>
        <w:ind w:left="426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Výše plateb je uvedena v předpisu plateb </w:t>
      </w:r>
      <w:proofErr w:type="gramStart"/>
      <w:r w:rsidRPr="00B60D6D">
        <w:rPr>
          <w:rFonts w:ascii="Arial" w:hAnsi="Arial" w:cs="Arial"/>
          <w:sz w:val="22"/>
          <w:szCs w:val="22"/>
        </w:rPr>
        <w:t>viz. příloha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č.1 k této smlouvě.</w:t>
      </w:r>
    </w:p>
    <w:p w:rsidR="00A91783" w:rsidRPr="00B60D6D" w:rsidRDefault="00A91783" w:rsidP="00A91783">
      <w:pPr>
        <w:pStyle w:val="Odstavecseseznamem"/>
        <w:tabs>
          <w:tab w:val="left" w:pos="2025"/>
        </w:tabs>
        <w:spacing w:before="120"/>
        <w:ind w:left="426"/>
        <w:rPr>
          <w:rFonts w:ascii="Arial" w:hAnsi="Arial" w:cs="Arial"/>
          <w:sz w:val="22"/>
          <w:szCs w:val="22"/>
        </w:rPr>
      </w:pPr>
    </w:p>
    <w:p w:rsidR="00A91783" w:rsidRPr="00B60D6D" w:rsidRDefault="00A91783" w:rsidP="00A91783">
      <w:pPr>
        <w:pStyle w:val="Odstavecseseznamem"/>
        <w:numPr>
          <w:ilvl w:val="0"/>
          <w:numId w:val="5"/>
        </w:numPr>
        <w:tabs>
          <w:tab w:val="clear" w:pos="720"/>
          <w:tab w:val="left" w:pos="2025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lastRenderedPageBreak/>
        <w:t xml:space="preserve">Pronajímatel může v průběhu nájemního vztahu výši záloh jednostranně změnit dle nové předpokládané výše nákladů, v takovém případě je povinen výši nových záloh nájemci oznámit dopisem min. jeden týden před splatností záloh. </w:t>
      </w:r>
    </w:p>
    <w:p w:rsidR="00A91783" w:rsidRPr="00B60D6D" w:rsidRDefault="00A91783" w:rsidP="00A91783">
      <w:pPr>
        <w:pStyle w:val="Zkladntext"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Vyúčtování energií a služeb je prováděno 1x ročně vždy do </w:t>
      </w:r>
      <w:proofErr w:type="gramStart"/>
      <w:r w:rsidRPr="00B60D6D">
        <w:rPr>
          <w:rFonts w:ascii="Arial" w:hAnsi="Arial" w:cs="Arial"/>
          <w:sz w:val="22"/>
          <w:szCs w:val="22"/>
        </w:rPr>
        <w:t>31.3. následujícího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kalendářního roku. Splatnost faktury vystavené k vyúčtování bude činit 14 dní. </w:t>
      </w:r>
    </w:p>
    <w:p w:rsidR="00A91783" w:rsidRDefault="00A91783" w:rsidP="00A91783">
      <w:pPr>
        <w:pStyle w:val="Zkladntext"/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A91783" w:rsidRPr="002F5D88" w:rsidRDefault="00A91783" w:rsidP="00A91783">
      <w:pPr>
        <w:pStyle w:val="Zkladntext"/>
        <w:numPr>
          <w:ilvl w:val="0"/>
          <w:numId w:val="5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A505D6">
        <w:rPr>
          <w:rFonts w:ascii="Arial" w:hAnsi="Arial" w:cs="Arial"/>
          <w:sz w:val="22"/>
          <w:szCs w:val="22"/>
        </w:rPr>
        <w:t xml:space="preserve">Měsíční nájemné a zálohy za služby jsou splatné bezhotovostně na účet pronajímatele vedený u KB, pobočka Jeseník, </w:t>
      </w:r>
      <w:r w:rsidRPr="00A505D6">
        <w:rPr>
          <w:rFonts w:ascii="Arial" w:hAnsi="Arial" w:cs="Arial"/>
          <w:b/>
          <w:sz w:val="22"/>
          <w:szCs w:val="22"/>
        </w:rPr>
        <w:t xml:space="preserve">číslo účtu 43-3820200247/0100, variabilní symbol </w:t>
      </w:r>
      <w:r w:rsidR="005847AE" w:rsidRPr="005847AE">
        <w:rPr>
          <w:rFonts w:ascii="Arial" w:hAnsi="Arial" w:cs="Arial"/>
          <w:b/>
          <w:sz w:val="22"/>
          <w:szCs w:val="22"/>
        </w:rPr>
        <w:t>02423952</w:t>
      </w:r>
      <w:r w:rsidRPr="00A505D6">
        <w:rPr>
          <w:rFonts w:ascii="Arial" w:hAnsi="Arial" w:cs="Arial"/>
          <w:b/>
          <w:sz w:val="22"/>
          <w:szCs w:val="22"/>
        </w:rPr>
        <w:t xml:space="preserve">, specifický symbol 7060, do 10. dne příslušného měsíce. </w:t>
      </w:r>
    </w:p>
    <w:p w:rsidR="00A91783" w:rsidRPr="008831A3" w:rsidRDefault="00A91783" w:rsidP="00A91783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31A3">
        <w:rPr>
          <w:rFonts w:ascii="Arial" w:hAnsi="Arial" w:cs="Arial"/>
          <w:sz w:val="22"/>
          <w:szCs w:val="22"/>
        </w:rPr>
        <w:t>Pronajímatel může každoročně s účinností na období od 1. ledna jednostranně upravit výši nájemného v závislosti na růstu spotřebitelských cen v předchozím kalendářním roce. Výše nájemného se v takovém případě upraví podle následujícího vzorce:</w:t>
      </w:r>
    </w:p>
    <w:p w:rsidR="00A91783" w:rsidRDefault="00A91783" w:rsidP="00A91783">
      <w:p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31A3">
        <w:rPr>
          <w:rFonts w:ascii="Arial" w:hAnsi="Arial" w:cs="Arial"/>
          <w:sz w:val="22"/>
          <w:szCs w:val="22"/>
        </w:rPr>
        <w:tab/>
      </w:r>
      <w:proofErr w:type="gramStart"/>
      <w:r w:rsidRPr="008831A3">
        <w:rPr>
          <w:rFonts w:ascii="Arial" w:hAnsi="Arial" w:cs="Arial"/>
          <w:sz w:val="22"/>
          <w:szCs w:val="22"/>
        </w:rPr>
        <w:t>N</w:t>
      </w:r>
      <w:r w:rsidRPr="008831A3">
        <w:rPr>
          <w:rFonts w:ascii="Arial" w:hAnsi="Arial" w:cs="Arial"/>
          <w:sz w:val="22"/>
          <w:szCs w:val="22"/>
          <w:vertAlign w:val="subscript"/>
        </w:rPr>
        <w:t>(t+1</w:t>
      </w:r>
      <w:proofErr w:type="gramEnd"/>
      <w:r w:rsidRPr="008831A3">
        <w:rPr>
          <w:rFonts w:ascii="Arial" w:hAnsi="Arial" w:cs="Arial"/>
          <w:sz w:val="22"/>
          <w:szCs w:val="22"/>
          <w:vertAlign w:val="subscript"/>
        </w:rPr>
        <w:t xml:space="preserve">) </w:t>
      </w:r>
      <w:r w:rsidRPr="008831A3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831A3">
        <w:rPr>
          <w:rFonts w:ascii="Arial" w:hAnsi="Arial" w:cs="Arial"/>
          <w:sz w:val="22"/>
          <w:szCs w:val="22"/>
        </w:rPr>
        <w:t>N</w:t>
      </w:r>
      <w:r w:rsidRPr="008831A3">
        <w:rPr>
          <w:rFonts w:ascii="Arial" w:hAnsi="Arial" w:cs="Arial"/>
          <w:sz w:val="22"/>
          <w:szCs w:val="22"/>
          <w:vertAlign w:val="subscript"/>
        </w:rPr>
        <w:t>t</w:t>
      </w:r>
      <w:proofErr w:type="spellEnd"/>
      <w:r w:rsidRPr="008831A3">
        <w:rPr>
          <w:rFonts w:ascii="Arial" w:hAnsi="Arial" w:cs="Arial"/>
          <w:sz w:val="22"/>
          <w:szCs w:val="22"/>
        </w:rPr>
        <w:t xml:space="preserve"> x (1+I</w:t>
      </w:r>
      <w:r w:rsidRPr="008831A3">
        <w:rPr>
          <w:rFonts w:ascii="Arial" w:hAnsi="Arial" w:cs="Arial"/>
          <w:sz w:val="22"/>
          <w:szCs w:val="22"/>
          <w:vertAlign w:val="subscript"/>
        </w:rPr>
        <w:t>t</w:t>
      </w:r>
      <w:r w:rsidRPr="008831A3">
        <w:rPr>
          <w:rFonts w:ascii="Arial" w:hAnsi="Arial" w:cs="Arial"/>
          <w:sz w:val="22"/>
          <w:szCs w:val="22"/>
        </w:rPr>
        <w:t>/100)</w:t>
      </w:r>
      <w:r>
        <w:rPr>
          <w:rFonts w:ascii="Arial" w:hAnsi="Arial" w:cs="Arial"/>
          <w:sz w:val="22"/>
          <w:szCs w:val="22"/>
        </w:rPr>
        <w:t xml:space="preserve">, </w:t>
      </w:r>
      <w:r w:rsidRPr="008831A3">
        <w:rPr>
          <w:rFonts w:ascii="Arial" w:hAnsi="Arial" w:cs="Arial"/>
          <w:sz w:val="22"/>
          <w:szCs w:val="22"/>
        </w:rPr>
        <w:t>kde:</w:t>
      </w:r>
    </w:p>
    <w:p w:rsidR="00A91783" w:rsidRPr="008831A3" w:rsidRDefault="00A91783" w:rsidP="00A91783">
      <w:pPr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91783" w:rsidRPr="008831A3" w:rsidRDefault="00A91783" w:rsidP="00A91783">
      <w:pPr>
        <w:tabs>
          <w:tab w:val="left" w:pos="1418"/>
        </w:tabs>
        <w:ind w:left="1418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8831A3">
        <w:rPr>
          <w:rFonts w:ascii="Arial" w:hAnsi="Arial" w:cs="Arial"/>
          <w:sz w:val="22"/>
          <w:szCs w:val="22"/>
        </w:rPr>
        <w:t>N</w:t>
      </w:r>
      <w:r w:rsidRPr="008831A3">
        <w:rPr>
          <w:rFonts w:ascii="Arial" w:hAnsi="Arial" w:cs="Arial"/>
          <w:sz w:val="22"/>
          <w:szCs w:val="22"/>
          <w:vertAlign w:val="subscript"/>
        </w:rPr>
        <w:t>(t+1</w:t>
      </w:r>
      <w:proofErr w:type="gramEnd"/>
      <w:r w:rsidRPr="008831A3">
        <w:rPr>
          <w:rFonts w:ascii="Arial" w:hAnsi="Arial" w:cs="Arial"/>
          <w:sz w:val="22"/>
          <w:szCs w:val="22"/>
          <w:vertAlign w:val="subscript"/>
        </w:rPr>
        <w:t xml:space="preserve">) </w:t>
      </w:r>
      <w:r>
        <w:rPr>
          <w:rFonts w:ascii="Arial" w:hAnsi="Arial" w:cs="Arial"/>
          <w:sz w:val="22"/>
          <w:szCs w:val="22"/>
          <w:vertAlign w:val="subscript"/>
        </w:rPr>
        <w:tab/>
      </w:r>
      <w:r w:rsidRPr="008831A3">
        <w:rPr>
          <w:rFonts w:ascii="Arial" w:hAnsi="Arial" w:cs="Arial"/>
          <w:sz w:val="22"/>
          <w:szCs w:val="22"/>
        </w:rPr>
        <w:t>je výše nájemného bez DPH v aktuálním kalendářním roce, ve kterém se nájemné upravuje</w:t>
      </w:r>
    </w:p>
    <w:p w:rsidR="00A91783" w:rsidRPr="008831A3" w:rsidRDefault="00A91783" w:rsidP="00A91783">
      <w:pPr>
        <w:ind w:left="1418" w:hanging="713"/>
        <w:jc w:val="both"/>
        <w:rPr>
          <w:rFonts w:ascii="Arial" w:hAnsi="Arial" w:cs="Arial"/>
          <w:sz w:val="22"/>
          <w:szCs w:val="22"/>
        </w:rPr>
      </w:pPr>
      <w:proofErr w:type="spellStart"/>
      <w:r w:rsidRPr="008831A3">
        <w:rPr>
          <w:rFonts w:ascii="Arial" w:hAnsi="Arial" w:cs="Arial"/>
          <w:sz w:val="22"/>
          <w:szCs w:val="22"/>
        </w:rPr>
        <w:t>N</w:t>
      </w:r>
      <w:r w:rsidRPr="008831A3">
        <w:rPr>
          <w:rFonts w:ascii="Arial" w:hAnsi="Arial" w:cs="Arial"/>
          <w:sz w:val="22"/>
          <w:szCs w:val="22"/>
          <w:vertAlign w:val="subscript"/>
        </w:rPr>
        <w:t>t</w:t>
      </w:r>
      <w:proofErr w:type="spellEnd"/>
      <w:r w:rsidRPr="008831A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8831A3">
        <w:rPr>
          <w:rFonts w:ascii="Arial" w:hAnsi="Arial" w:cs="Arial"/>
          <w:sz w:val="22"/>
          <w:szCs w:val="22"/>
        </w:rPr>
        <w:t xml:space="preserve"> </w:t>
      </w:r>
      <w:r w:rsidRPr="008831A3">
        <w:rPr>
          <w:rFonts w:ascii="Arial" w:hAnsi="Arial" w:cs="Arial"/>
          <w:sz w:val="22"/>
          <w:szCs w:val="22"/>
        </w:rPr>
        <w:tab/>
        <w:t>je výše nájemného bez DPH v předchozím kalendářním roce,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31A3">
        <w:rPr>
          <w:rFonts w:ascii="Arial" w:hAnsi="Arial" w:cs="Arial"/>
          <w:sz w:val="22"/>
          <w:szCs w:val="22"/>
        </w:rPr>
        <w:t>I</w:t>
      </w:r>
      <w:r w:rsidRPr="008831A3">
        <w:rPr>
          <w:rFonts w:ascii="Arial" w:hAnsi="Arial" w:cs="Arial"/>
          <w:sz w:val="22"/>
          <w:szCs w:val="22"/>
          <w:vertAlign w:val="subscript"/>
        </w:rPr>
        <w:t>t</w:t>
      </w:r>
      <w:proofErr w:type="spellEnd"/>
      <w:r w:rsidRPr="008831A3">
        <w:rPr>
          <w:rFonts w:ascii="Arial" w:hAnsi="Arial" w:cs="Arial"/>
          <w:sz w:val="22"/>
          <w:szCs w:val="22"/>
        </w:rPr>
        <w:t xml:space="preserve"> je průměrný roční index spotřebitelských cen za předchozí kalendářní rok zveřejněný Českým statistickým úřadem a vyjádřený v procentech</w:t>
      </w:r>
    </w:p>
    <w:p w:rsidR="00A91783" w:rsidRPr="00FD5822" w:rsidRDefault="00A91783" w:rsidP="00A91783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31A3">
        <w:rPr>
          <w:rFonts w:ascii="Arial" w:hAnsi="Arial" w:cs="Arial"/>
          <w:sz w:val="22"/>
          <w:szCs w:val="22"/>
        </w:rPr>
        <w:t>Takto upravenou výši náje</w:t>
      </w:r>
      <w:r w:rsidRPr="006B43B2">
        <w:rPr>
          <w:rFonts w:ascii="Arial" w:hAnsi="Arial" w:cs="Arial"/>
          <w:sz w:val="22"/>
          <w:szCs w:val="22"/>
        </w:rPr>
        <w:t>mného pronajímatel uplatňuje písemným oznámením, které je povinen nájemci doručit.</w:t>
      </w:r>
    </w:p>
    <w:p w:rsidR="00A91783" w:rsidRPr="00594A5F" w:rsidRDefault="00A91783" w:rsidP="00A91783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Skončí-li nebo počne-li nájem v průběhu kalendářního roku, náleží pronajímateli pouze poměrná část roční splátky nájemného. </w:t>
      </w:r>
    </w:p>
    <w:p w:rsidR="00C43B97" w:rsidRDefault="00C43B97" w:rsidP="00D77F89">
      <w:pPr>
        <w:jc w:val="center"/>
        <w:rPr>
          <w:rFonts w:ascii="Arial" w:hAnsi="Arial" w:cs="Arial"/>
          <w:b/>
        </w:rPr>
      </w:pPr>
    </w:p>
    <w:p w:rsidR="00D72B3F" w:rsidRDefault="00D72B3F" w:rsidP="00D72B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D72B3F" w:rsidRDefault="00D72B3F" w:rsidP="00D72B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Některá práva a povinnosti </w:t>
      </w:r>
    </w:p>
    <w:p w:rsidR="00D72B3F" w:rsidRPr="00104B08" w:rsidRDefault="00D72B3F" w:rsidP="00D72B3F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umožnit pronajímateli na jeho žádost vstup do předmětu nájmu, zejména za účelem kontroly dodržování podmínek této smlouvy, provádění oprav nebo údržby, anebo provád</w:t>
      </w:r>
      <w:r w:rsidRPr="00104B08">
        <w:rPr>
          <w:rFonts w:ascii="Arial" w:hAnsi="Arial" w:cs="Arial"/>
          <w:sz w:val="22"/>
          <w:szCs w:val="22"/>
        </w:rPr>
        <w:t xml:space="preserve">ění kontroly instalovaných </w:t>
      </w:r>
      <w:r>
        <w:rPr>
          <w:rFonts w:ascii="Arial" w:hAnsi="Arial" w:cs="Arial"/>
          <w:sz w:val="22"/>
          <w:szCs w:val="22"/>
        </w:rPr>
        <w:t xml:space="preserve">zařízení a technických </w:t>
      </w:r>
      <w:r w:rsidRPr="00104B08">
        <w:rPr>
          <w:rFonts w:ascii="Arial" w:hAnsi="Arial" w:cs="Arial"/>
          <w:sz w:val="22"/>
          <w:szCs w:val="22"/>
        </w:rPr>
        <w:t xml:space="preserve">sítí. </w:t>
      </w:r>
    </w:p>
    <w:p w:rsidR="00D72B3F" w:rsidRPr="00B82FAD" w:rsidRDefault="00D72B3F" w:rsidP="00D72B3F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82FAD">
        <w:rPr>
          <w:rFonts w:ascii="Arial" w:hAnsi="Arial" w:cs="Arial"/>
          <w:sz w:val="22"/>
          <w:szCs w:val="22"/>
        </w:rPr>
        <w:t>Nájemce je povinen se zdržet jakýchkoliv jednání, která by rušila nebo mohla ohrozit výkon ostatních užívacích a nájemních práv v objektu, v němž se nachází předmět nájmu.</w:t>
      </w:r>
    </w:p>
    <w:p w:rsidR="00B43B27" w:rsidRPr="00B82FAD" w:rsidRDefault="00B43B27" w:rsidP="00B43B27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82FAD">
        <w:rPr>
          <w:rFonts w:ascii="Arial" w:hAnsi="Arial" w:cs="Arial"/>
          <w:sz w:val="22"/>
          <w:szCs w:val="22"/>
        </w:rPr>
        <w:t xml:space="preserve">Nájemce </w:t>
      </w:r>
      <w:r w:rsidR="008E35D6">
        <w:rPr>
          <w:rFonts w:ascii="Arial" w:hAnsi="Arial" w:cs="Arial"/>
          <w:sz w:val="22"/>
          <w:szCs w:val="22"/>
        </w:rPr>
        <w:t>není</w:t>
      </w:r>
      <w:r w:rsidRPr="00B82FAD">
        <w:rPr>
          <w:rFonts w:ascii="Arial" w:hAnsi="Arial" w:cs="Arial"/>
          <w:sz w:val="22"/>
          <w:szCs w:val="22"/>
        </w:rPr>
        <w:t xml:space="preserve"> oprávněný předmět</w:t>
      </w:r>
      <w:r>
        <w:rPr>
          <w:rFonts w:ascii="Arial" w:hAnsi="Arial" w:cs="Arial"/>
          <w:sz w:val="22"/>
          <w:szCs w:val="22"/>
        </w:rPr>
        <w:t xml:space="preserve"> nájmu dle </w:t>
      </w:r>
      <w:r w:rsidRPr="00B82FAD">
        <w:rPr>
          <w:rFonts w:ascii="Arial" w:hAnsi="Arial" w:cs="Arial"/>
          <w:sz w:val="22"/>
          <w:szCs w:val="22"/>
        </w:rPr>
        <w:t xml:space="preserve">této smlouvy, nebo jejich část dále pronajmout třetí osobě, </w:t>
      </w:r>
      <w:r w:rsidR="008E35D6">
        <w:rPr>
          <w:rFonts w:ascii="Arial" w:hAnsi="Arial" w:cs="Arial"/>
          <w:sz w:val="22"/>
          <w:szCs w:val="22"/>
        </w:rPr>
        <w:t>není</w:t>
      </w:r>
      <w:r w:rsidRPr="00B82FAD">
        <w:rPr>
          <w:rFonts w:ascii="Arial" w:hAnsi="Arial" w:cs="Arial"/>
          <w:sz w:val="22"/>
          <w:szCs w:val="22"/>
        </w:rPr>
        <w:t xml:space="preserve"> oprávněný </w:t>
      </w:r>
      <w:r>
        <w:rPr>
          <w:rFonts w:ascii="Arial" w:hAnsi="Arial" w:cs="Arial"/>
          <w:sz w:val="22"/>
          <w:szCs w:val="22"/>
        </w:rPr>
        <w:t xml:space="preserve">předmět nájmu </w:t>
      </w:r>
      <w:r w:rsidRPr="00B82FAD">
        <w:rPr>
          <w:rFonts w:ascii="Arial" w:hAnsi="Arial" w:cs="Arial"/>
          <w:sz w:val="22"/>
          <w:szCs w:val="22"/>
        </w:rPr>
        <w:t>přenechat bezúplatně k užívání třetím osobám</w:t>
      </w:r>
      <w:r>
        <w:rPr>
          <w:rFonts w:ascii="Arial" w:hAnsi="Arial" w:cs="Arial"/>
          <w:sz w:val="22"/>
          <w:szCs w:val="22"/>
        </w:rPr>
        <w:t xml:space="preserve"> po dobu platnosti této nájemní smlouvy</w:t>
      </w:r>
      <w:r w:rsidR="008E35D6">
        <w:rPr>
          <w:rFonts w:ascii="Arial" w:hAnsi="Arial" w:cs="Arial"/>
          <w:sz w:val="22"/>
          <w:szCs w:val="22"/>
        </w:rPr>
        <w:t xml:space="preserve">, není oprávněn jinak disponovat s předmětem nájmu dle této smlouvy, </w:t>
      </w:r>
      <w:proofErr w:type="spellStart"/>
      <w:proofErr w:type="gramStart"/>
      <w:r w:rsidR="008E35D6">
        <w:rPr>
          <w:rFonts w:ascii="Arial" w:hAnsi="Arial" w:cs="Arial"/>
          <w:sz w:val="22"/>
          <w:szCs w:val="22"/>
        </w:rPr>
        <w:t>např.postoupením</w:t>
      </w:r>
      <w:proofErr w:type="spellEnd"/>
      <w:proofErr w:type="gramEnd"/>
      <w:r w:rsidR="008E35D6">
        <w:rPr>
          <w:rFonts w:ascii="Arial" w:hAnsi="Arial" w:cs="Arial"/>
          <w:sz w:val="22"/>
          <w:szCs w:val="22"/>
        </w:rPr>
        <w:t xml:space="preserve"> nájemního práva</w:t>
      </w:r>
      <w:r w:rsidRPr="00B82FAD">
        <w:rPr>
          <w:rFonts w:ascii="Arial" w:hAnsi="Arial" w:cs="Arial"/>
          <w:sz w:val="22"/>
          <w:szCs w:val="22"/>
        </w:rPr>
        <w:t xml:space="preserve">. </w:t>
      </w:r>
    </w:p>
    <w:p w:rsidR="00D72B3F" w:rsidRPr="00104B08" w:rsidRDefault="00D72B3F" w:rsidP="00D72B3F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82FAD">
        <w:rPr>
          <w:rFonts w:ascii="Arial" w:hAnsi="Arial" w:cs="Arial"/>
          <w:sz w:val="22"/>
          <w:szCs w:val="22"/>
        </w:rPr>
        <w:t>Smluvní strany se</w:t>
      </w:r>
      <w:r w:rsidRPr="00104B08">
        <w:rPr>
          <w:rFonts w:ascii="Arial" w:hAnsi="Arial" w:cs="Arial"/>
          <w:sz w:val="22"/>
          <w:szCs w:val="22"/>
        </w:rPr>
        <w:t xml:space="preserve"> dohodly, že nájemce nesmí bez předchozího souhlasu pronajímatele provádět jakékoliv práce, které vyžadují zásah do stěn, příček technických instalací, nebo do jiných zařízení budovy. Nájemce je povinen neprodleně informovat SMMJ, pokud dojde k poškození administrativní budovy vlivem jeho činnosti anebo v souvislosti s jeho činností, a to bez zbytečného odkladu.</w:t>
      </w:r>
      <w:r w:rsidRPr="00A828AC">
        <w:rPr>
          <w:rFonts w:ascii="Arial" w:hAnsi="Arial" w:cs="Arial"/>
          <w:sz w:val="22"/>
          <w:szCs w:val="22"/>
        </w:rPr>
        <w:t xml:space="preserve"> </w:t>
      </w:r>
      <w:r w:rsidRPr="00104B08">
        <w:rPr>
          <w:rFonts w:ascii="Arial" w:hAnsi="Arial" w:cs="Arial"/>
          <w:sz w:val="22"/>
          <w:szCs w:val="22"/>
        </w:rPr>
        <w:t>Nájemce je povinen neprodleně informovat SMMJ, pokud dojde k poškození administrativní budovy</w:t>
      </w:r>
      <w:r>
        <w:rPr>
          <w:rFonts w:ascii="Arial" w:hAnsi="Arial" w:cs="Arial"/>
          <w:sz w:val="22"/>
          <w:szCs w:val="22"/>
        </w:rPr>
        <w:t xml:space="preserve"> i bez přičinění nájemce.</w:t>
      </w:r>
    </w:p>
    <w:p w:rsidR="00D72B3F" w:rsidRPr="00104B08" w:rsidRDefault="00D72B3F" w:rsidP="00D72B3F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04B08">
        <w:rPr>
          <w:rFonts w:ascii="Arial" w:hAnsi="Arial" w:cs="Arial"/>
          <w:sz w:val="22"/>
          <w:szCs w:val="22"/>
        </w:rPr>
        <w:t xml:space="preserve">Nájemce se zavazuje, že bude provádět běžnou údržbu nebytových prostor, které jsou předmětem této smlouvy a technického vybavení a zavazuje se dále, že ponese náklady na drobné opravy, běžné údržbářské práce, jakož i náklady, které vznikly nepřiměřeným užíváním nebytových prostor, které jsou předmětem této smlouvy, nájemcem, nebo osobami, které se v něm s jeho souhlasem zdržují.   </w:t>
      </w:r>
    </w:p>
    <w:p w:rsidR="00D72B3F" w:rsidRPr="00104B08" w:rsidRDefault="00D72B3F" w:rsidP="00D72B3F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04B08">
        <w:rPr>
          <w:rFonts w:ascii="Arial" w:hAnsi="Arial" w:cs="Arial"/>
          <w:sz w:val="22"/>
          <w:szCs w:val="22"/>
        </w:rPr>
        <w:t>Nájemce se zavazuje dodržovat právní předpisy v oblasti bezpečnosti práce, hygienické a požární předpisy.</w:t>
      </w:r>
      <w:r w:rsidR="008E35D6">
        <w:rPr>
          <w:rFonts w:ascii="Arial" w:hAnsi="Arial" w:cs="Arial"/>
          <w:sz w:val="22"/>
          <w:szCs w:val="22"/>
        </w:rPr>
        <w:t xml:space="preserve"> Nájemce je povinen se řídit požárním řádem vyvěšeným v budově.</w:t>
      </w:r>
    </w:p>
    <w:p w:rsidR="00FC6593" w:rsidRDefault="00FC6593" w:rsidP="00FC6593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FC6593">
        <w:rPr>
          <w:rFonts w:ascii="Arial" w:hAnsi="Arial" w:cs="Arial"/>
          <w:sz w:val="22"/>
          <w:szCs w:val="22"/>
        </w:rPr>
        <w:t xml:space="preserve">Nájemce se zavazuje, že jakékoliv umístění informačních tabulí, nápisů a závěsných štítů provede jen s předchozím, písemným souhlasem pronajímatele za podmínek § 2305 </w:t>
      </w:r>
      <w:r w:rsidRPr="00FC6593">
        <w:rPr>
          <w:rFonts w:ascii="Arial" w:hAnsi="Arial" w:cs="Arial"/>
          <w:sz w:val="22"/>
          <w:szCs w:val="22"/>
        </w:rPr>
        <w:lastRenderedPageBreak/>
        <w:t xml:space="preserve">občanského zákoníku. </w:t>
      </w:r>
    </w:p>
    <w:p w:rsidR="00D72B3F" w:rsidRDefault="00D72B3F" w:rsidP="00D72B3F">
      <w:pPr>
        <w:numPr>
          <w:ilvl w:val="0"/>
          <w:numId w:val="2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04B08">
        <w:rPr>
          <w:rFonts w:ascii="Arial" w:hAnsi="Arial" w:cs="Arial"/>
          <w:sz w:val="22"/>
          <w:szCs w:val="22"/>
        </w:rPr>
        <w:t xml:space="preserve">Nájemce se zavazuje, že provede jakékoliv připojení elektrických spotřebičů k interní, elektrické síti jen s předchozím souhlasem pronajímatele, a to také v případě, že k tomuto připojení není třeba souhlas příslušných úřadů; výjimku tvoří obvyklá osvětlovací tělesa, domácí </w:t>
      </w:r>
      <w:proofErr w:type="gramStart"/>
      <w:r w:rsidRPr="00104B08">
        <w:rPr>
          <w:rFonts w:ascii="Arial" w:hAnsi="Arial" w:cs="Arial"/>
          <w:sz w:val="22"/>
          <w:szCs w:val="22"/>
        </w:rPr>
        <w:t>spotřebiče a nebo podobné</w:t>
      </w:r>
      <w:proofErr w:type="gramEnd"/>
      <w:r w:rsidRPr="00104B08">
        <w:rPr>
          <w:rFonts w:ascii="Arial" w:hAnsi="Arial" w:cs="Arial"/>
          <w:sz w:val="22"/>
          <w:szCs w:val="22"/>
        </w:rPr>
        <w:t xml:space="preserve"> elektrické spotřebiče</w:t>
      </w:r>
      <w:r>
        <w:rPr>
          <w:rFonts w:ascii="Arial" w:hAnsi="Arial" w:cs="Arial"/>
          <w:sz w:val="22"/>
          <w:szCs w:val="22"/>
        </w:rPr>
        <w:t>,</w:t>
      </w:r>
      <w:r w:rsidRPr="00104B08">
        <w:rPr>
          <w:rFonts w:ascii="Arial" w:hAnsi="Arial" w:cs="Arial"/>
          <w:sz w:val="22"/>
          <w:szCs w:val="22"/>
        </w:rPr>
        <w:t xml:space="preserve"> u kterých si revize zajišťuje nájemce. </w:t>
      </w:r>
    </w:p>
    <w:p w:rsidR="00144D74" w:rsidRDefault="00144D74" w:rsidP="00144D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144D74" w:rsidRPr="003F514B" w:rsidRDefault="00144D74" w:rsidP="00144D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Ostatní ujednání </w:t>
      </w:r>
    </w:p>
    <w:p w:rsidR="00144D74" w:rsidRPr="00233DFA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prohlašuje, že si předmět nájmu osobně prohlédl a seznámil se s jeho právním i faktickým stavem, včetně okolí předmětu nájmu a přístupových a příjezdových komunikací a že nic nebrání tomu, aby předmět nájmu mohl bez omezení užívat ke sjednanému účelu.</w:t>
      </w:r>
    </w:p>
    <w:p w:rsidR="00144D74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Nájemce nese plnou odpovědnost za zdraví svých zaměstnanců v souvislosti s výkonem práce nebo jejich činností dle </w:t>
      </w:r>
      <w:proofErr w:type="spellStart"/>
      <w:r w:rsidRPr="00B60D6D">
        <w:rPr>
          <w:rFonts w:ascii="Arial" w:hAnsi="Arial" w:cs="Arial"/>
          <w:sz w:val="22"/>
          <w:szCs w:val="22"/>
        </w:rPr>
        <w:t>ust</w:t>
      </w:r>
      <w:proofErr w:type="spellEnd"/>
      <w:r w:rsidRPr="00B60D6D">
        <w:rPr>
          <w:rFonts w:ascii="Arial" w:hAnsi="Arial" w:cs="Arial"/>
          <w:sz w:val="22"/>
          <w:szCs w:val="22"/>
        </w:rPr>
        <w:t xml:space="preserve">. § 2894 a násl. občanského zákoníku a dle zákoníku práce. </w:t>
      </w:r>
    </w:p>
    <w:p w:rsidR="00144D74" w:rsidRPr="00292083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není oprávněný k uplatnění nároků vůči pronajímateli z důvodu přerušení dodávek vody, plynu a elektrické energie, z poruch a závad telefonického spojení a dalších technických instalací apod., pokud vznikly bez zavinění pronajímatele, tj. byly způsobeny dodavateli medií nebo provozovateli těchto zařízení. </w:t>
      </w:r>
    </w:p>
    <w:p w:rsidR="00144D74" w:rsidRPr="00B60D6D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Nájemce se zavazuje, že s předmětem nájmu dle této smlouvy, bude nakládat s péčí řádného hospodáře tak, aby pronajímateli nevznikla žádná škoda. Totéž platí také pro osoby, užívající předmět nájmu dle této smlouvy, společně s ním, pro osoby, jednající jeho jménem, jakož i pro osoby zdržující se v nebytových prostorách v důsledku jejich užívání nájemcem, nebo pro osoby vstupující do předmětu nájmu se souhlasem nebo vědomím nájemce. </w:t>
      </w:r>
    </w:p>
    <w:p w:rsidR="00144D74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 w:rsidRPr="00A828AC">
        <w:rPr>
          <w:rFonts w:ascii="Arial" w:hAnsi="Arial" w:cs="Arial"/>
          <w:sz w:val="22"/>
          <w:szCs w:val="22"/>
        </w:rPr>
        <w:t xml:space="preserve">Při skončení nájemního vztahu, je nájemce povinen, vyklidit prostory, které jsou předmětem </w:t>
      </w:r>
      <w:r>
        <w:rPr>
          <w:rFonts w:ascii="Arial" w:hAnsi="Arial" w:cs="Arial"/>
          <w:sz w:val="22"/>
          <w:szCs w:val="22"/>
        </w:rPr>
        <w:t xml:space="preserve">nájmu dle </w:t>
      </w:r>
      <w:r w:rsidRPr="00A828AC">
        <w:rPr>
          <w:rFonts w:ascii="Arial" w:hAnsi="Arial" w:cs="Arial"/>
          <w:sz w:val="22"/>
          <w:szCs w:val="22"/>
        </w:rPr>
        <w:t xml:space="preserve">této smlouvy, a vrátit pronajímateli veškeré předané vybavení, včetně návodů k obsluze a klíčů ve stavu v jakém je nájemce převzal, s přihlédnutím k běžnému opotřebení, to vše do doby ukončení nájemního vztahu. </w:t>
      </w:r>
    </w:p>
    <w:p w:rsidR="00144D74" w:rsidRPr="00A828AC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 w:rsidRPr="00A828AC">
        <w:rPr>
          <w:rFonts w:ascii="Arial" w:hAnsi="Arial" w:cs="Arial"/>
          <w:sz w:val="22"/>
          <w:szCs w:val="22"/>
        </w:rPr>
        <w:t>Pokud nájemce předmět nájmu nevyklidí do doby skončení nájmu, nájemce výslovně prohlašuje, že po této době je možné majetek nájemce zlikvidovat bez nároku na náhradu.</w:t>
      </w:r>
    </w:p>
    <w:p w:rsidR="00144D74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 w:rsidRPr="00104B08">
        <w:rPr>
          <w:rFonts w:ascii="Arial" w:hAnsi="Arial" w:cs="Arial"/>
          <w:sz w:val="22"/>
          <w:szCs w:val="22"/>
        </w:rPr>
        <w:t>Smluvní strany se dohodly, že adresami pro doručování písemností jsou adresy uveden</w:t>
      </w:r>
      <w:r>
        <w:rPr>
          <w:rFonts w:ascii="Arial" w:hAnsi="Arial" w:cs="Arial"/>
          <w:sz w:val="22"/>
          <w:szCs w:val="22"/>
        </w:rPr>
        <w:t>é</w:t>
      </w:r>
      <w:r w:rsidRPr="00104B08">
        <w:rPr>
          <w:rFonts w:ascii="Arial" w:hAnsi="Arial" w:cs="Arial"/>
          <w:sz w:val="22"/>
          <w:szCs w:val="22"/>
        </w:rPr>
        <w:t xml:space="preserve"> v záhlaví této smlouvy. Pokud dojde ke změně adresy pro doručování, je ta smluvní strana, u</w:t>
      </w:r>
      <w:r>
        <w:rPr>
          <w:rFonts w:ascii="Arial" w:hAnsi="Arial" w:cs="Arial"/>
          <w:sz w:val="22"/>
          <w:szCs w:val="22"/>
        </w:rPr>
        <w:t> </w:t>
      </w:r>
      <w:r w:rsidRPr="00104B08">
        <w:rPr>
          <w:rFonts w:ascii="Arial" w:hAnsi="Arial" w:cs="Arial"/>
          <w:sz w:val="22"/>
          <w:szCs w:val="22"/>
        </w:rPr>
        <w:t>níž k této změně došlo, povin</w:t>
      </w:r>
      <w:r>
        <w:rPr>
          <w:rFonts w:ascii="Arial" w:hAnsi="Arial" w:cs="Arial"/>
          <w:sz w:val="22"/>
          <w:szCs w:val="22"/>
        </w:rPr>
        <w:t>n</w:t>
      </w:r>
      <w:r w:rsidRPr="00104B08">
        <w:rPr>
          <w:rFonts w:ascii="Arial" w:hAnsi="Arial" w:cs="Arial"/>
          <w:sz w:val="22"/>
          <w:szCs w:val="22"/>
        </w:rPr>
        <w:t>a tuto skutečnost neprodleně písemně oznámit straně druhé. Pokud tak neučiní, bude písemnost odeslaná odesílatelem na adresu uvedenou v záhlaví považována za doručenou po uplynutí 14 kalendářních</w:t>
      </w:r>
      <w:r>
        <w:rPr>
          <w:rFonts w:ascii="Arial" w:hAnsi="Arial" w:cs="Arial"/>
          <w:sz w:val="22"/>
          <w:szCs w:val="22"/>
        </w:rPr>
        <w:t xml:space="preserve"> dnů ode dne doručení dodejky o </w:t>
      </w:r>
      <w:r w:rsidRPr="00104B08">
        <w:rPr>
          <w:rFonts w:ascii="Arial" w:hAnsi="Arial" w:cs="Arial"/>
          <w:sz w:val="22"/>
          <w:szCs w:val="22"/>
        </w:rPr>
        <w:t xml:space="preserve">doporučeném psaní prostřednictvím doporučené pošty k rukám odesílatele. </w:t>
      </w:r>
    </w:p>
    <w:p w:rsidR="00144D74" w:rsidRPr="00B60D6D" w:rsidRDefault="00144D74" w:rsidP="00144D74">
      <w:pPr>
        <w:numPr>
          <w:ilvl w:val="0"/>
          <w:numId w:val="9"/>
        </w:numPr>
        <w:tabs>
          <w:tab w:val="clear" w:pos="720"/>
          <w:tab w:val="num" w:pos="426"/>
          <w:tab w:val="left" w:pos="1215"/>
        </w:tabs>
        <w:spacing w:before="120"/>
        <w:ind w:left="408" w:hanging="391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Smluvní strany se dohodly, že pro vyúčtování energií a služeb bude použit kalkulační klíč, jehož správu provádí pronajímatel, přitom pronajímatel je oprávněn tento klíč jednostranně upravit i v průběhu trvání nájemního vztahu.</w:t>
      </w:r>
    </w:p>
    <w:p w:rsidR="00C43B97" w:rsidRDefault="00C43B97" w:rsidP="00D77F89">
      <w:pPr>
        <w:jc w:val="center"/>
        <w:rPr>
          <w:rFonts w:ascii="Arial" w:hAnsi="Arial" w:cs="Arial"/>
          <w:b/>
        </w:rPr>
      </w:pPr>
    </w:p>
    <w:p w:rsidR="00BD0C7D" w:rsidRPr="00B60D6D" w:rsidRDefault="00BD0C7D" w:rsidP="00BD0C7D">
      <w:pPr>
        <w:jc w:val="center"/>
        <w:rPr>
          <w:rFonts w:ascii="Arial" w:hAnsi="Arial" w:cs="Arial"/>
          <w:b/>
        </w:rPr>
      </w:pPr>
      <w:r w:rsidRPr="00B60D6D">
        <w:rPr>
          <w:rFonts w:ascii="Arial" w:hAnsi="Arial" w:cs="Arial"/>
          <w:b/>
        </w:rPr>
        <w:t>VIII.</w:t>
      </w:r>
    </w:p>
    <w:p w:rsidR="00BD0C7D" w:rsidRPr="00B60D6D" w:rsidRDefault="00BD0C7D" w:rsidP="00BD0C7D">
      <w:pPr>
        <w:jc w:val="center"/>
        <w:rPr>
          <w:rFonts w:ascii="Arial" w:hAnsi="Arial" w:cs="Arial"/>
          <w:b/>
        </w:rPr>
      </w:pPr>
      <w:r w:rsidRPr="00B60D6D">
        <w:rPr>
          <w:rFonts w:ascii="Arial" w:hAnsi="Arial" w:cs="Arial"/>
          <w:b/>
        </w:rPr>
        <w:t>Smluvní sankce</w:t>
      </w:r>
    </w:p>
    <w:p w:rsidR="00BD0C7D" w:rsidRPr="00B60D6D" w:rsidRDefault="00BD0C7D" w:rsidP="00BD0C7D">
      <w:pPr>
        <w:tabs>
          <w:tab w:val="left" w:pos="1245"/>
        </w:tabs>
        <w:spacing w:before="240"/>
        <w:jc w:val="both"/>
        <w:rPr>
          <w:rFonts w:ascii="Arial" w:hAnsi="Arial" w:cs="Arial"/>
          <w:b/>
        </w:rPr>
      </w:pPr>
      <w:r w:rsidRPr="00B60D6D">
        <w:rPr>
          <w:rFonts w:ascii="Arial" w:hAnsi="Arial" w:cs="Arial"/>
          <w:sz w:val="22"/>
          <w:szCs w:val="22"/>
        </w:rPr>
        <w:t xml:space="preserve">Účastníci sjednali pro případ porušení některých závazků vyplývajících z této smlouvy smluvní pokuty následovně: </w:t>
      </w:r>
      <w:r w:rsidRPr="00B60D6D">
        <w:rPr>
          <w:rFonts w:ascii="Arial" w:hAnsi="Arial" w:cs="Arial"/>
          <w:b/>
        </w:rPr>
        <w:t xml:space="preserve">  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Nesplní-li nájemce svou povinnost uhradit včas nájemné a úhrady za plnění spojená s užíváním předmětu nájmu, má pronajímatel právo požadovat smluvní úrok z prodlení ve výši 0,1% za každý den prodlení.  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Poruší-li nájemce svou povinnost užívat předmět nájmu ke sjednanému účelu, je povinen do </w:t>
      </w:r>
      <w:proofErr w:type="gramStart"/>
      <w:r w:rsidRPr="00B60D6D">
        <w:rPr>
          <w:rFonts w:ascii="Arial" w:hAnsi="Arial" w:cs="Arial"/>
          <w:sz w:val="22"/>
          <w:szCs w:val="22"/>
        </w:rPr>
        <w:t>15-ti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dnů ode dne porušení této povinnosti uhradit pronajímateli smluvní pokutu 10.000,-Kč.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Poruší-li nájemce svou povinnost uvedenou v článku VI. odst. 3, je nájemce povinen do </w:t>
      </w:r>
      <w:proofErr w:type="gramStart"/>
      <w:r w:rsidRPr="00B60D6D">
        <w:rPr>
          <w:rFonts w:ascii="Arial" w:hAnsi="Arial" w:cs="Arial"/>
          <w:sz w:val="22"/>
          <w:szCs w:val="22"/>
        </w:rPr>
        <w:t>15-ti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</w:t>
      </w:r>
      <w:r w:rsidRPr="00B60D6D">
        <w:rPr>
          <w:rFonts w:ascii="Arial" w:hAnsi="Arial" w:cs="Arial"/>
          <w:sz w:val="22"/>
          <w:szCs w:val="22"/>
        </w:rPr>
        <w:lastRenderedPageBreak/>
        <w:t>dnů ode dne porušení této povinnosti uhradit pronajímateli smluvní pokutu 10.000,-Kč.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Poruší-li nájemce svou povinnost uvedenou v článku VI. odst. 4, je nájemce povinen do </w:t>
      </w:r>
      <w:proofErr w:type="gramStart"/>
      <w:r w:rsidRPr="00B60D6D">
        <w:rPr>
          <w:rFonts w:ascii="Arial" w:hAnsi="Arial" w:cs="Arial"/>
          <w:sz w:val="22"/>
          <w:szCs w:val="22"/>
        </w:rPr>
        <w:t>15-ti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dnů ode dne porušení této povinnosti uhradit pronajímateli smluvní pokutu 10.000,-Kč.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V případě, že veškeré zařízení a veškeré zásahy do předmětu nájmu nebudou kompletně odstraněny do doby ukončení nájmu, má pronajímatel právo požadovat smluvní pokutu ve výši 10.000,-Kč za každý započatý měsíc nájemcova prodlení se splněním uvedené povinnosti.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V případě, že dojde vlivem umístění zařízení nájemce anebo vlivem činnosti nájemce k poškození, nepřiměřenému opotřebení nebo jinému neadekvátnímu znehodnocení administrativní budovy anebo její části, nájemce se zavazuje pronajímateli uhradit do </w:t>
      </w:r>
      <w:proofErr w:type="gramStart"/>
      <w:r w:rsidRPr="00B60D6D">
        <w:rPr>
          <w:rFonts w:ascii="Arial" w:hAnsi="Arial" w:cs="Arial"/>
          <w:sz w:val="22"/>
          <w:szCs w:val="22"/>
        </w:rPr>
        <w:t>15-ti</w:t>
      </w:r>
      <w:proofErr w:type="gramEnd"/>
      <w:r w:rsidRPr="00B60D6D">
        <w:rPr>
          <w:rFonts w:ascii="Arial" w:hAnsi="Arial" w:cs="Arial"/>
          <w:sz w:val="22"/>
          <w:szCs w:val="22"/>
        </w:rPr>
        <w:t xml:space="preserve"> dnů ode dne zjištění této skutečnosti smluvní pokutu ve výši 10.000,-Kč, a to nad rámec nájemcovy povinnosti nahradit škodu nepřiměřeným opotřebením či jiným neadekvátním znehodnocením vzniklou.</w:t>
      </w:r>
    </w:p>
    <w:p w:rsidR="00BD0C7D" w:rsidRPr="00B60D6D" w:rsidRDefault="00BD0C7D" w:rsidP="00BD0C7D">
      <w:pPr>
        <w:numPr>
          <w:ilvl w:val="0"/>
          <w:numId w:val="10"/>
        </w:numPr>
        <w:tabs>
          <w:tab w:val="clear" w:pos="720"/>
          <w:tab w:val="num" w:pos="426"/>
          <w:tab w:val="left" w:pos="1245"/>
        </w:tabs>
        <w:spacing w:before="120"/>
        <w:ind w:left="420" w:hanging="403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 xml:space="preserve">Smluvní pokutu je povinen nájemce zaplatit za každé jednotlivé porušení uvedených povinností. Pronajímatel je oprávněn požadovat na nájemci náhradu škody způsobené porušením povinnosti, na kterou se vztahuje smluvní pokuta, a to i ve výši přesahující smluvní pokuty. </w:t>
      </w:r>
    </w:p>
    <w:p w:rsidR="007F5D87" w:rsidRPr="00B60D6D" w:rsidRDefault="007F5D87" w:rsidP="007F5D87">
      <w:pPr>
        <w:tabs>
          <w:tab w:val="left" w:pos="1245"/>
        </w:tabs>
        <w:ind w:left="420" w:hanging="405"/>
        <w:jc w:val="center"/>
        <w:rPr>
          <w:rFonts w:ascii="Arial" w:hAnsi="Arial" w:cs="Arial"/>
          <w:b/>
        </w:rPr>
      </w:pPr>
      <w:r w:rsidRPr="00B60D6D">
        <w:rPr>
          <w:rFonts w:ascii="Arial" w:hAnsi="Arial" w:cs="Arial"/>
          <w:b/>
        </w:rPr>
        <w:t>IX.</w:t>
      </w:r>
    </w:p>
    <w:p w:rsidR="007F5D87" w:rsidRPr="00B60D6D" w:rsidRDefault="007F5D87" w:rsidP="007F5D87">
      <w:pPr>
        <w:tabs>
          <w:tab w:val="left" w:pos="1245"/>
        </w:tabs>
        <w:ind w:left="420" w:hanging="405"/>
        <w:jc w:val="center"/>
        <w:rPr>
          <w:rFonts w:ascii="Arial" w:hAnsi="Arial" w:cs="Arial"/>
          <w:b/>
        </w:rPr>
      </w:pPr>
      <w:r w:rsidRPr="00B60D6D">
        <w:rPr>
          <w:rFonts w:ascii="Arial" w:hAnsi="Arial" w:cs="Arial"/>
          <w:b/>
        </w:rPr>
        <w:t xml:space="preserve">Závěrečná ustanovení   </w:t>
      </w:r>
    </w:p>
    <w:p w:rsidR="007F5D87" w:rsidRPr="00B60D6D" w:rsidRDefault="007F5D87" w:rsidP="007F5D87">
      <w:pPr>
        <w:pStyle w:val="Zkladntext"/>
        <w:widowControl/>
        <w:numPr>
          <w:ilvl w:val="0"/>
          <w:numId w:val="11"/>
        </w:numPr>
        <w:tabs>
          <w:tab w:val="left" w:pos="1245"/>
        </w:tabs>
        <w:autoSpaceDE w:val="0"/>
        <w:spacing w:before="60" w:after="0"/>
        <w:ind w:left="420" w:hanging="405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Smlouvu lze měnit pouze formou písemných, vzestupně číslovaných a oboustranně písemně podepsaných dodatků; aplikaci § 562 odst. 1 zákona č. 89/2012 Sb., občanského zákoníku, smluvní strany konsensuálně výslovně vylučují. Uzavření dodatku jinou než písemnou formou dle předchozí věty není platné a účinné. Jakékoliv písemné potvrzení ústního jednání nemá účinky potvrzení změny smlouvy a účinky uzavření dodatku jinou než písemnou formou.</w:t>
      </w:r>
      <w:r w:rsidRPr="00B60D6D">
        <w:rPr>
          <w:rFonts w:ascii="Arial" w:hAnsi="Arial" w:cs="Arial"/>
          <w:color w:val="0069AF"/>
          <w:sz w:val="22"/>
          <w:szCs w:val="22"/>
        </w:rPr>
        <w:t xml:space="preserve"> </w:t>
      </w:r>
      <w:r w:rsidRPr="00B60D6D">
        <w:rPr>
          <w:rFonts w:ascii="Arial" w:hAnsi="Arial" w:cs="Arial"/>
          <w:sz w:val="22"/>
          <w:szCs w:val="22"/>
        </w:rPr>
        <w:t>Za změnu smlouvy se nepovažují změny prováděné na základě postupu obsaženého v této smlouvě, v souladu s tímto postupem.</w:t>
      </w:r>
    </w:p>
    <w:p w:rsidR="007F5D87" w:rsidRDefault="007F5D87" w:rsidP="007F5D87">
      <w:pPr>
        <w:pStyle w:val="Zkladntext"/>
        <w:widowControl/>
        <w:numPr>
          <w:ilvl w:val="0"/>
          <w:numId w:val="11"/>
        </w:numPr>
        <w:tabs>
          <w:tab w:val="left" w:pos="1245"/>
        </w:tabs>
        <w:autoSpaceDE w:val="0"/>
        <w:spacing w:before="60" w:after="0"/>
        <w:ind w:left="420" w:hanging="405"/>
        <w:jc w:val="both"/>
        <w:rPr>
          <w:rFonts w:ascii="Arial" w:hAnsi="Arial" w:cs="Arial"/>
          <w:sz w:val="22"/>
          <w:szCs w:val="22"/>
        </w:rPr>
      </w:pPr>
      <w:r w:rsidRPr="00B60D6D">
        <w:rPr>
          <w:rFonts w:ascii="Arial" w:hAnsi="Arial" w:cs="Arial"/>
          <w:sz w:val="22"/>
          <w:szCs w:val="22"/>
        </w:rPr>
        <w:t>Tato smlouva je vyhotovena ve dvou stejnopisech, z</w:t>
      </w:r>
      <w:r>
        <w:rPr>
          <w:rFonts w:ascii="Arial" w:hAnsi="Arial" w:cs="Arial"/>
          <w:sz w:val="22"/>
          <w:szCs w:val="22"/>
        </w:rPr>
        <w:t xml:space="preserve"> nichž každý má platnost originálu. Nájemce a pronajímatel obdrží po jednom vyhotovení smlouvy.</w:t>
      </w:r>
    </w:p>
    <w:p w:rsidR="007F5D87" w:rsidRDefault="007F5D87" w:rsidP="007F5D87">
      <w:pPr>
        <w:pStyle w:val="Zkladntext"/>
        <w:widowControl/>
        <w:numPr>
          <w:ilvl w:val="0"/>
          <w:numId w:val="11"/>
        </w:numPr>
        <w:tabs>
          <w:tab w:val="left" w:pos="1245"/>
        </w:tabs>
        <w:autoSpaceDE w:val="0"/>
        <w:spacing w:before="60" w:after="0"/>
        <w:ind w:left="420" w:hanging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dohodnuté nájemné nelze kompenzovat s protipohledávkami nájemce vůči pronajímateli, vyplývajícími z této smlouvy.</w:t>
      </w:r>
    </w:p>
    <w:p w:rsidR="00A6327A" w:rsidRDefault="002B4A7F" w:rsidP="002A70EF">
      <w:pPr>
        <w:pStyle w:val="Zkladntext"/>
        <w:widowControl/>
        <w:numPr>
          <w:ilvl w:val="0"/>
          <w:numId w:val="11"/>
        </w:numPr>
        <w:tabs>
          <w:tab w:val="left" w:pos="1245"/>
        </w:tabs>
        <w:autoSpaceDE w:val="0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2A70EF">
        <w:rPr>
          <w:rFonts w:ascii="Arial" w:hAnsi="Arial" w:cs="Arial"/>
          <w:sz w:val="22"/>
          <w:szCs w:val="22"/>
        </w:rPr>
        <w:t>Smluvní strany prohlašují, že</w:t>
      </w:r>
      <w:r w:rsidR="002A70EF">
        <w:rPr>
          <w:rFonts w:ascii="Arial" w:hAnsi="Arial" w:cs="Arial"/>
          <w:sz w:val="22"/>
          <w:szCs w:val="22"/>
        </w:rPr>
        <w:t xml:space="preserve"> jsou oprávněny tuto smlouvu uzavřít, a tento právní </w:t>
      </w:r>
      <w:proofErr w:type="gramStart"/>
      <w:r w:rsidR="002A70EF">
        <w:rPr>
          <w:rFonts w:ascii="Arial" w:hAnsi="Arial" w:cs="Arial"/>
          <w:sz w:val="22"/>
          <w:szCs w:val="22"/>
        </w:rPr>
        <w:t xml:space="preserve">úkon </w:t>
      </w:r>
      <w:r w:rsidRPr="002A70EF">
        <w:rPr>
          <w:rFonts w:ascii="Arial" w:hAnsi="Arial" w:cs="Arial"/>
          <w:sz w:val="22"/>
          <w:szCs w:val="22"/>
        </w:rPr>
        <w:t xml:space="preserve"> uzavírají</w:t>
      </w:r>
      <w:proofErr w:type="gramEnd"/>
      <w:r w:rsidRPr="002A70EF">
        <w:rPr>
          <w:rFonts w:ascii="Arial" w:hAnsi="Arial" w:cs="Arial"/>
          <w:sz w:val="22"/>
          <w:szCs w:val="22"/>
        </w:rPr>
        <w:t xml:space="preserve"> na základě projevu svobodné, vážné a určité vůle, nikoli v  tísni za nápadně nevýhodných podmínek, na důkaz čehož připojují své vlastnoruční podpisy a otisky razítek.</w:t>
      </w:r>
    </w:p>
    <w:p w:rsidR="002A70EF" w:rsidRPr="002A70EF" w:rsidRDefault="002A70EF" w:rsidP="002A70EF">
      <w:pPr>
        <w:pStyle w:val="Zkladntext"/>
        <w:widowControl/>
        <w:numPr>
          <w:ilvl w:val="0"/>
          <w:numId w:val="11"/>
        </w:numPr>
        <w:tabs>
          <w:tab w:val="left" w:pos="1245"/>
        </w:tabs>
        <w:autoSpaceDE w:val="0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</w:t>
      </w:r>
      <w:r w:rsidR="00227401">
        <w:rPr>
          <w:rFonts w:ascii="Arial" w:hAnsi="Arial" w:cs="Arial"/>
          <w:sz w:val="22"/>
          <w:szCs w:val="22"/>
        </w:rPr>
        <w:t>že jejich právní vztah se řídí českým právním řádem, a že v případě sporu je dána pravomoc k rozhodování sporu před českými soudy.</w:t>
      </w:r>
    </w:p>
    <w:p w:rsidR="007F5D87" w:rsidRDefault="007F5D87" w:rsidP="007F5D87">
      <w:pPr>
        <w:jc w:val="both"/>
        <w:rPr>
          <w:rFonts w:ascii="Arial" w:hAnsi="Arial" w:cs="Arial"/>
          <w:sz w:val="22"/>
          <w:szCs w:val="22"/>
        </w:rPr>
      </w:pPr>
    </w:p>
    <w:p w:rsidR="007F5D87" w:rsidRDefault="007F5D87" w:rsidP="0044126E">
      <w:pPr>
        <w:pStyle w:val="vnintext"/>
        <w:tabs>
          <w:tab w:val="clear" w:pos="709"/>
          <w:tab w:val="left" w:pos="1245"/>
        </w:tabs>
        <w:spacing w:before="6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Jeseníku dne …………………………. </w:t>
      </w:r>
      <w:r>
        <w:rPr>
          <w:rFonts w:ascii="Arial" w:hAnsi="Arial" w:cs="Arial"/>
          <w:sz w:val="22"/>
          <w:szCs w:val="22"/>
        </w:rPr>
        <w:tab/>
      </w:r>
      <w:r w:rsidR="004412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Jeseníku dne </w:t>
      </w:r>
      <w:r w:rsidR="0044126E">
        <w:rPr>
          <w:rFonts w:ascii="Arial" w:hAnsi="Arial" w:cs="Arial"/>
          <w:sz w:val="22"/>
          <w:szCs w:val="22"/>
        </w:rPr>
        <w:t>………………………….</w:t>
      </w:r>
    </w:p>
    <w:p w:rsidR="007F5D87" w:rsidRDefault="007F5D87" w:rsidP="007F5D87">
      <w:pPr>
        <w:pStyle w:val="vnintext"/>
        <w:tabs>
          <w:tab w:val="clear" w:pos="709"/>
          <w:tab w:val="left" w:pos="1245"/>
        </w:tabs>
        <w:spacing w:before="60"/>
        <w:ind w:left="360" w:firstLine="0"/>
        <w:rPr>
          <w:rFonts w:ascii="Arial" w:hAnsi="Arial" w:cs="Arial"/>
          <w:sz w:val="22"/>
          <w:szCs w:val="22"/>
        </w:rPr>
      </w:pPr>
    </w:p>
    <w:p w:rsidR="007F5D87" w:rsidRDefault="002C36B7" w:rsidP="0044126E">
      <w:pPr>
        <w:pStyle w:val="vnintext"/>
        <w:tabs>
          <w:tab w:val="clear" w:pos="709"/>
          <w:tab w:val="left" w:pos="1245"/>
        </w:tabs>
        <w:spacing w:before="60"/>
        <w:ind w:firstLin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Bc.Lenka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Tichavská</w:t>
      </w:r>
      <w:proofErr w:type="spellEnd"/>
      <w:r w:rsidR="0044126E">
        <w:rPr>
          <w:rFonts w:ascii="Arial" w:hAnsi="Arial" w:cs="Arial"/>
          <w:sz w:val="22"/>
          <w:szCs w:val="22"/>
        </w:rPr>
        <w:tab/>
      </w:r>
      <w:r w:rsidR="007F5D87">
        <w:rPr>
          <w:rFonts w:ascii="Arial" w:hAnsi="Arial" w:cs="Arial"/>
          <w:sz w:val="22"/>
          <w:szCs w:val="22"/>
        </w:rPr>
        <w:tab/>
      </w:r>
      <w:r w:rsidR="007F5D87">
        <w:rPr>
          <w:rFonts w:ascii="Arial" w:hAnsi="Arial" w:cs="Arial"/>
          <w:sz w:val="22"/>
          <w:szCs w:val="22"/>
        </w:rPr>
        <w:tab/>
      </w:r>
      <w:r w:rsidR="007F5D87">
        <w:rPr>
          <w:rFonts w:ascii="Arial" w:hAnsi="Arial" w:cs="Arial"/>
          <w:sz w:val="22"/>
          <w:szCs w:val="22"/>
        </w:rPr>
        <w:tab/>
      </w:r>
      <w:r w:rsidR="004412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Radomíra </w:t>
      </w:r>
      <w:proofErr w:type="spellStart"/>
      <w:r>
        <w:rPr>
          <w:rFonts w:ascii="Arial" w:hAnsi="Arial" w:cs="Arial"/>
          <w:sz w:val="22"/>
          <w:szCs w:val="22"/>
        </w:rPr>
        <w:t>Beierová</w:t>
      </w:r>
      <w:proofErr w:type="spellEnd"/>
    </w:p>
    <w:p w:rsidR="007F5D87" w:rsidRDefault="007F5D87" w:rsidP="0044126E">
      <w:pPr>
        <w:pStyle w:val="vnintext"/>
        <w:tabs>
          <w:tab w:val="clear" w:pos="709"/>
          <w:tab w:val="left" w:pos="1245"/>
        </w:tabs>
        <w:spacing w:before="6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36B7">
        <w:rPr>
          <w:rFonts w:ascii="Arial" w:hAnsi="Arial" w:cs="Arial"/>
          <w:sz w:val="22"/>
          <w:szCs w:val="22"/>
        </w:rPr>
        <w:t>pověřena řízením příspěvkové organizace</w:t>
      </w:r>
    </w:p>
    <w:p w:rsidR="007F5D87" w:rsidRDefault="007F5D87" w:rsidP="007F5D87">
      <w:pPr>
        <w:pStyle w:val="vnintext"/>
        <w:tabs>
          <w:tab w:val="clear" w:pos="709"/>
          <w:tab w:val="left" w:pos="1245"/>
        </w:tabs>
        <w:spacing w:before="60"/>
        <w:ind w:left="360" w:firstLine="0"/>
        <w:rPr>
          <w:rFonts w:ascii="Arial" w:hAnsi="Arial" w:cs="Arial"/>
          <w:sz w:val="22"/>
          <w:szCs w:val="22"/>
        </w:rPr>
      </w:pPr>
    </w:p>
    <w:p w:rsidR="007F5D87" w:rsidRDefault="007F5D87" w:rsidP="007F5D87">
      <w:pPr>
        <w:pStyle w:val="vnintext"/>
        <w:tabs>
          <w:tab w:val="clear" w:pos="709"/>
          <w:tab w:val="left" w:pos="1245"/>
        </w:tabs>
        <w:spacing w:before="60"/>
        <w:ind w:left="360" w:firstLine="0"/>
        <w:rPr>
          <w:rFonts w:ascii="Arial" w:hAnsi="Arial" w:cs="Arial"/>
          <w:sz w:val="22"/>
          <w:szCs w:val="22"/>
        </w:rPr>
      </w:pPr>
    </w:p>
    <w:p w:rsidR="007F5D87" w:rsidRDefault="007F5D87" w:rsidP="0044126E">
      <w:pPr>
        <w:pStyle w:val="vnintext"/>
        <w:tabs>
          <w:tab w:val="clear" w:pos="709"/>
          <w:tab w:val="left" w:pos="1245"/>
        </w:tabs>
        <w:spacing w:before="6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7F5D87" w:rsidRPr="005644AA" w:rsidRDefault="007F5D87" w:rsidP="0044126E">
      <w:pPr>
        <w:pStyle w:val="vnintext"/>
        <w:tabs>
          <w:tab w:val="clear" w:pos="709"/>
          <w:tab w:val="left" w:pos="1245"/>
        </w:tabs>
        <w:spacing w:before="60"/>
        <w:ind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pronajímatel</w:t>
      </w:r>
    </w:p>
    <w:sectPr w:rsidR="007F5D87" w:rsidRPr="005644AA" w:rsidSect="00EB04BB">
      <w:footnotePr>
        <w:pos w:val="beneathText"/>
      </w:footnotePr>
      <w:pgSz w:w="11905" w:h="16837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AD" w:rsidRDefault="00AC66AD" w:rsidP="00016AD4">
      <w:r>
        <w:separator/>
      </w:r>
    </w:p>
  </w:endnote>
  <w:endnote w:type="continuationSeparator" w:id="0">
    <w:p w:rsidR="00AC66AD" w:rsidRDefault="00AC66AD" w:rsidP="000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AD" w:rsidRDefault="00AC66AD" w:rsidP="00016AD4">
      <w:r>
        <w:separator/>
      </w:r>
    </w:p>
  </w:footnote>
  <w:footnote w:type="continuationSeparator" w:id="0">
    <w:p w:rsidR="00AC66AD" w:rsidRDefault="00AC66AD" w:rsidP="0001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0DEA5C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CC4402B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8">
    <w:nsid w:val="00000009"/>
    <w:multiLevelType w:val="multilevel"/>
    <w:tmpl w:val="5776E3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CA6625"/>
    <w:multiLevelType w:val="hybridMultilevel"/>
    <w:tmpl w:val="1428C9E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0A7152"/>
    <w:multiLevelType w:val="hybridMultilevel"/>
    <w:tmpl w:val="3C18D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FE30E1"/>
    <w:multiLevelType w:val="hybridMultilevel"/>
    <w:tmpl w:val="EB4EC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7374D"/>
    <w:multiLevelType w:val="hybridMultilevel"/>
    <w:tmpl w:val="A462C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947C0E"/>
    <w:multiLevelType w:val="hybridMultilevel"/>
    <w:tmpl w:val="15F6CD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E87377"/>
    <w:multiLevelType w:val="hybridMultilevel"/>
    <w:tmpl w:val="F0F6B1E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15B96"/>
    <w:multiLevelType w:val="hybridMultilevel"/>
    <w:tmpl w:val="34B2E374"/>
    <w:lvl w:ilvl="0" w:tplc="FFF2A504">
      <w:start w:val="2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1F6B11B9"/>
    <w:multiLevelType w:val="hybridMultilevel"/>
    <w:tmpl w:val="4E4AE5CA"/>
    <w:lvl w:ilvl="0" w:tplc="23A499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7A18C2"/>
    <w:multiLevelType w:val="hybridMultilevel"/>
    <w:tmpl w:val="FAA645D4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65831"/>
    <w:multiLevelType w:val="hybridMultilevel"/>
    <w:tmpl w:val="D0A28FAC"/>
    <w:lvl w:ilvl="0" w:tplc="80E2BB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C6A129F"/>
    <w:multiLevelType w:val="hybridMultilevel"/>
    <w:tmpl w:val="1E1A4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E40E4"/>
    <w:multiLevelType w:val="hybridMultilevel"/>
    <w:tmpl w:val="982AE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F19F2"/>
    <w:multiLevelType w:val="hybridMultilevel"/>
    <w:tmpl w:val="3942ED2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B28E9"/>
    <w:multiLevelType w:val="hybridMultilevel"/>
    <w:tmpl w:val="8618EAF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E190B"/>
    <w:multiLevelType w:val="hybridMultilevel"/>
    <w:tmpl w:val="E1EE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46884"/>
    <w:multiLevelType w:val="hybridMultilevel"/>
    <w:tmpl w:val="9606105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216571B"/>
    <w:multiLevelType w:val="hybridMultilevel"/>
    <w:tmpl w:val="89E23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6562C"/>
    <w:multiLevelType w:val="hybridMultilevel"/>
    <w:tmpl w:val="EF32D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84AF0"/>
    <w:multiLevelType w:val="hybridMultilevel"/>
    <w:tmpl w:val="79D44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03A33"/>
    <w:multiLevelType w:val="hybridMultilevel"/>
    <w:tmpl w:val="1DCC5C44"/>
    <w:lvl w:ilvl="0" w:tplc="605076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F7334"/>
    <w:multiLevelType w:val="hybridMultilevel"/>
    <w:tmpl w:val="7AD6D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551B2"/>
    <w:multiLevelType w:val="hybridMultilevel"/>
    <w:tmpl w:val="9FDA1DB6"/>
    <w:lvl w:ilvl="0" w:tplc="7F94ED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A6390"/>
    <w:multiLevelType w:val="hybridMultilevel"/>
    <w:tmpl w:val="C2664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14B90"/>
    <w:multiLevelType w:val="hybridMultilevel"/>
    <w:tmpl w:val="3C840178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34"/>
  </w:num>
  <w:num w:numId="15">
    <w:abstractNumId w:val="29"/>
  </w:num>
  <w:num w:numId="16">
    <w:abstractNumId w:val="22"/>
  </w:num>
  <w:num w:numId="17">
    <w:abstractNumId w:val="13"/>
  </w:num>
  <w:num w:numId="18">
    <w:abstractNumId w:val="14"/>
  </w:num>
  <w:num w:numId="19">
    <w:abstractNumId w:val="26"/>
  </w:num>
  <w:num w:numId="20">
    <w:abstractNumId w:val="15"/>
  </w:num>
  <w:num w:numId="21">
    <w:abstractNumId w:val="16"/>
  </w:num>
  <w:num w:numId="22">
    <w:abstractNumId w:val="19"/>
  </w:num>
  <w:num w:numId="23">
    <w:abstractNumId w:val="25"/>
  </w:num>
  <w:num w:numId="24">
    <w:abstractNumId w:val="21"/>
  </w:num>
  <w:num w:numId="25">
    <w:abstractNumId w:val="17"/>
  </w:num>
  <w:num w:numId="26">
    <w:abstractNumId w:val="24"/>
  </w:num>
  <w:num w:numId="27">
    <w:abstractNumId w:val="20"/>
  </w:num>
  <w:num w:numId="28">
    <w:abstractNumId w:val="35"/>
  </w:num>
  <w:num w:numId="29">
    <w:abstractNumId w:val="12"/>
  </w:num>
  <w:num w:numId="30">
    <w:abstractNumId w:val="27"/>
  </w:num>
  <w:num w:numId="31">
    <w:abstractNumId w:val="32"/>
  </w:num>
  <w:num w:numId="32">
    <w:abstractNumId w:val="33"/>
  </w:num>
  <w:num w:numId="33">
    <w:abstractNumId w:val="31"/>
  </w:num>
  <w:num w:numId="34">
    <w:abstractNumId w:val="28"/>
  </w:num>
  <w:num w:numId="35">
    <w:abstractNumId w:val="1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A2"/>
    <w:rsid w:val="00000061"/>
    <w:rsid w:val="00004C2A"/>
    <w:rsid w:val="00016AD4"/>
    <w:rsid w:val="000207FA"/>
    <w:rsid w:val="000208DF"/>
    <w:rsid w:val="000215CF"/>
    <w:rsid w:val="0002293D"/>
    <w:rsid w:val="0004038A"/>
    <w:rsid w:val="000441E2"/>
    <w:rsid w:val="000475C2"/>
    <w:rsid w:val="000530D4"/>
    <w:rsid w:val="0005486B"/>
    <w:rsid w:val="00054E7C"/>
    <w:rsid w:val="000613C0"/>
    <w:rsid w:val="00076F97"/>
    <w:rsid w:val="00081D6B"/>
    <w:rsid w:val="00086A4E"/>
    <w:rsid w:val="00087D3E"/>
    <w:rsid w:val="00097F8E"/>
    <w:rsid w:val="000B15BA"/>
    <w:rsid w:val="000B2291"/>
    <w:rsid w:val="000C626F"/>
    <w:rsid w:val="000E1293"/>
    <w:rsid w:val="000F59FB"/>
    <w:rsid w:val="0010238E"/>
    <w:rsid w:val="00102CB6"/>
    <w:rsid w:val="001052BD"/>
    <w:rsid w:val="00106DDC"/>
    <w:rsid w:val="00110AD0"/>
    <w:rsid w:val="00115415"/>
    <w:rsid w:val="00121FFC"/>
    <w:rsid w:val="0014004E"/>
    <w:rsid w:val="00144D74"/>
    <w:rsid w:val="00173B85"/>
    <w:rsid w:val="00174230"/>
    <w:rsid w:val="00174E88"/>
    <w:rsid w:val="00176C06"/>
    <w:rsid w:val="001A68C4"/>
    <w:rsid w:val="001A7E45"/>
    <w:rsid w:val="001B10D9"/>
    <w:rsid w:val="001B7A8F"/>
    <w:rsid w:val="001C4375"/>
    <w:rsid w:val="001D0289"/>
    <w:rsid w:val="001E0CD4"/>
    <w:rsid w:val="001E382E"/>
    <w:rsid w:val="001E3FDE"/>
    <w:rsid w:val="001E611E"/>
    <w:rsid w:val="001F7856"/>
    <w:rsid w:val="002207C9"/>
    <w:rsid w:val="00225C3C"/>
    <w:rsid w:val="0022676F"/>
    <w:rsid w:val="00227401"/>
    <w:rsid w:val="00233DFA"/>
    <w:rsid w:val="0024387E"/>
    <w:rsid w:val="00243F60"/>
    <w:rsid w:val="00245A02"/>
    <w:rsid w:val="00272451"/>
    <w:rsid w:val="002768BD"/>
    <w:rsid w:val="00283AD6"/>
    <w:rsid w:val="002876C0"/>
    <w:rsid w:val="00297104"/>
    <w:rsid w:val="002A70EF"/>
    <w:rsid w:val="002B0D3B"/>
    <w:rsid w:val="002B4A7F"/>
    <w:rsid w:val="002C36B7"/>
    <w:rsid w:val="002D2F27"/>
    <w:rsid w:val="002D3270"/>
    <w:rsid w:val="002D435F"/>
    <w:rsid w:val="002E6379"/>
    <w:rsid w:val="002F2386"/>
    <w:rsid w:val="002F75AD"/>
    <w:rsid w:val="00307014"/>
    <w:rsid w:val="00307CE4"/>
    <w:rsid w:val="00307E28"/>
    <w:rsid w:val="00313C3E"/>
    <w:rsid w:val="00316C8D"/>
    <w:rsid w:val="00341606"/>
    <w:rsid w:val="0035684C"/>
    <w:rsid w:val="00363074"/>
    <w:rsid w:val="00381669"/>
    <w:rsid w:val="0038263E"/>
    <w:rsid w:val="0039182E"/>
    <w:rsid w:val="003945CF"/>
    <w:rsid w:val="00394B85"/>
    <w:rsid w:val="003A7AB2"/>
    <w:rsid w:val="003B54C4"/>
    <w:rsid w:val="003C3E93"/>
    <w:rsid w:val="003D3AB4"/>
    <w:rsid w:val="003F514B"/>
    <w:rsid w:val="004011A7"/>
    <w:rsid w:val="004156E8"/>
    <w:rsid w:val="0041592D"/>
    <w:rsid w:val="00416BCA"/>
    <w:rsid w:val="004208E3"/>
    <w:rsid w:val="00425883"/>
    <w:rsid w:val="00431EA0"/>
    <w:rsid w:val="0044126E"/>
    <w:rsid w:val="004607A5"/>
    <w:rsid w:val="004915BC"/>
    <w:rsid w:val="0049212E"/>
    <w:rsid w:val="0049244C"/>
    <w:rsid w:val="0049347B"/>
    <w:rsid w:val="00493DE7"/>
    <w:rsid w:val="004A08D3"/>
    <w:rsid w:val="004B046A"/>
    <w:rsid w:val="004B04CC"/>
    <w:rsid w:val="004B1B9D"/>
    <w:rsid w:val="004B5834"/>
    <w:rsid w:val="004B6C10"/>
    <w:rsid w:val="004C45A5"/>
    <w:rsid w:val="004D63F2"/>
    <w:rsid w:val="004D7736"/>
    <w:rsid w:val="004E5950"/>
    <w:rsid w:val="004E5E0C"/>
    <w:rsid w:val="004E783E"/>
    <w:rsid w:val="004F42A3"/>
    <w:rsid w:val="0050055D"/>
    <w:rsid w:val="005030C5"/>
    <w:rsid w:val="005048A2"/>
    <w:rsid w:val="005052CB"/>
    <w:rsid w:val="00510763"/>
    <w:rsid w:val="00530EBA"/>
    <w:rsid w:val="00535CAE"/>
    <w:rsid w:val="0056699D"/>
    <w:rsid w:val="005676E5"/>
    <w:rsid w:val="005710CE"/>
    <w:rsid w:val="00577316"/>
    <w:rsid w:val="005847AE"/>
    <w:rsid w:val="00584A71"/>
    <w:rsid w:val="0059384F"/>
    <w:rsid w:val="005A3D76"/>
    <w:rsid w:val="005B0C81"/>
    <w:rsid w:val="005B2B8E"/>
    <w:rsid w:val="005B31E0"/>
    <w:rsid w:val="005C03AA"/>
    <w:rsid w:val="005D2738"/>
    <w:rsid w:val="005D5333"/>
    <w:rsid w:val="005D70C7"/>
    <w:rsid w:val="005E44A3"/>
    <w:rsid w:val="005E4952"/>
    <w:rsid w:val="005E5E9D"/>
    <w:rsid w:val="005E6BCD"/>
    <w:rsid w:val="005F4227"/>
    <w:rsid w:val="00606E25"/>
    <w:rsid w:val="006214B9"/>
    <w:rsid w:val="00623B28"/>
    <w:rsid w:val="00623D19"/>
    <w:rsid w:val="006343F7"/>
    <w:rsid w:val="00636364"/>
    <w:rsid w:val="00641F30"/>
    <w:rsid w:val="00644FA2"/>
    <w:rsid w:val="00646E7E"/>
    <w:rsid w:val="006539EA"/>
    <w:rsid w:val="0066622D"/>
    <w:rsid w:val="00675276"/>
    <w:rsid w:val="0068186F"/>
    <w:rsid w:val="00684DC2"/>
    <w:rsid w:val="00686AB2"/>
    <w:rsid w:val="0069649D"/>
    <w:rsid w:val="006A368F"/>
    <w:rsid w:val="006A4643"/>
    <w:rsid w:val="006A714E"/>
    <w:rsid w:val="006A79B3"/>
    <w:rsid w:val="006B43B2"/>
    <w:rsid w:val="006B4DB6"/>
    <w:rsid w:val="006B5F85"/>
    <w:rsid w:val="006B718C"/>
    <w:rsid w:val="006C3179"/>
    <w:rsid w:val="006C5EA2"/>
    <w:rsid w:val="006D2BBD"/>
    <w:rsid w:val="006E61CC"/>
    <w:rsid w:val="006E6B02"/>
    <w:rsid w:val="006F5882"/>
    <w:rsid w:val="006F768B"/>
    <w:rsid w:val="00715FB8"/>
    <w:rsid w:val="00732131"/>
    <w:rsid w:val="00733533"/>
    <w:rsid w:val="0073438A"/>
    <w:rsid w:val="00735C09"/>
    <w:rsid w:val="00747995"/>
    <w:rsid w:val="00754F60"/>
    <w:rsid w:val="0076354A"/>
    <w:rsid w:val="007640F4"/>
    <w:rsid w:val="0076523E"/>
    <w:rsid w:val="007773EF"/>
    <w:rsid w:val="00782AC5"/>
    <w:rsid w:val="00784400"/>
    <w:rsid w:val="007A12B6"/>
    <w:rsid w:val="007B0B86"/>
    <w:rsid w:val="007E65A9"/>
    <w:rsid w:val="007F2694"/>
    <w:rsid w:val="007F2ED3"/>
    <w:rsid w:val="007F4D8B"/>
    <w:rsid w:val="007F5D87"/>
    <w:rsid w:val="00803288"/>
    <w:rsid w:val="00830408"/>
    <w:rsid w:val="00834676"/>
    <w:rsid w:val="0084794E"/>
    <w:rsid w:val="008564A0"/>
    <w:rsid w:val="0086306C"/>
    <w:rsid w:val="00863583"/>
    <w:rsid w:val="00876202"/>
    <w:rsid w:val="00881158"/>
    <w:rsid w:val="008831A3"/>
    <w:rsid w:val="008934D6"/>
    <w:rsid w:val="008A1FEC"/>
    <w:rsid w:val="008A5936"/>
    <w:rsid w:val="008C4197"/>
    <w:rsid w:val="008D1857"/>
    <w:rsid w:val="008D4418"/>
    <w:rsid w:val="008D5C48"/>
    <w:rsid w:val="008E35D6"/>
    <w:rsid w:val="008F09EE"/>
    <w:rsid w:val="00902F5A"/>
    <w:rsid w:val="00904E8D"/>
    <w:rsid w:val="00905240"/>
    <w:rsid w:val="009062A0"/>
    <w:rsid w:val="009072F0"/>
    <w:rsid w:val="00912275"/>
    <w:rsid w:val="009254F9"/>
    <w:rsid w:val="009433A8"/>
    <w:rsid w:val="00954530"/>
    <w:rsid w:val="00956A3B"/>
    <w:rsid w:val="00964620"/>
    <w:rsid w:val="00971808"/>
    <w:rsid w:val="0098728F"/>
    <w:rsid w:val="00991639"/>
    <w:rsid w:val="00994D85"/>
    <w:rsid w:val="0099623D"/>
    <w:rsid w:val="009B4CF6"/>
    <w:rsid w:val="009B569E"/>
    <w:rsid w:val="00A0452B"/>
    <w:rsid w:val="00A07E53"/>
    <w:rsid w:val="00A10406"/>
    <w:rsid w:val="00A16D9C"/>
    <w:rsid w:val="00A17DBB"/>
    <w:rsid w:val="00A36F25"/>
    <w:rsid w:val="00A540FB"/>
    <w:rsid w:val="00A6327A"/>
    <w:rsid w:val="00A91783"/>
    <w:rsid w:val="00A967EC"/>
    <w:rsid w:val="00AA2F96"/>
    <w:rsid w:val="00AB6DC2"/>
    <w:rsid w:val="00AC1A4F"/>
    <w:rsid w:val="00AC66AD"/>
    <w:rsid w:val="00AD62E1"/>
    <w:rsid w:val="00AE445E"/>
    <w:rsid w:val="00AF3DB5"/>
    <w:rsid w:val="00B113BE"/>
    <w:rsid w:val="00B2358F"/>
    <w:rsid w:val="00B43B27"/>
    <w:rsid w:val="00B5592C"/>
    <w:rsid w:val="00B648BE"/>
    <w:rsid w:val="00B724D5"/>
    <w:rsid w:val="00B860BD"/>
    <w:rsid w:val="00B86CD6"/>
    <w:rsid w:val="00B93F1E"/>
    <w:rsid w:val="00B93F6F"/>
    <w:rsid w:val="00B97C3D"/>
    <w:rsid w:val="00BA5295"/>
    <w:rsid w:val="00BB1052"/>
    <w:rsid w:val="00BB5DAB"/>
    <w:rsid w:val="00BD0C7D"/>
    <w:rsid w:val="00BF507C"/>
    <w:rsid w:val="00BF6249"/>
    <w:rsid w:val="00C13C96"/>
    <w:rsid w:val="00C23929"/>
    <w:rsid w:val="00C30CA3"/>
    <w:rsid w:val="00C43656"/>
    <w:rsid w:val="00C43B97"/>
    <w:rsid w:val="00C47FE3"/>
    <w:rsid w:val="00C862F0"/>
    <w:rsid w:val="00C86918"/>
    <w:rsid w:val="00C93408"/>
    <w:rsid w:val="00CA4AFC"/>
    <w:rsid w:val="00CA61A2"/>
    <w:rsid w:val="00CA634A"/>
    <w:rsid w:val="00CC328E"/>
    <w:rsid w:val="00CC4045"/>
    <w:rsid w:val="00CC6AB9"/>
    <w:rsid w:val="00CD18DA"/>
    <w:rsid w:val="00CD3E70"/>
    <w:rsid w:val="00CD5C33"/>
    <w:rsid w:val="00D06566"/>
    <w:rsid w:val="00D07EA2"/>
    <w:rsid w:val="00D13F64"/>
    <w:rsid w:val="00D209FC"/>
    <w:rsid w:val="00D23A4D"/>
    <w:rsid w:val="00D25EE6"/>
    <w:rsid w:val="00D4461C"/>
    <w:rsid w:val="00D67A51"/>
    <w:rsid w:val="00D707F3"/>
    <w:rsid w:val="00D72B3F"/>
    <w:rsid w:val="00D75EBC"/>
    <w:rsid w:val="00D77F89"/>
    <w:rsid w:val="00D8376A"/>
    <w:rsid w:val="00D84F27"/>
    <w:rsid w:val="00D9241C"/>
    <w:rsid w:val="00D97E7D"/>
    <w:rsid w:val="00DA69FC"/>
    <w:rsid w:val="00DB3531"/>
    <w:rsid w:val="00DD3E6B"/>
    <w:rsid w:val="00DD6A40"/>
    <w:rsid w:val="00DE4027"/>
    <w:rsid w:val="00DE50DB"/>
    <w:rsid w:val="00DF147D"/>
    <w:rsid w:val="00DF3EC6"/>
    <w:rsid w:val="00E01BEA"/>
    <w:rsid w:val="00E01D73"/>
    <w:rsid w:val="00E02402"/>
    <w:rsid w:val="00E162FD"/>
    <w:rsid w:val="00E360E6"/>
    <w:rsid w:val="00E5145A"/>
    <w:rsid w:val="00E7037E"/>
    <w:rsid w:val="00E771F4"/>
    <w:rsid w:val="00E810DD"/>
    <w:rsid w:val="00E81631"/>
    <w:rsid w:val="00E9167C"/>
    <w:rsid w:val="00E941A2"/>
    <w:rsid w:val="00EA61F2"/>
    <w:rsid w:val="00EA68AF"/>
    <w:rsid w:val="00EB04BB"/>
    <w:rsid w:val="00EC3997"/>
    <w:rsid w:val="00EC5AD4"/>
    <w:rsid w:val="00EE139A"/>
    <w:rsid w:val="00EE4D26"/>
    <w:rsid w:val="00EE55D3"/>
    <w:rsid w:val="00EE6E85"/>
    <w:rsid w:val="00EE7BAD"/>
    <w:rsid w:val="00EF2EC4"/>
    <w:rsid w:val="00F01A37"/>
    <w:rsid w:val="00F307CF"/>
    <w:rsid w:val="00F35EDE"/>
    <w:rsid w:val="00F56E48"/>
    <w:rsid w:val="00F75CF1"/>
    <w:rsid w:val="00F83520"/>
    <w:rsid w:val="00F861A6"/>
    <w:rsid w:val="00F900B9"/>
    <w:rsid w:val="00F94595"/>
    <w:rsid w:val="00FA0FF6"/>
    <w:rsid w:val="00FB2761"/>
    <w:rsid w:val="00FC6593"/>
    <w:rsid w:val="00FE735B"/>
    <w:rsid w:val="00FF1F59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82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382E"/>
    <w:rPr>
      <w:rFonts w:ascii="Wingdings" w:hAnsi="Wingdings"/>
    </w:rPr>
  </w:style>
  <w:style w:type="character" w:customStyle="1" w:styleId="WW8Num6z0">
    <w:name w:val="WW8Num6z0"/>
    <w:rsid w:val="001E382E"/>
    <w:rPr>
      <w:rFonts w:ascii="Arial" w:hAnsi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1E382E"/>
  </w:style>
  <w:style w:type="character" w:customStyle="1" w:styleId="WW-Absatz-Standardschriftart">
    <w:name w:val="WW-Absatz-Standardschriftart"/>
    <w:rsid w:val="001E382E"/>
  </w:style>
  <w:style w:type="character" w:customStyle="1" w:styleId="WW-Absatz-Standardschriftart1">
    <w:name w:val="WW-Absatz-Standardschriftart1"/>
    <w:rsid w:val="001E382E"/>
  </w:style>
  <w:style w:type="character" w:customStyle="1" w:styleId="WW8Num8z0">
    <w:name w:val="WW8Num8z0"/>
    <w:rsid w:val="001E382E"/>
    <w:rPr>
      <w:rFonts w:ascii="Arial" w:hAnsi="Arial"/>
      <w:b w:val="0"/>
      <w:i w:val="0"/>
      <w:sz w:val="22"/>
      <w:szCs w:val="22"/>
    </w:rPr>
  </w:style>
  <w:style w:type="character" w:customStyle="1" w:styleId="WW-Absatz-Standardschriftart11">
    <w:name w:val="WW-Absatz-Standardschriftart11"/>
    <w:rsid w:val="001E382E"/>
  </w:style>
  <w:style w:type="character" w:customStyle="1" w:styleId="WW-Absatz-Standardschriftart111">
    <w:name w:val="WW-Absatz-Standardschriftart111"/>
    <w:rsid w:val="001E382E"/>
  </w:style>
  <w:style w:type="character" w:customStyle="1" w:styleId="WW-Absatz-Standardschriftart1111">
    <w:name w:val="WW-Absatz-Standardschriftart1111"/>
    <w:rsid w:val="001E382E"/>
  </w:style>
  <w:style w:type="character" w:customStyle="1" w:styleId="WW-Absatz-Standardschriftart11111">
    <w:name w:val="WW-Absatz-Standardschriftart11111"/>
    <w:rsid w:val="001E382E"/>
  </w:style>
  <w:style w:type="character" w:customStyle="1" w:styleId="Symbolyproslovn">
    <w:name w:val="Symboly pro číslování"/>
    <w:rsid w:val="001E382E"/>
  </w:style>
  <w:style w:type="character" w:customStyle="1" w:styleId="WW8Num7z0">
    <w:name w:val="WW8Num7z0"/>
    <w:rsid w:val="001E382E"/>
    <w:rPr>
      <w:rFonts w:ascii="Arial" w:hAnsi="Arial"/>
      <w:b w:val="0"/>
      <w:i w:val="0"/>
      <w:sz w:val="22"/>
      <w:szCs w:val="22"/>
    </w:rPr>
  </w:style>
  <w:style w:type="paragraph" w:customStyle="1" w:styleId="Nadpis">
    <w:name w:val="Nadpis"/>
    <w:basedOn w:val="Normln"/>
    <w:next w:val="Zkladntext"/>
    <w:rsid w:val="001E38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1E382E"/>
    <w:pPr>
      <w:spacing w:after="120"/>
    </w:pPr>
  </w:style>
  <w:style w:type="paragraph" w:styleId="Seznam">
    <w:name w:val="List"/>
    <w:basedOn w:val="Zkladntext"/>
    <w:semiHidden/>
    <w:rsid w:val="001E382E"/>
    <w:rPr>
      <w:rFonts w:cs="Tahoma"/>
    </w:rPr>
  </w:style>
  <w:style w:type="paragraph" w:customStyle="1" w:styleId="Popisek">
    <w:name w:val="Popisek"/>
    <w:basedOn w:val="Normln"/>
    <w:rsid w:val="001E382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382E"/>
    <w:pPr>
      <w:suppressLineNumbers/>
    </w:pPr>
    <w:rPr>
      <w:rFonts w:cs="Tahoma"/>
    </w:rPr>
  </w:style>
  <w:style w:type="paragraph" w:customStyle="1" w:styleId="obec">
    <w:name w:val="obec"/>
    <w:basedOn w:val="Normln"/>
    <w:rsid w:val="001E382E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adresa">
    <w:name w:val="adresa"/>
    <w:basedOn w:val="Normln"/>
    <w:rsid w:val="001E382E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1E382E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1E382E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Zkladntext31">
    <w:name w:val="Základní text 31"/>
    <w:basedOn w:val="Normln"/>
    <w:rsid w:val="001E382E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1E382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382E"/>
    <w:pPr>
      <w:suppressLineNumbers/>
    </w:pPr>
  </w:style>
  <w:style w:type="paragraph" w:customStyle="1" w:styleId="Nadpistabulky">
    <w:name w:val="Nadpis tabulky"/>
    <w:basedOn w:val="Obsahtabulky"/>
    <w:rsid w:val="001E382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D8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4D8B"/>
    <w:rPr>
      <w:rFonts w:ascii="Tahoma" w:eastAsia="Arial Unicode MS" w:hAnsi="Tahoma" w:cs="Tahoma"/>
      <w:kern w:val="1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16A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6AD4"/>
    <w:rPr>
      <w:rFonts w:eastAsia="Arial Unicode MS"/>
      <w:kern w:val="1"/>
      <w:sz w:val="24"/>
      <w:szCs w:val="24"/>
    </w:rPr>
  </w:style>
  <w:style w:type="character" w:styleId="Siln">
    <w:name w:val="Strong"/>
    <w:basedOn w:val="Standardnpsmoodstavce"/>
    <w:uiPriority w:val="22"/>
    <w:qFormat/>
    <w:rsid w:val="00994D85"/>
    <w:rPr>
      <w:b/>
      <w:bCs/>
    </w:rPr>
  </w:style>
  <w:style w:type="character" w:customStyle="1" w:styleId="spiszn">
    <w:name w:val="spiszn"/>
    <w:basedOn w:val="Standardnpsmoodstavce"/>
    <w:rsid w:val="00994D85"/>
  </w:style>
  <w:style w:type="paragraph" w:styleId="Odstavecseseznamem">
    <w:name w:val="List Paragraph"/>
    <w:basedOn w:val="Normln"/>
    <w:uiPriority w:val="34"/>
    <w:qFormat/>
    <w:rsid w:val="00634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6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D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DC2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DC2"/>
    <w:rPr>
      <w:rFonts w:eastAsia="Arial Unicode MS"/>
      <w:b/>
      <w:bCs/>
      <w:kern w:val="1"/>
    </w:rPr>
  </w:style>
  <w:style w:type="character" w:customStyle="1" w:styleId="ZhlavChar">
    <w:name w:val="Záhlaví Char"/>
    <w:basedOn w:val="Standardnpsmoodstavce"/>
    <w:link w:val="Zhlav"/>
    <w:locked/>
    <w:rsid w:val="002876C0"/>
    <w:rPr>
      <w:rFonts w:eastAsia="Arial Unicode MS"/>
      <w:kern w:val="1"/>
      <w:sz w:val="24"/>
      <w:szCs w:val="24"/>
    </w:rPr>
  </w:style>
  <w:style w:type="character" w:styleId="Hypertextovodkaz">
    <w:name w:val="Hyperlink"/>
    <w:basedOn w:val="Standardnpsmoodstavce"/>
    <w:rsid w:val="0006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82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382E"/>
    <w:rPr>
      <w:rFonts w:ascii="Wingdings" w:hAnsi="Wingdings"/>
    </w:rPr>
  </w:style>
  <w:style w:type="character" w:customStyle="1" w:styleId="WW8Num6z0">
    <w:name w:val="WW8Num6z0"/>
    <w:rsid w:val="001E382E"/>
    <w:rPr>
      <w:rFonts w:ascii="Arial" w:hAnsi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1E382E"/>
  </w:style>
  <w:style w:type="character" w:customStyle="1" w:styleId="WW-Absatz-Standardschriftart">
    <w:name w:val="WW-Absatz-Standardschriftart"/>
    <w:rsid w:val="001E382E"/>
  </w:style>
  <w:style w:type="character" w:customStyle="1" w:styleId="WW-Absatz-Standardschriftart1">
    <w:name w:val="WW-Absatz-Standardschriftart1"/>
    <w:rsid w:val="001E382E"/>
  </w:style>
  <w:style w:type="character" w:customStyle="1" w:styleId="WW8Num8z0">
    <w:name w:val="WW8Num8z0"/>
    <w:rsid w:val="001E382E"/>
    <w:rPr>
      <w:rFonts w:ascii="Arial" w:hAnsi="Arial"/>
      <w:b w:val="0"/>
      <w:i w:val="0"/>
      <w:sz w:val="22"/>
      <w:szCs w:val="22"/>
    </w:rPr>
  </w:style>
  <w:style w:type="character" w:customStyle="1" w:styleId="WW-Absatz-Standardschriftart11">
    <w:name w:val="WW-Absatz-Standardschriftart11"/>
    <w:rsid w:val="001E382E"/>
  </w:style>
  <w:style w:type="character" w:customStyle="1" w:styleId="WW-Absatz-Standardschriftart111">
    <w:name w:val="WW-Absatz-Standardschriftart111"/>
    <w:rsid w:val="001E382E"/>
  </w:style>
  <w:style w:type="character" w:customStyle="1" w:styleId="WW-Absatz-Standardschriftart1111">
    <w:name w:val="WW-Absatz-Standardschriftart1111"/>
    <w:rsid w:val="001E382E"/>
  </w:style>
  <w:style w:type="character" w:customStyle="1" w:styleId="WW-Absatz-Standardschriftart11111">
    <w:name w:val="WW-Absatz-Standardschriftart11111"/>
    <w:rsid w:val="001E382E"/>
  </w:style>
  <w:style w:type="character" w:customStyle="1" w:styleId="Symbolyproslovn">
    <w:name w:val="Symboly pro číslování"/>
    <w:rsid w:val="001E382E"/>
  </w:style>
  <w:style w:type="character" w:customStyle="1" w:styleId="WW8Num7z0">
    <w:name w:val="WW8Num7z0"/>
    <w:rsid w:val="001E382E"/>
    <w:rPr>
      <w:rFonts w:ascii="Arial" w:hAnsi="Arial"/>
      <w:b w:val="0"/>
      <w:i w:val="0"/>
      <w:sz w:val="22"/>
      <w:szCs w:val="22"/>
    </w:rPr>
  </w:style>
  <w:style w:type="paragraph" w:customStyle="1" w:styleId="Nadpis">
    <w:name w:val="Nadpis"/>
    <w:basedOn w:val="Normln"/>
    <w:next w:val="Zkladntext"/>
    <w:rsid w:val="001E38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1E382E"/>
    <w:pPr>
      <w:spacing w:after="120"/>
    </w:pPr>
  </w:style>
  <w:style w:type="paragraph" w:styleId="Seznam">
    <w:name w:val="List"/>
    <w:basedOn w:val="Zkladntext"/>
    <w:semiHidden/>
    <w:rsid w:val="001E382E"/>
    <w:rPr>
      <w:rFonts w:cs="Tahoma"/>
    </w:rPr>
  </w:style>
  <w:style w:type="paragraph" w:customStyle="1" w:styleId="Popisek">
    <w:name w:val="Popisek"/>
    <w:basedOn w:val="Normln"/>
    <w:rsid w:val="001E382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382E"/>
    <w:pPr>
      <w:suppressLineNumbers/>
    </w:pPr>
    <w:rPr>
      <w:rFonts w:cs="Tahoma"/>
    </w:rPr>
  </w:style>
  <w:style w:type="paragraph" w:customStyle="1" w:styleId="obec">
    <w:name w:val="obec"/>
    <w:basedOn w:val="Normln"/>
    <w:rsid w:val="001E382E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adresa">
    <w:name w:val="adresa"/>
    <w:basedOn w:val="Normln"/>
    <w:rsid w:val="001E382E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1E382E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1E382E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Zkladntext31">
    <w:name w:val="Základní text 31"/>
    <w:basedOn w:val="Normln"/>
    <w:rsid w:val="001E382E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1E382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382E"/>
    <w:pPr>
      <w:suppressLineNumbers/>
    </w:pPr>
  </w:style>
  <w:style w:type="paragraph" w:customStyle="1" w:styleId="Nadpistabulky">
    <w:name w:val="Nadpis tabulky"/>
    <w:basedOn w:val="Obsahtabulky"/>
    <w:rsid w:val="001E382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D8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4D8B"/>
    <w:rPr>
      <w:rFonts w:ascii="Tahoma" w:eastAsia="Arial Unicode MS" w:hAnsi="Tahoma" w:cs="Tahoma"/>
      <w:kern w:val="1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16A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6AD4"/>
    <w:rPr>
      <w:rFonts w:eastAsia="Arial Unicode MS"/>
      <w:kern w:val="1"/>
      <w:sz w:val="24"/>
      <w:szCs w:val="24"/>
    </w:rPr>
  </w:style>
  <w:style w:type="character" w:styleId="Siln">
    <w:name w:val="Strong"/>
    <w:basedOn w:val="Standardnpsmoodstavce"/>
    <w:uiPriority w:val="22"/>
    <w:qFormat/>
    <w:rsid w:val="00994D85"/>
    <w:rPr>
      <w:b/>
      <w:bCs/>
    </w:rPr>
  </w:style>
  <w:style w:type="character" w:customStyle="1" w:styleId="spiszn">
    <w:name w:val="spiszn"/>
    <w:basedOn w:val="Standardnpsmoodstavce"/>
    <w:rsid w:val="00994D85"/>
  </w:style>
  <w:style w:type="paragraph" w:styleId="Odstavecseseznamem">
    <w:name w:val="List Paragraph"/>
    <w:basedOn w:val="Normln"/>
    <w:uiPriority w:val="34"/>
    <w:qFormat/>
    <w:rsid w:val="00634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6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D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DC2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DC2"/>
    <w:rPr>
      <w:rFonts w:eastAsia="Arial Unicode MS"/>
      <w:b/>
      <w:bCs/>
      <w:kern w:val="1"/>
    </w:rPr>
  </w:style>
  <w:style w:type="character" w:customStyle="1" w:styleId="ZhlavChar">
    <w:name w:val="Záhlaví Char"/>
    <w:basedOn w:val="Standardnpsmoodstavce"/>
    <w:link w:val="Zhlav"/>
    <w:locked/>
    <w:rsid w:val="002876C0"/>
    <w:rPr>
      <w:rFonts w:eastAsia="Arial Unicode MS"/>
      <w:kern w:val="1"/>
      <w:sz w:val="24"/>
      <w:szCs w:val="24"/>
    </w:rPr>
  </w:style>
  <w:style w:type="character" w:styleId="Hypertextovodkaz">
    <w:name w:val="Hyperlink"/>
    <w:basedOn w:val="Standardnpsmoodstavce"/>
    <w:rsid w:val="0006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388">
              <w:marLeft w:val="199"/>
              <w:marRight w:val="199"/>
              <w:marTop w:val="199"/>
              <w:marBottom w:val="199"/>
              <w:divBdr>
                <w:top w:val="single" w:sz="12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030">
                  <w:marLeft w:val="199"/>
                  <w:marRight w:val="199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15">
              <w:marLeft w:val="172"/>
              <w:marRight w:val="172"/>
              <w:marTop w:val="172"/>
              <w:marBottom w:val="172"/>
              <w:divBdr>
                <w:top w:val="single" w:sz="8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79655">
                  <w:marLeft w:val="172"/>
                  <w:marRight w:val="172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480">
              <w:marLeft w:val="172"/>
              <w:marRight w:val="172"/>
              <w:marTop w:val="172"/>
              <w:marBottom w:val="172"/>
              <w:divBdr>
                <w:top w:val="single" w:sz="8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2976">
                  <w:marLeft w:val="172"/>
                  <w:marRight w:val="172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6698-32CD-4ACB-86BB-6C99BB6A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majetku města Jeseník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Pavlas</dc:creator>
  <cp:lastModifiedBy>Beierova</cp:lastModifiedBy>
  <cp:revision>3</cp:revision>
  <cp:lastPrinted>2016-11-08T08:21:00Z</cp:lastPrinted>
  <dcterms:created xsi:type="dcterms:W3CDTF">2016-12-19T07:53:00Z</dcterms:created>
  <dcterms:modified xsi:type="dcterms:W3CDTF">2016-12-19T07:55:00Z</dcterms:modified>
</cp:coreProperties>
</file>