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82190" w14:textId="77777777" w:rsidR="002B321A" w:rsidRPr="00D90274" w:rsidRDefault="002B321A" w:rsidP="002B321A">
      <w:pPr>
        <w:spacing w:before="240" w:after="240"/>
        <w:jc w:val="left"/>
      </w:pPr>
      <w:r>
        <w:rPr>
          <w:snapToGrid w:val="0"/>
          <w:sz w:val="36"/>
          <w:szCs w:val="36"/>
        </w:rPr>
        <w:t>Doplňkové podmínky a ujednání k online službám</w:t>
      </w:r>
    </w:p>
    <w:tbl>
      <w:tblPr>
        <w:tblW w:w="45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1890"/>
      </w:tblGrid>
      <w:tr w:rsidR="00BC0ECA" w:rsidRPr="00442965" w14:paraId="10828C8E" w14:textId="77777777" w:rsidTr="00F54746">
        <w:tc>
          <w:tcPr>
            <w:tcW w:w="2700" w:type="dxa"/>
            <w:tcBorders>
              <w:top w:val="nil"/>
              <w:left w:val="nil"/>
              <w:bottom w:val="nil"/>
              <w:right w:val="single" w:sz="12" w:space="0" w:color="000000"/>
            </w:tcBorders>
            <w:vAlign w:val="center"/>
          </w:tcPr>
          <w:p w14:paraId="2A02E06F" w14:textId="77777777" w:rsidR="00BC0ECA" w:rsidRPr="00442965" w:rsidRDefault="00BC0ECA" w:rsidP="00275739">
            <w:pPr>
              <w:spacing w:before="0"/>
              <w:jc w:val="right"/>
              <w:rPr>
                <w:snapToGrid w:val="0"/>
                <w:sz w:val="16"/>
                <w:szCs w:val="16"/>
              </w:rPr>
            </w:pPr>
            <w:r>
              <w:rPr>
                <w:snapToGrid w:val="0"/>
                <w:sz w:val="16"/>
                <w:szCs w:val="16"/>
              </w:rPr>
              <w:t>Číslo MBSA/MBA/smlouvy/prováděcí smlouvy</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B68DA11" w14:textId="39550B84" w:rsidR="00BC0ECA" w:rsidRPr="00442965" w:rsidRDefault="00AD5E7F" w:rsidP="00275739">
            <w:pPr>
              <w:spacing w:after="120"/>
              <w:jc w:val="center"/>
              <w:rPr>
                <w:snapToGrid w:val="0"/>
              </w:rPr>
            </w:pPr>
            <w:r>
              <w:rPr>
                <w:snapToGrid w:val="0"/>
              </w:rPr>
              <w:fldChar w:fldCharType="begin">
                <w:ffData>
                  <w:name w:val="Text1"/>
                  <w:enabled/>
                  <w:calcOnExit w:val="0"/>
                  <w:textInput/>
                </w:ffData>
              </w:fldChar>
            </w:r>
            <w:bookmarkStart w:id="0" w:name="Text1"/>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0"/>
          </w:p>
        </w:tc>
      </w:tr>
    </w:tbl>
    <w:p w14:paraId="7DE82191" w14:textId="77777777" w:rsidR="002B321A" w:rsidRPr="00D90274" w:rsidRDefault="002B321A" w:rsidP="002B321A">
      <w:pPr>
        <w:spacing w:before="0"/>
        <w:jc w:val="right"/>
      </w:pPr>
    </w:p>
    <w:p w14:paraId="0B154CD1" w14:textId="77777777" w:rsidR="00BC0ECA" w:rsidRPr="00442965" w:rsidRDefault="00BC0ECA" w:rsidP="002B321A">
      <w:pPr>
        <w:spacing w:before="0"/>
        <w:jc w:val="right"/>
        <w:rPr>
          <w:snapToGrid w:val="0"/>
          <w:sz w:val="16"/>
          <w:szCs w:val="16"/>
        </w:rPr>
        <w:sectPr w:rsidR="00BC0ECA" w:rsidRPr="00442965" w:rsidSect="00185089">
          <w:headerReference w:type="even" r:id="rId12"/>
          <w:headerReference w:type="default" r:id="rId13"/>
          <w:footerReference w:type="default" r:id="rId14"/>
          <w:headerReference w:type="first" r:id="rId15"/>
          <w:footerReference w:type="first" r:id="rId16"/>
          <w:pgSz w:w="11907" w:h="16839" w:code="9"/>
          <w:pgMar w:top="1440" w:right="1440" w:bottom="1440" w:left="1440" w:header="576" w:footer="432" w:gutter="0"/>
          <w:cols w:space="720"/>
          <w:titlePg/>
          <w:docGrid w:linePitch="360"/>
        </w:sect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029"/>
      </w:tblGrid>
      <w:tr w:rsidR="002B321A" w:rsidRPr="00442965" w14:paraId="7DE82197" w14:textId="77777777" w:rsidTr="008D20DB">
        <w:trPr>
          <w:jc w:val="center"/>
        </w:trPr>
        <w:tc>
          <w:tcPr>
            <w:tcW w:w="9243" w:type="dxa"/>
            <w:shd w:val="clear" w:color="auto" w:fill="C6D9F1"/>
          </w:tcPr>
          <w:p w14:paraId="7DE82196" w14:textId="77777777" w:rsidR="002B321A" w:rsidRPr="00442965" w:rsidRDefault="002B321A" w:rsidP="008D20DB">
            <w:pPr>
              <w:spacing w:after="120"/>
              <w:ind w:left="86" w:right="86"/>
              <w:jc w:val="center"/>
              <w:rPr>
                <w:b/>
                <w:bCs/>
                <w:snapToGrid w:val="0"/>
                <w:sz w:val="26"/>
                <w:szCs w:val="26"/>
              </w:rPr>
            </w:pPr>
            <w:r>
              <w:rPr>
                <w:b/>
                <w:bCs/>
                <w:snapToGrid w:val="0"/>
                <w:sz w:val="26"/>
                <w:szCs w:val="26"/>
              </w:rPr>
              <w:lastRenderedPageBreak/>
              <w:t>Tento formulář je platný jen tehdy, je-li připojen k podpisovému formuláři.</w:t>
            </w:r>
          </w:p>
        </w:tc>
      </w:tr>
    </w:tbl>
    <w:p w14:paraId="7DE82198" w14:textId="125A8C01" w:rsidR="002B321A" w:rsidRPr="00D90274" w:rsidRDefault="002B321A" w:rsidP="008C3E79">
      <w:pPr>
        <w:spacing w:before="360"/>
      </w:pPr>
      <w:r>
        <w:rPr>
          <w:snapToGrid w:val="0"/>
        </w:rPr>
        <w:t xml:space="preserve">Má-li zákazník </w:t>
      </w:r>
      <w:r>
        <w:rPr>
          <w:snapToGrid w:val="0"/>
        </w:rPr>
        <w:fldChar w:fldCharType="begin">
          <w:ffData>
            <w:name w:val="Dropdown1"/>
            <w:enabled/>
            <w:calcOnExit w:val="0"/>
            <w:ddList>
              <w:listEntry w:val="&lt;Vyberte jednu možnost&gt;"/>
              <w:listEntry w:val="smlouvu Campus a School Agreement"/>
              <w:listEntry w:val="hlavní smlouvu verze 2010 nebo starší"/>
              <w:listEntry w:val="smlouvu státního integrátora"/>
              <w:listEntry w:val="smlouvu Enterprise pro partnery státní správy"/>
            </w:ddList>
          </w:ffData>
        </w:fldChar>
      </w:r>
      <w:r w:rsidR="00BF78A6">
        <w:rPr>
          <w:snapToGrid w:val="0"/>
        </w:rPr>
        <w:instrText xml:space="preserve"> </w:instrText>
      </w:r>
      <w:bookmarkStart w:id="1" w:name="Dropdown1"/>
      <w:r w:rsidR="00BF78A6">
        <w:rPr>
          <w:snapToGrid w:val="0"/>
        </w:rPr>
        <w:instrText xml:space="preserve">FORMDROPDOWN </w:instrText>
      </w:r>
      <w:r>
        <w:rPr>
          <w:snapToGrid w:val="0"/>
        </w:rPr>
      </w:r>
      <w:r>
        <w:rPr>
          <w:snapToGrid w:val="0"/>
        </w:rPr>
        <w:fldChar w:fldCharType="end"/>
      </w:r>
      <w:bookmarkEnd w:id="1"/>
      <w:r>
        <w:rPr>
          <w:snapToGrid w:val="0"/>
        </w:rPr>
        <w:t xml:space="preserve"> („hlavní smlouva“) a zákazník, nebo jeho registrovaná afilace si přejí objednat služby online, tyto doplňkové podmínky a ujednání ke službám online („doplňkové podmínky“) aktualizují podmínky </w:t>
      </w:r>
      <w:r>
        <w:rPr>
          <w:snapToGrid w:val="0"/>
        </w:rPr>
        <w:fldChar w:fldCharType="begin">
          <w:ffData>
            <w:name w:val=""/>
            <w:enabled/>
            <w:calcOnExit w:val="0"/>
            <w:ddList>
              <w:listEntry w:val="&lt;Vyberte jednu možnost&gt;"/>
              <w:listEntry w:val="MBA &amp; MBSA"/>
              <w:listEntry w:val="Prováděcí smlouva Enterprise"/>
              <w:listEntry w:val="Enterprise Subscription Enrollment"/>
              <w:listEntry w:val="Enrollment for Application Platform"/>
              <w:listEntry w:val="Enrollment for Core Infrastructure"/>
              <w:listEntry w:val="Enrollment for Dedicated Online Services"/>
              <w:listEntry w:val="Enrollment for Industry Devices"/>
              <w:listEntry w:val="Enrollment for Education Solutions"/>
              <w:listEntry w:val="Prováděcí smlouva Campus Subscription Enrollment"/>
              <w:listEntry w:val="Prováděcí smlouva School Subscription Enrollment"/>
              <w:listEntry w:val="Smlouva Enterprise "/>
              <w:listEntry w:val="Smlouva státního integrátora"/>
              <w:listEntry w:val="Smlouva Enterprise pro partnery státní správy"/>
              <w:listEntry w:val="Prováděcí smlouva pro systém Windows Azure"/>
              <w:listEntry w:val="Prováděcí smlouva Server and Cloud Enrollment"/>
            </w:ddList>
          </w:ffData>
        </w:fldChar>
      </w:r>
      <w:r w:rsidR="00EB2EEE">
        <w:rPr>
          <w:snapToGrid w:val="0"/>
        </w:rPr>
        <w:instrText xml:space="preserve"> FORMDROPDOWN </w:instrText>
      </w:r>
      <w:r>
        <w:rPr>
          <w:snapToGrid w:val="0"/>
        </w:rPr>
      </w:r>
      <w:r>
        <w:rPr>
          <w:snapToGrid w:val="0"/>
        </w:rPr>
        <w:fldChar w:fldCharType="end"/>
      </w:r>
      <w:r>
        <w:rPr>
          <w:snapToGrid w:val="0"/>
        </w:rPr>
        <w:t xml:space="preserve"> („Smlouva“).</w:t>
      </w:r>
    </w:p>
    <w:p w14:paraId="7DE82199" w14:textId="77777777" w:rsidR="002B321A" w:rsidRPr="00D90274" w:rsidRDefault="002B321A" w:rsidP="002B321A">
      <w:pPr>
        <w:pStyle w:val="Heading1"/>
      </w:pPr>
      <w:r>
        <w:rPr>
          <w:rFonts w:cs="Arial"/>
          <w:snapToGrid w:val="0"/>
        </w:rPr>
        <w:t>1.</w:t>
      </w:r>
      <w:r>
        <w:rPr>
          <w:rFonts w:cs="Arial"/>
          <w:snapToGrid w:val="0"/>
        </w:rPr>
        <w:tab/>
        <w:t>Definice</w:t>
      </w:r>
    </w:p>
    <w:p w14:paraId="7DE8219A" w14:textId="101D545E" w:rsidR="002B321A" w:rsidRPr="00D90274" w:rsidRDefault="002B321A" w:rsidP="002B321A">
      <w:r>
        <w:rPr>
          <w:snapToGrid w:val="0"/>
        </w:rPr>
        <w:t>Veškeré termíny, které jsou v tomto dokumentu použity, ale nejsou zde definovány, mají významy, které jim byly přiřazeny ve smlouvě nebo v hlavní smlouvě.</w:t>
      </w:r>
      <w:r w:rsidR="009249C0">
        <w:rPr>
          <w:snapToGrid w:val="0"/>
        </w:rPr>
        <w:t xml:space="preserve"> </w:t>
      </w:r>
      <w:r>
        <w:rPr>
          <w:snapToGrid w:val="0"/>
        </w:rPr>
        <w:t>Následující definice nahrazují nebo doplňují odpovídající definice ve smlouvě:</w:t>
      </w:r>
    </w:p>
    <w:p w14:paraId="7DE8219B" w14:textId="2B41149D" w:rsidR="002B321A" w:rsidRPr="00D90274" w:rsidRDefault="002B321A" w:rsidP="002B321A">
      <w:r>
        <w:rPr>
          <w:snapToGrid w:val="0"/>
        </w:rPr>
        <w:t>„Data zákazníka“ označují všechna data včetně veškerých textových, zvukových, softwarových, obrázkových nebo video souborů poskytnutých společnosti Microsoft zákazníkem a jeho afilacemi, případně jejich jménem, během užívání služeb online.</w:t>
      </w:r>
    </w:p>
    <w:p w14:paraId="7DE8219C" w14:textId="56249E8E" w:rsidR="002B321A" w:rsidRPr="00D90274" w:rsidRDefault="002B321A" w:rsidP="002B321A">
      <w:r>
        <w:rPr>
          <w:snapToGrid w:val="0"/>
        </w:rPr>
        <w:t>„Služby online“ znamenají</w:t>
      </w:r>
      <w:bookmarkStart w:id="2" w:name="_GoBack"/>
      <w:bookmarkEnd w:id="2"/>
      <w:r>
        <w:rPr>
          <w:snapToGrid w:val="0"/>
        </w:rPr>
        <w:t xml:space="preserve"> služby, které společnost Microsoft poskytuje v hostitelském režimu a které jsou v seznamu produktů popsány jako služby online.</w:t>
      </w:r>
    </w:p>
    <w:p w14:paraId="7DE8219D" w14:textId="68B7EC96" w:rsidR="002B321A" w:rsidRPr="00D90274" w:rsidRDefault="002B321A" w:rsidP="002B321A">
      <w:r>
        <w:rPr>
          <w:snapToGrid w:val="0"/>
        </w:rPr>
        <w:t>„Produkty“ jsou jakékoli produkty jako software, služby online nebo jiné webové služby včetně předběžných a beta verzí, které jsou uvedeny v seznamu produktů.</w:t>
      </w:r>
    </w:p>
    <w:p w14:paraId="7DE8219E" w14:textId="682DFFE1" w:rsidR="002B321A" w:rsidRPr="00D90274" w:rsidRDefault="002B321A" w:rsidP="002B321A">
      <w:r>
        <w:rPr>
          <w:snapToGrid w:val="0"/>
        </w:rPr>
        <w:t>„Odborné služby“ znamenají veškerou podporu, poradenství a další služby a konzultace, včetně z toho vyplývajících výstupů poskytnutých zákazníkovi společností Microsoft.</w:t>
      </w:r>
      <w:r w:rsidR="009249C0">
        <w:rPr>
          <w:snapToGrid w:val="0"/>
        </w:rPr>
        <w:t xml:space="preserve"> </w:t>
      </w:r>
      <w:r>
        <w:rPr>
          <w:snapToGrid w:val="0"/>
        </w:rPr>
        <w:t>Odborné služby nezahrnují služby online.</w:t>
      </w:r>
    </w:p>
    <w:p w14:paraId="7DE8219F" w14:textId="2295ADB9" w:rsidR="002B321A" w:rsidRPr="00D90274" w:rsidRDefault="002B321A" w:rsidP="002B321A">
      <w:r>
        <w:rPr>
          <w:snapToGrid w:val="0"/>
        </w:rPr>
        <w:t xml:space="preserve">„Smlouva o úrovni služeb“ představuje dokument určující minimální úroveň služeb pro služby online. Smlouva o úrovni služeb je k dispozici na adrese </w:t>
      </w:r>
      <w:hyperlink r:id="rId17" w:history="1">
        <w:r>
          <w:rPr>
            <w:rStyle w:val="Hyperlink"/>
          </w:rPr>
          <w:t>http://www.microsoft.com/licensing/contracts</w:t>
        </w:r>
      </w:hyperlink>
      <w:r>
        <w:t xml:space="preserve"> nebo na nástupnickém webu.</w:t>
      </w:r>
    </w:p>
    <w:p w14:paraId="4B215236" w14:textId="07C4271A" w:rsidR="0073275A" w:rsidRPr="00D90274" w:rsidRDefault="0043547C" w:rsidP="002B321A">
      <w:r>
        <w:rPr>
          <w:snapToGrid w:val="0"/>
        </w:rPr>
        <w:t>„Doplňková smlouva“ označuje jakoukoli smlouvu, která začleňuje smlouvy Microsoft Business and Services Agreement nebo Microsoft Business Agreement podepsané zákazníkem a společností Microsoft.</w:t>
      </w:r>
    </w:p>
    <w:p w14:paraId="7DE821A0" w14:textId="77777777" w:rsidR="002B321A" w:rsidRPr="00D90274" w:rsidRDefault="002B321A" w:rsidP="002B321A">
      <w:pPr>
        <w:pStyle w:val="Heading1"/>
      </w:pPr>
      <w:r>
        <w:rPr>
          <w:rFonts w:cs="Arial"/>
          <w:snapToGrid w:val="0"/>
        </w:rPr>
        <w:t>2.</w:t>
      </w:r>
      <w:r>
        <w:rPr>
          <w:rFonts w:cs="Arial"/>
          <w:snapToGrid w:val="0"/>
        </w:rPr>
        <w:tab/>
        <w:t>Uplatnění doplňkových podmínek</w:t>
      </w:r>
    </w:p>
    <w:p w14:paraId="7DE821A1" w14:textId="164540A7" w:rsidR="002B321A" w:rsidRPr="00D90274" w:rsidRDefault="002B321A" w:rsidP="002B321A">
      <w:r>
        <w:rPr>
          <w:snapToGrid w:val="0"/>
        </w:rPr>
        <w:t>Tyto doplňkové podmínky se vztahují jen na nákup a užívání online služeb a odborných služeb zákazníkem.</w:t>
      </w:r>
      <w:r w:rsidR="009249C0">
        <w:rPr>
          <w:snapToGrid w:val="0"/>
        </w:rPr>
        <w:t xml:space="preserve"> </w:t>
      </w:r>
      <w:r>
        <w:rPr>
          <w:snapToGrid w:val="0"/>
        </w:rPr>
        <w:t>Na produkty, které nejsou online službami, se i nadále vztahují podmínky smlouvy a hlavní smlouvy a veškeré podmínky, na které tyto smlouvy odkazují.</w:t>
      </w:r>
      <w:r w:rsidR="009249C0">
        <w:rPr>
          <w:snapToGrid w:val="0"/>
        </w:rPr>
        <w:t xml:space="preserve"> </w:t>
      </w:r>
      <w:r>
        <w:rPr>
          <w:snapToGrid w:val="0"/>
        </w:rPr>
        <w:t>V případě jakéhokoli rozporu mezi těmito doplňkovými podmínkami a podmínkami a ujednáními smlouvy nebo hlavní smlouvy, který není příslušnými podmínkami výslovně vyřešen, platí tyto doplňkové podmínky.</w:t>
      </w:r>
    </w:p>
    <w:p w14:paraId="7DE821A2" w14:textId="77777777" w:rsidR="002B321A" w:rsidRPr="00D90274" w:rsidRDefault="002B321A" w:rsidP="002B321A">
      <w:pPr>
        <w:pStyle w:val="Heading1"/>
      </w:pPr>
      <w:r>
        <w:rPr>
          <w:rFonts w:cs="Arial"/>
          <w:snapToGrid w:val="0"/>
        </w:rPr>
        <w:t>3.</w:t>
      </w:r>
      <w:r>
        <w:rPr>
          <w:rFonts w:cs="Arial"/>
          <w:snapToGrid w:val="0"/>
        </w:rPr>
        <w:tab/>
        <w:t>Omezená záruka pro online služby</w:t>
      </w:r>
    </w:p>
    <w:p w14:paraId="7DE821A4" w14:textId="6F47007F" w:rsidR="002B321A" w:rsidRPr="00D90274" w:rsidRDefault="002B321A" w:rsidP="002B321A">
      <w:r>
        <w:rPr>
          <w:snapToGrid w:val="0"/>
        </w:rPr>
        <w:t>Společnost Microsoft zaručuje, že každá online služba bude během užívání zákazníkem fungovat v souladu s příslušnou smlouvou o poskytování služeb. Možnosti nápravy zákazníka za porušení této záruky jsou stanoveny ve smlouvě o poskytování služeb.</w:t>
      </w:r>
      <w:r w:rsidR="009249C0">
        <w:rPr>
          <w:snapToGrid w:val="0"/>
        </w:rPr>
        <w:t xml:space="preserve"> </w:t>
      </w:r>
      <w:r>
        <w:rPr>
          <w:snapToGrid w:val="0"/>
        </w:rPr>
        <w:t>Toto jsou jediné prostředky nápravy Zákazníka za porušení omezené záruky.</w:t>
      </w:r>
    </w:p>
    <w:p w14:paraId="7DE821AA" w14:textId="0E611E8C" w:rsidR="002B321A" w:rsidRPr="00D90274" w:rsidRDefault="002B321A" w:rsidP="000C0E95">
      <w:r>
        <w:rPr>
          <w:snapToGrid w:val="0"/>
        </w:rPr>
        <w:t xml:space="preserve">Záruka uvedená v tomto oddíle se nevztahuje na problémy způsobené nehodou, nesprávným použitím nebo užíváním způsobem, který se neslučuje s touto smlouvou, včetně nesplnění </w:t>
      </w:r>
      <w:r>
        <w:rPr>
          <w:snapToGrid w:val="0"/>
        </w:rPr>
        <w:lastRenderedPageBreak/>
        <w:t>minimálních systémových požadavků. Omezená záruka se nevztahuje na bezplatná, zkušební, předběžná vydání nebo betaverze produktů nebo na komponenty produktů, jejichž další distribuci má zákazník povolenu.</w:t>
      </w:r>
    </w:p>
    <w:p w14:paraId="7DE821AB" w14:textId="683EF5CB" w:rsidR="002B321A" w:rsidRPr="00D90274" w:rsidRDefault="00561554" w:rsidP="002B321A">
      <w:r>
        <w:rPr>
          <w:b/>
          <w:bCs/>
        </w:rPr>
        <w:t xml:space="preserve">Společnost Microsoft neposkytuje žádné další záruky ani podmínky a vylučuje jakékoli další výslovné, odvozené nebo zákonné záruky, včetně záruk kvality, titulu, neporušení práv, prodejnosti a vhodnosti pro konkrétní účel. </w:t>
      </w:r>
      <w:r>
        <w:rPr>
          <w:b/>
          <w:bCs/>
          <w:snapToGrid w:val="0"/>
        </w:rPr>
        <w:t>Všechny záruky, garance a podmínky, které nelze právně vyloučit, mají platnost pouze po dobu jednoho roku od počátku omezené záruky.</w:t>
      </w:r>
    </w:p>
    <w:p w14:paraId="4A59017A" w14:textId="34F14D6C" w:rsidR="00003F38" w:rsidRPr="00D90274" w:rsidRDefault="002B321A" w:rsidP="00371F47">
      <w:pPr>
        <w:pStyle w:val="Heading1"/>
      </w:pPr>
      <w:r>
        <w:rPr>
          <w:rFonts w:cs="Arial"/>
          <w:snapToGrid w:val="0"/>
        </w:rPr>
        <w:t>4.</w:t>
      </w:r>
      <w:r>
        <w:rPr>
          <w:rFonts w:cs="Arial"/>
          <w:snapToGrid w:val="0"/>
        </w:rPr>
        <w:tab/>
        <w:t>Ochrana osobních údajů a dodržování zákonů.</w:t>
      </w:r>
    </w:p>
    <w:p w14:paraId="7DE821AE" w14:textId="18191D35" w:rsidR="002B321A" w:rsidRPr="00D90274" w:rsidRDefault="002B321A" w:rsidP="00003F38">
      <w:pPr>
        <w:pStyle w:val="ListParagraph"/>
        <w:numPr>
          <w:ilvl w:val="1"/>
          <w:numId w:val="5"/>
        </w:numPr>
        <w:contextualSpacing w:val="0"/>
      </w:pPr>
      <w:r>
        <w:rPr>
          <w:snapToGrid w:val="0"/>
        </w:rPr>
        <w:t>Zákazník souhlasí se zpracováním osobních údajů společností Microsoft a jejími zástupci v souvislosti se zajištěním plnění předmětu smlouvy, odběru služeb online nebo prováděcí smlouvy a jakéhokoli popisu služeb či dodatečné smlouvy, včetně těchto doplňkových podmínek. Před poskytnutím osobních údajů společnosti Microsoft zákazník získá veškeré požadované souhlasy od třetích stran (včetně kontaktních osob zákazníka, prodejců, distributorů, správců a zaměstnanců) na základě platných zákonů o ochraně soukromí a osobních údajů.</w:t>
      </w:r>
    </w:p>
    <w:p w14:paraId="7DE821AF" w14:textId="50F91A44" w:rsidR="002B321A" w:rsidRPr="00D90274" w:rsidRDefault="002B321A" w:rsidP="002B321A">
      <w:pPr>
        <w:pStyle w:val="ListParagraph"/>
        <w:numPr>
          <w:ilvl w:val="1"/>
          <w:numId w:val="5"/>
        </w:numPr>
        <w:contextualSpacing w:val="0"/>
      </w:pPr>
      <w:r>
        <w:rPr>
          <w:snapToGrid w:val="0"/>
        </w:rPr>
        <w:t>Osobní údaje shromážděné podle této smlouvy (i) smí být převedeny, uloženy a zpracovány ve Spojených státech amerických nebo v libovolné jiné zemi, v níž má společnost Microsoft nebo její poskytovatelé služeb svá zařízení; a (ii) budou podléhat podmínkám ochrany osobních údajů uvedeným v užívacích právech. Společnost Microsoft dodržuje rámcová pravidla Safe Harbor Evropské unie a Švýcarska stanovená Ministerstvem obchodu USA, která se týkají shromažďování, používání a zadržování dat získaných v Evropské unii, v Evropském hospodářském prostoru a ve Švýcarsku.</w:t>
      </w:r>
    </w:p>
    <w:p w14:paraId="7DE821B0" w14:textId="77777777" w:rsidR="002B321A" w:rsidRPr="00D90274" w:rsidRDefault="002B321A" w:rsidP="00185089">
      <w:pPr>
        <w:pStyle w:val="Heading1"/>
      </w:pPr>
      <w:r>
        <w:rPr>
          <w:rFonts w:cs="Arial"/>
          <w:snapToGrid w:val="0"/>
        </w:rPr>
        <w:t>5.</w:t>
      </w:r>
      <w:r>
        <w:rPr>
          <w:rFonts w:cs="Arial"/>
          <w:snapToGrid w:val="0"/>
        </w:rPr>
        <w:tab/>
        <w:t>Software a technologie od jiných společností než Microsoft</w:t>
      </w:r>
    </w:p>
    <w:p w14:paraId="7DE821B3" w14:textId="6EB2565C" w:rsidR="002B321A" w:rsidRPr="00D90274" w:rsidRDefault="002B321A" w:rsidP="00185089">
      <w:pPr>
        <w:pStyle w:val="Heading1"/>
        <w:spacing w:before="120"/>
        <w:ind w:left="0" w:firstLine="0"/>
      </w:pPr>
      <w:r>
        <w:rPr>
          <w:b w:val="0"/>
          <w:i w:val="0"/>
          <w:snapToGrid w:val="0"/>
          <w:sz w:val="20"/>
          <w:szCs w:val="20"/>
        </w:rPr>
        <w:t>Zákazník je výhradně odpovědný za jakýkoli software či tech</w:t>
      </w:r>
      <w:r>
        <w:rPr>
          <w:rFonts w:cs="Arial"/>
          <w:b w:val="0"/>
          <w:bCs w:val="0"/>
          <w:i w:val="0"/>
          <w:iCs w:val="0"/>
          <w:snapToGrid w:val="0"/>
          <w:color w:val="000000"/>
          <w:sz w:val="20"/>
          <w:szCs w:val="20"/>
        </w:rPr>
        <w:t xml:space="preserve">nologie od jiných společností než Microsoft, které nainstaluje nebo používá </w:t>
      </w:r>
      <w:r>
        <w:rPr>
          <w:b w:val="0"/>
          <w:i w:val="0"/>
          <w:snapToGrid w:val="0"/>
          <w:sz w:val="20"/>
          <w:szCs w:val="20"/>
        </w:rPr>
        <w:t xml:space="preserve">s produkty, opravami či výstupy ze služeb. </w:t>
      </w:r>
      <w:r>
        <w:rPr>
          <w:rFonts w:cs="Arial"/>
          <w:b w:val="0"/>
          <w:bCs w:val="0"/>
          <w:i w:val="0"/>
          <w:iCs w:val="0"/>
          <w:snapToGrid w:val="0"/>
          <w:color w:val="000000"/>
          <w:sz w:val="20"/>
          <w:szCs w:val="20"/>
        </w:rPr>
        <w:t>Zákazník nesmí instalovat ani používat software nebo technologii jiných subjektů než společnosti Microsoft způsobem, na jehož základě by se na duševní vlastnictví nebo technologii společnosti Microsoft uplatnily závazky překračující podmínky této smlouvy nebo těchto dodatečných podmínek.</w:t>
      </w:r>
    </w:p>
    <w:p w14:paraId="7DE821B4" w14:textId="77777777" w:rsidR="002B321A" w:rsidRPr="00D90274" w:rsidRDefault="002B321A" w:rsidP="002B321A">
      <w:pPr>
        <w:pStyle w:val="Heading1"/>
      </w:pPr>
      <w:r>
        <w:rPr>
          <w:rFonts w:cs="Arial"/>
          <w:snapToGrid w:val="0"/>
        </w:rPr>
        <w:t>6.</w:t>
      </w:r>
      <w:r>
        <w:rPr>
          <w:rFonts w:cs="Arial"/>
          <w:snapToGrid w:val="0"/>
        </w:rPr>
        <w:tab/>
        <w:t>Dohoda o ochraně ze strany zákazníka.</w:t>
      </w:r>
    </w:p>
    <w:p w14:paraId="718E0144" w14:textId="77777777" w:rsidR="00D6336A" w:rsidRPr="00D90274" w:rsidRDefault="002B321A" w:rsidP="002B321A">
      <w:r>
        <w:rPr>
          <w:snapToGrid w:val="0"/>
        </w:rPr>
        <w:t>Zákazník bude bránit společnost Microsoft před všemi nároky vznesenými třetí stranou, která není afilací:</w:t>
      </w:r>
    </w:p>
    <w:p w14:paraId="7982BCF4" w14:textId="41562010" w:rsidR="00D6336A" w:rsidRPr="00D90274" w:rsidRDefault="00D6336A" w:rsidP="00185089">
      <w:pPr>
        <w:pStyle w:val="ListParagraph"/>
        <w:numPr>
          <w:ilvl w:val="0"/>
          <w:numId w:val="8"/>
        </w:numPr>
        <w:ind w:left="1080"/>
        <w:contextualSpacing w:val="0"/>
      </w:pPr>
      <w:r>
        <w:rPr>
          <w:snapToGrid w:val="0"/>
        </w:rPr>
        <w:t>obvinění, že jakákoli data zákazníka nebo softwarové produkty jiného subjektu než Microsoft, jež společnost Microsoft hostuje jménem zákazníka, porušují patenty, autorská práva nebo ochranné známky třetí strany nebo neoprávněně používají její obchodní tajemství,</w:t>
      </w:r>
    </w:p>
    <w:p w14:paraId="747F82F0" w14:textId="7503DE71" w:rsidR="00D6336A" w:rsidRPr="00D90274" w:rsidRDefault="00D6336A" w:rsidP="00185089">
      <w:pPr>
        <w:pStyle w:val="ListParagraph"/>
        <w:numPr>
          <w:ilvl w:val="0"/>
          <w:numId w:val="8"/>
        </w:numPr>
        <w:ind w:left="1080"/>
        <w:contextualSpacing w:val="0"/>
      </w:pPr>
      <w:r>
        <w:rPr>
          <w:snapToGrid w:val="0"/>
        </w:rPr>
        <w:t xml:space="preserve">obvinění v souvislosti s používáním služeb online v rozporu s příslušnými zákony a předpisy a s nároky jiných subjektů nebo </w:t>
      </w:r>
      <w:r>
        <w:t>neoprávněným přístupem ke službě nebo narušením služby, dat, účtu nebo sítě ve spojení s používáním služeb online</w:t>
      </w:r>
      <w:r>
        <w:rPr>
          <w:snapToGrid w:val="0"/>
        </w:rPr>
        <w:t>.</w:t>
      </w:r>
    </w:p>
    <w:p w14:paraId="7DE821B9" w14:textId="54272B34" w:rsidR="002B321A" w:rsidRPr="00D90274" w:rsidRDefault="002B321A">
      <w:r>
        <w:rPr>
          <w:snapToGrid w:val="0"/>
        </w:rPr>
        <w:t>Zákazník je povinen uhradit částku nepříznivého pravomocného rozsudku nebo vyrovnání, se kterým zákazník souhlasil v důsledku nároku uvedeného v tomto oddíle 6. Společnost Microsoft musí neprodleně písemně informovat zákazníka o vznesení nároku podle tohoto oddílu a udělit zákazníkovi výhradní kontrolu nad obranou a vyrovnáním a zajistit rozumnou pomoc při obraně před nárokem. Zákazník společnosti Microsoft uhradí přiměřené hotové výdaje, které mu vznikly při poskytování takové pomoci. V tomto oddílu je stanoveno výlučné odškodnění, na které má společnost Microsoft v případě takových obvinění nárok.</w:t>
      </w:r>
    </w:p>
    <w:p w14:paraId="7DE821BA" w14:textId="77777777" w:rsidR="002B321A" w:rsidRPr="00D90274" w:rsidRDefault="002B321A" w:rsidP="002B321A">
      <w:pPr>
        <w:pStyle w:val="Heading1"/>
      </w:pPr>
      <w:r>
        <w:rPr>
          <w:rFonts w:cs="Arial"/>
          <w:snapToGrid w:val="0"/>
        </w:rPr>
        <w:t>7.</w:t>
      </w:r>
      <w:r>
        <w:rPr>
          <w:rFonts w:cs="Arial"/>
          <w:snapToGrid w:val="0"/>
        </w:rPr>
        <w:tab/>
        <w:t>Omezení odpovědnosti.</w:t>
      </w:r>
    </w:p>
    <w:p w14:paraId="075E301B" w14:textId="423725F2" w:rsidR="008411FE" w:rsidRPr="00D90274" w:rsidRDefault="00455997" w:rsidP="00185089">
      <w:pPr>
        <w:pStyle w:val="ListParagraph"/>
        <w:numPr>
          <w:ilvl w:val="0"/>
          <w:numId w:val="7"/>
        </w:numPr>
        <w:contextualSpacing w:val="0"/>
      </w:pPr>
      <w:r>
        <w:rPr>
          <w:snapToGrid w:val="0"/>
        </w:rPr>
        <w:t>Celková odpovědnost každé strany za všechny nároky vyplývají z každé doplňkové smlouvy je omezena na přímou (skutečnou) škodu až do výše následujících částek:</w:t>
      </w:r>
      <w:r w:rsidR="009249C0">
        <w:rPr>
          <w:snapToGrid w:val="0"/>
        </w:rPr>
        <w:t xml:space="preserve"> </w:t>
      </w:r>
      <w:r>
        <w:rPr>
          <w:snapToGrid w:val="0"/>
        </w:rPr>
        <w:t xml:space="preserve">(1) </w:t>
      </w:r>
      <w:r>
        <w:rPr>
          <w:snapToGrid w:val="0"/>
        </w:rPr>
        <w:lastRenderedPageBreak/>
        <w:t>pro odborné služby částky, kterou byl zákazník povinen zaplatit za odborné služby v rámci příslušného popisu služeb a (</w:t>
      </w:r>
      <w:r w:rsidR="00E20754">
        <w:rPr>
          <w:snapToGrid w:val="0"/>
        </w:rPr>
        <w:t>2</w:t>
      </w:r>
      <w:r>
        <w:rPr>
          <w:snapToGrid w:val="0"/>
        </w:rPr>
        <w:t>) pro služby online částky, kterou zákazník za služby online zaplatil za posledních 12 měsíců, než nastala škodná událost. Celková odpovědnost strany za služby online v žádném případě nepřekročí částku, kterou daná strana za danou službu online zaplatila podle příslušné doplňkové smlouvy.</w:t>
      </w:r>
      <w:r w:rsidR="009249C0">
        <w:rPr>
          <w:snapToGrid w:val="0"/>
        </w:rPr>
        <w:t xml:space="preserve"> </w:t>
      </w:r>
      <w:r>
        <w:rPr>
          <w:snapToGrid w:val="0"/>
        </w:rPr>
        <w:t>V případě služeb online nebo služeb poskytovaných zdarma, náhledů nebo kódu, jež jsou zákazník nebo jeho afilace oprávněni dále distribuovat třetím stranám bez samostatné platby společnosti Microsoft, je celková odpovědnost společnosti Microsoft omezena na přímé škody a částku 5 000 USD.</w:t>
      </w:r>
      <w:r w:rsidR="009249C0">
        <w:rPr>
          <w:snapToGrid w:val="0"/>
        </w:rPr>
        <w:t xml:space="preserve"> </w:t>
      </w:r>
      <w:r>
        <w:rPr>
          <w:snapToGrid w:val="0"/>
        </w:rPr>
        <w:t>Tato omezení platí bez ohledu na to, zda se uplatněná odpovědnost zakládá na porušení smlouvy, občanskoprávním deliktu (včetně nedbalosti), objektivní odpovědnosti, porušení záruk nebo na jakémkoli jiném právním základě.</w:t>
      </w:r>
    </w:p>
    <w:p w14:paraId="44DB030F" w14:textId="3079849F" w:rsidR="008411FE" w:rsidRPr="00D90274" w:rsidRDefault="008411FE" w:rsidP="00185089">
      <w:pPr>
        <w:pStyle w:val="ListParagraph"/>
        <w:numPr>
          <w:ilvl w:val="0"/>
          <w:numId w:val="7"/>
        </w:numPr>
        <w:contextualSpacing w:val="0"/>
      </w:pPr>
      <w:r>
        <w:rPr>
          <w:b/>
          <w:bCs/>
        </w:rPr>
        <w:t>VYLOUČENÍ URČITÝCH ŠKOD. V žádném případě nenese žádná strana odpovědnost za nepřímé, následné, zvláštní, trestné ani náhodné škody, včetně ztráty používání, ušlého zisku nebo přerušení obchodní činnosti, a to bez ohledu na příčinu nebo základ odpovědnosti.</w:t>
      </w:r>
    </w:p>
    <w:p w14:paraId="2A0948FB" w14:textId="0BEA0C91" w:rsidR="008411FE" w:rsidRPr="00D90274" w:rsidRDefault="00CF48AC" w:rsidP="00185089">
      <w:pPr>
        <w:pStyle w:val="ListParagraph"/>
        <w:numPr>
          <w:ilvl w:val="0"/>
          <w:numId w:val="7"/>
        </w:numPr>
        <w:contextualSpacing w:val="0"/>
      </w:pPr>
      <w:r>
        <w:rPr>
          <w:b/>
        </w:rPr>
        <w:t>VÝJIMKY.</w:t>
      </w:r>
      <w:r>
        <w:t xml:space="preserve"> Vyloučení uvedená v tomto oddíle 7 se nevztahují na (1) </w:t>
      </w:r>
      <w:r>
        <w:rPr>
          <w:snapToGrid w:val="0"/>
        </w:rPr>
        <w:t>povinnosti společnosti Microsoft podle tohoto oddílu hlavní smlouvy s názvem „Obhajoba proti obvinění z porušení práv, zneužití a nároky třetí strany“ nebo povinnosti zákazníka uvedené v oddílu těchto dodatečných podmínek s názvem „Dohoda o ochraně ze strany zákazníka“</w:t>
      </w:r>
      <w:r>
        <w:t>, (2) povinnosti každé strany zachovat důvěrnost (s výjimkou povinností souvisejících s daty zákazníka, na které se dále vztahují omezení výše) nebo (3) porušení práv k duševnímu vlastnictví druhé strany jednou ze stran.</w:t>
      </w:r>
    </w:p>
    <w:p w14:paraId="7DE821C0" w14:textId="77777777" w:rsidR="002B321A" w:rsidRPr="00D90274" w:rsidRDefault="002B321A" w:rsidP="002B321A">
      <w:pPr>
        <w:pStyle w:val="Heading1"/>
      </w:pPr>
      <w:r>
        <w:rPr>
          <w:rFonts w:cs="Arial"/>
          <w:snapToGrid w:val="0"/>
        </w:rPr>
        <w:t>8.</w:t>
      </w:r>
      <w:r>
        <w:rPr>
          <w:rFonts w:cs="Arial"/>
          <w:snapToGrid w:val="0"/>
        </w:rPr>
        <w:tab/>
        <w:t>Subdodavatelé.</w:t>
      </w:r>
    </w:p>
    <w:p w14:paraId="7DE821C1" w14:textId="26B81F8B" w:rsidR="002B321A" w:rsidRPr="00D90274" w:rsidRDefault="002B321A" w:rsidP="002B321A">
      <w:r>
        <w:rPr>
          <w:snapToGrid w:val="0"/>
        </w:rPr>
        <w:t>Společnost Microsoft může k zajišťování podpory služeb online a poskytování odborných služeb využívat externí dodavatele.</w:t>
      </w:r>
      <w:r w:rsidR="009249C0">
        <w:rPr>
          <w:snapToGrid w:val="0"/>
        </w:rPr>
        <w:t xml:space="preserve"> </w:t>
      </w:r>
      <w:r>
        <w:rPr>
          <w:snapToGrid w:val="0"/>
        </w:rPr>
        <w:t>Za jejich činnost v souladu s podmínkami této dodatečné smlouvy bude odpovídat společnost Microsoft.</w:t>
      </w:r>
    </w:p>
    <w:sectPr w:rsidR="002B321A" w:rsidRPr="00D90274" w:rsidSect="00185089">
      <w:type w:val="continuous"/>
      <w:pgSz w:w="11907" w:h="16839"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D02DD" w14:textId="77777777" w:rsidR="00E43830" w:rsidRDefault="00E43830">
      <w:pPr>
        <w:spacing w:before="0"/>
      </w:pPr>
      <w:r>
        <w:separator/>
      </w:r>
    </w:p>
  </w:endnote>
  <w:endnote w:type="continuationSeparator" w:id="0">
    <w:p w14:paraId="657C6D85" w14:textId="77777777" w:rsidR="00E43830" w:rsidRDefault="00E438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9" w:type="dxa"/>
      <w:jc w:val="center"/>
      <w:tblLook w:val="04A0" w:firstRow="1" w:lastRow="0" w:firstColumn="1" w:lastColumn="0" w:noHBand="0" w:noVBand="1"/>
    </w:tblPr>
    <w:tblGrid>
      <w:gridCol w:w="4579"/>
      <w:gridCol w:w="4450"/>
    </w:tblGrid>
    <w:tr w:rsidR="00714016" w:rsidRPr="0085117A" w14:paraId="7DE821C9" w14:textId="77777777" w:rsidTr="00CD562C">
      <w:trPr>
        <w:jc w:val="center"/>
      </w:trPr>
      <w:tc>
        <w:tcPr>
          <w:tcW w:w="4621" w:type="dxa"/>
        </w:tcPr>
        <w:p w14:paraId="7DE821C6" w14:textId="1C7C025A" w:rsidR="00714016" w:rsidRPr="0085117A" w:rsidRDefault="00BB3F8F" w:rsidP="0080077B">
          <w:pPr>
            <w:pStyle w:val="Footer"/>
            <w:rPr>
              <w:rStyle w:val="LogoportDoNotTranslate"/>
            </w:rPr>
          </w:pPr>
          <w:proofErr w:type="spellStart"/>
          <w:r w:rsidRPr="00B614A8">
            <w:rPr>
              <w:sz w:val="16"/>
              <w:szCs w:val="16"/>
              <w:lang w:val="en-US" w:eastAsia="ja-JP" w:bidi="ar-SA"/>
            </w:rPr>
            <w:t>OnlineSvcs</w:t>
          </w:r>
          <w:proofErr w:type="spellEnd"/>
          <w:r w:rsidRPr="00B614A8">
            <w:rPr>
              <w:sz w:val="16"/>
              <w:szCs w:val="16"/>
              <w:lang w:val="en-US" w:eastAsia="ja-JP" w:bidi="ar-SA"/>
            </w:rPr>
            <w:t>(</w:t>
          </w:r>
          <w:proofErr w:type="spellStart"/>
          <w:r w:rsidRPr="00B614A8">
            <w:rPr>
              <w:sz w:val="16"/>
              <w:szCs w:val="16"/>
              <w:lang w:val="en-US" w:eastAsia="ja-JP" w:bidi="ar-SA"/>
            </w:rPr>
            <w:t>SuppTsandCs</w:t>
          </w:r>
          <w:proofErr w:type="spellEnd"/>
          <w:r w:rsidRPr="00B614A8">
            <w:rPr>
              <w:sz w:val="16"/>
              <w:szCs w:val="16"/>
              <w:lang w:val="en-US" w:eastAsia="ja-JP" w:bidi="ar-SA"/>
            </w:rPr>
            <w:t>)(WW)(</w:t>
          </w:r>
          <w:r w:rsidR="0080077B">
            <w:rPr>
              <w:sz w:val="16"/>
              <w:szCs w:val="16"/>
              <w:lang w:val="en-US" w:eastAsia="ja-JP" w:bidi="ar-SA"/>
            </w:rPr>
            <w:t>CZE</w:t>
          </w:r>
          <w:r w:rsidRPr="00B614A8">
            <w:rPr>
              <w:sz w:val="16"/>
              <w:szCs w:val="16"/>
              <w:lang w:val="en-US" w:eastAsia="ja-JP" w:bidi="ar-SA"/>
            </w:rPr>
            <w:t>)(Nov2015)</w:t>
          </w:r>
        </w:p>
      </w:tc>
      <w:tc>
        <w:tcPr>
          <w:tcW w:w="4622" w:type="dxa"/>
        </w:tcPr>
        <w:p w14:paraId="7DE821C7" w14:textId="77777777" w:rsidR="00714016" w:rsidRPr="008D285F" w:rsidRDefault="00BB3F8F" w:rsidP="00CD562C">
          <w:pPr>
            <w:spacing w:before="0"/>
            <w:jc w:val="right"/>
            <w:rPr>
              <w:sz w:val="16"/>
              <w:szCs w:val="16"/>
              <w:lang w:val="en-US" w:eastAsia="ja-JP" w:bidi="ar-SA"/>
            </w:rPr>
          </w:pPr>
          <w:r w:rsidRPr="008D285F">
            <w:rPr>
              <w:sz w:val="16"/>
              <w:szCs w:val="16"/>
              <w:lang w:val="en-US" w:eastAsia="ja-JP" w:bidi="ar-SA"/>
            </w:rPr>
            <w:t xml:space="preserve">Page </w:t>
          </w:r>
          <w:r w:rsidRPr="008D285F">
            <w:rPr>
              <w:sz w:val="16"/>
              <w:szCs w:val="16"/>
              <w:lang w:val="en-US" w:eastAsia="ja-JP" w:bidi="ar-SA"/>
            </w:rPr>
            <w:fldChar w:fldCharType="begin"/>
          </w:r>
          <w:r w:rsidRPr="008D285F">
            <w:rPr>
              <w:sz w:val="16"/>
              <w:szCs w:val="16"/>
              <w:lang w:val="en-US" w:eastAsia="ja-JP" w:bidi="ar-SA"/>
            </w:rPr>
            <w:instrText xml:space="preserve"> PAGE </w:instrText>
          </w:r>
          <w:r w:rsidRPr="008D285F">
            <w:rPr>
              <w:sz w:val="16"/>
              <w:szCs w:val="16"/>
              <w:lang w:val="en-US" w:eastAsia="ja-JP" w:bidi="ar-SA"/>
            </w:rPr>
            <w:fldChar w:fldCharType="separate"/>
          </w:r>
          <w:r w:rsidR="00B91990">
            <w:rPr>
              <w:noProof/>
              <w:sz w:val="16"/>
              <w:szCs w:val="16"/>
              <w:lang w:val="en-US" w:eastAsia="ja-JP" w:bidi="ar-SA"/>
            </w:rPr>
            <w:t>3</w:t>
          </w:r>
          <w:r w:rsidRPr="008D285F">
            <w:rPr>
              <w:sz w:val="16"/>
              <w:szCs w:val="16"/>
              <w:lang w:val="en-US" w:eastAsia="ja-JP" w:bidi="ar-SA"/>
            </w:rPr>
            <w:fldChar w:fldCharType="end"/>
          </w:r>
          <w:r w:rsidRPr="008D285F">
            <w:rPr>
              <w:sz w:val="16"/>
              <w:szCs w:val="16"/>
              <w:lang w:val="en-US" w:eastAsia="ja-JP" w:bidi="ar-SA"/>
            </w:rPr>
            <w:t xml:space="preserve"> of </w:t>
          </w:r>
          <w:r w:rsidRPr="008D285F">
            <w:rPr>
              <w:sz w:val="16"/>
              <w:szCs w:val="16"/>
              <w:lang w:val="en-US" w:eastAsia="ja-JP" w:bidi="ar-SA"/>
            </w:rPr>
            <w:fldChar w:fldCharType="begin"/>
          </w:r>
          <w:r w:rsidRPr="008D285F">
            <w:rPr>
              <w:sz w:val="16"/>
              <w:szCs w:val="16"/>
              <w:lang w:val="en-US" w:eastAsia="ja-JP" w:bidi="ar-SA"/>
            </w:rPr>
            <w:instrText xml:space="preserve"> NUMPAGES  </w:instrText>
          </w:r>
          <w:r w:rsidRPr="008D285F">
            <w:rPr>
              <w:sz w:val="16"/>
              <w:szCs w:val="16"/>
              <w:lang w:val="en-US" w:eastAsia="ja-JP" w:bidi="ar-SA"/>
            </w:rPr>
            <w:fldChar w:fldCharType="separate"/>
          </w:r>
          <w:r w:rsidR="00B91990">
            <w:rPr>
              <w:noProof/>
              <w:sz w:val="16"/>
              <w:szCs w:val="16"/>
              <w:lang w:val="en-US" w:eastAsia="ja-JP" w:bidi="ar-SA"/>
            </w:rPr>
            <w:t>3</w:t>
          </w:r>
          <w:r w:rsidRPr="008D285F">
            <w:rPr>
              <w:sz w:val="16"/>
              <w:szCs w:val="16"/>
              <w:lang w:val="en-US" w:eastAsia="ja-JP" w:bidi="ar-SA"/>
            </w:rPr>
            <w:fldChar w:fldCharType="end"/>
          </w:r>
        </w:p>
        <w:p w14:paraId="7DE821C8" w14:textId="6A235670" w:rsidR="00714016" w:rsidRPr="0085117A" w:rsidRDefault="003D164C" w:rsidP="00F7005C">
          <w:pPr>
            <w:pStyle w:val="Footer"/>
            <w:jc w:val="right"/>
            <w:rPr>
              <w:rStyle w:val="LogoportDoNotTranslate"/>
            </w:rPr>
          </w:pPr>
          <w:r w:rsidRPr="008D285F">
            <w:rPr>
              <w:sz w:val="16"/>
              <w:szCs w:val="16"/>
              <w:lang w:val="en-US" w:eastAsia="ja-JP" w:bidi="ar-SA"/>
            </w:rPr>
            <w:t>Document X20-14387</w:t>
          </w:r>
        </w:p>
      </w:tc>
    </w:tr>
  </w:tbl>
  <w:p w14:paraId="7DE821CA" w14:textId="77777777" w:rsidR="00714016" w:rsidRPr="00E17B71" w:rsidRDefault="00E43830">
    <w:pPr>
      <w:pStyle w:val="Footer"/>
      <w:rPr>
        <w:sz w:val="16"/>
        <w:szCs w:val="16"/>
        <w:lang w:val="en-US" w:eastAsia="ja-JP"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9" w:type="dxa"/>
      <w:jc w:val="center"/>
      <w:tblLook w:val="04A0" w:firstRow="1" w:lastRow="0" w:firstColumn="1" w:lastColumn="0" w:noHBand="0" w:noVBand="1"/>
    </w:tblPr>
    <w:tblGrid>
      <w:gridCol w:w="4577"/>
      <w:gridCol w:w="4452"/>
    </w:tblGrid>
    <w:tr w:rsidR="00714016" w:rsidRPr="00087170" w14:paraId="7DE821CF" w14:textId="77777777" w:rsidTr="00CD562C">
      <w:trPr>
        <w:jc w:val="center"/>
      </w:trPr>
      <w:tc>
        <w:tcPr>
          <w:tcW w:w="4577" w:type="dxa"/>
        </w:tcPr>
        <w:p w14:paraId="7DE821CC" w14:textId="3EA02392" w:rsidR="00714016" w:rsidRPr="00087170" w:rsidRDefault="008E6504" w:rsidP="00111E07">
          <w:pPr>
            <w:pStyle w:val="Footer"/>
            <w:rPr>
              <w:rStyle w:val="LogoportDoNotTranslate"/>
            </w:rPr>
          </w:pPr>
          <w:proofErr w:type="spellStart"/>
          <w:r w:rsidRPr="00753EDF">
            <w:rPr>
              <w:sz w:val="16"/>
              <w:szCs w:val="16"/>
              <w:lang w:val="en-US" w:eastAsia="ja-JP" w:bidi="ar-SA"/>
            </w:rPr>
            <w:t>OnlineSvcs</w:t>
          </w:r>
          <w:proofErr w:type="spellEnd"/>
          <w:r w:rsidRPr="00753EDF">
            <w:rPr>
              <w:sz w:val="16"/>
              <w:szCs w:val="16"/>
              <w:lang w:val="en-US" w:eastAsia="ja-JP" w:bidi="ar-SA"/>
            </w:rPr>
            <w:t>(</w:t>
          </w:r>
          <w:proofErr w:type="spellStart"/>
          <w:r w:rsidRPr="00753EDF">
            <w:rPr>
              <w:sz w:val="16"/>
              <w:szCs w:val="16"/>
              <w:lang w:val="en-US" w:eastAsia="ja-JP" w:bidi="ar-SA"/>
            </w:rPr>
            <w:t>SuppTsandCs</w:t>
          </w:r>
          <w:proofErr w:type="spellEnd"/>
          <w:r w:rsidRPr="00753EDF">
            <w:rPr>
              <w:sz w:val="16"/>
              <w:szCs w:val="16"/>
              <w:lang w:val="en-US" w:eastAsia="ja-JP" w:bidi="ar-SA"/>
            </w:rPr>
            <w:t>)(WW)(</w:t>
          </w:r>
          <w:r w:rsidR="00111E07">
            <w:rPr>
              <w:sz w:val="16"/>
              <w:szCs w:val="16"/>
              <w:lang w:val="en-US" w:eastAsia="ja-JP" w:bidi="ar-SA"/>
            </w:rPr>
            <w:t>CZE</w:t>
          </w:r>
          <w:r w:rsidRPr="00753EDF">
            <w:rPr>
              <w:sz w:val="16"/>
              <w:szCs w:val="16"/>
              <w:lang w:val="en-US" w:eastAsia="ja-JP" w:bidi="ar-SA"/>
            </w:rPr>
            <w:t>)(Nov2015)</w:t>
          </w:r>
        </w:p>
      </w:tc>
      <w:tc>
        <w:tcPr>
          <w:tcW w:w="4452" w:type="dxa"/>
        </w:tcPr>
        <w:p w14:paraId="7DE821CD" w14:textId="77777777" w:rsidR="00714016" w:rsidRPr="005E2B90" w:rsidRDefault="00BB3F8F" w:rsidP="00CD562C">
          <w:pPr>
            <w:spacing w:before="0"/>
            <w:jc w:val="right"/>
            <w:rPr>
              <w:sz w:val="16"/>
              <w:szCs w:val="16"/>
              <w:lang w:val="en-US" w:eastAsia="ja-JP" w:bidi="ar-SA"/>
            </w:rPr>
          </w:pPr>
          <w:r w:rsidRPr="005E2B90">
            <w:rPr>
              <w:sz w:val="16"/>
              <w:szCs w:val="16"/>
              <w:lang w:val="en-US" w:eastAsia="ja-JP" w:bidi="ar-SA"/>
            </w:rPr>
            <w:t xml:space="preserve">Page </w:t>
          </w:r>
          <w:r w:rsidRPr="005E2B90">
            <w:rPr>
              <w:sz w:val="16"/>
              <w:szCs w:val="16"/>
              <w:lang w:val="en-US" w:eastAsia="ja-JP" w:bidi="ar-SA"/>
            </w:rPr>
            <w:fldChar w:fldCharType="begin"/>
          </w:r>
          <w:r w:rsidRPr="005E2B90">
            <w:rPr>
              <w:sz w:val="16"/>
              <w:szCs w:val="16"/>
              <w:lang w:val="en-US" w:eastAsia="ja-JP" w:bidi="ar-SA"/>
            </w:rPr>
            <w:instrText xml:space="preserve"> PAGE </w:instrText>
          </w:r>
          <w:r w:rsidRPr="005E2B90">
            <w:rPr>
              <w:sz w:val="16"/>
              <w:szCs w:val="16"/>
              <w:lang w:val="en-US" w:eastAsia="ja-JP" w:bidi="ar-SA"/>
            </w:rPr>
            <w:fldChar w:fldCharType="separate"/>
          </w:r>
          <w:r w:rsidR="00B91990">
            <w:rPr>
              <w:noProof/>
              <w:sz w:val="16"/>
              <w:szCs w:val="16"/>
              <w:lang w:val="en-US" w:eastAsia="ja-JP" w:bidi="ar-SA"/>
            </w:rPr>
            <w:t>1</w:t>
          </w:r>
          <w:r w:rsidRPr="005E2B90">
            <w:rPr>
              <w:sz w:val="16"/>
              <w:szCs w:val="16"/>
              <w:lang w:val="en-US" w:eastAsia="ja-JP" w:bidi="ar-SA"/>
            </w:rPr>
            <w:fldChar w:fldCharType="end"/>
          </w:r>
          <w:r w:rsidRPr="005E2B90">
            <w:rPr>
              <w:sz w:val="16"/>
              <w:szCs w:val="16"/>
              <w:lang w:val="en-US" w:eastAsia="ja-JP" w:bidi="ar-SA"/>
            </w:rPr>
            <w:t xml:space="preserve"> of </w:t>
          </w:r>
          <w:r w:rsidRPr="005E2B90">
            <w:rPr>
              <w:sz w:val="16"/>
              <w:szCs w:val="16"/>
              <w:lang w:val="en-US" w:eastAsia="ja-JP" w:bidi="ar-SA"/>
            </w:rPr>
            <w:fldChar w:fldCharType="begin"/>
          </w:r>
          <w:r w:rsidRPr="005E2B90">
            <w:rPr>
              <w:sz w:val="16"/>
              <w:szCs w:val="16"/>
              <w:lang w:val="en-US" w:eastAsia="ja-JP" w:bidi="ar-SA"/>
            </w:rPr>
            <w:instrText xml:space="preserve"> NUMPAGES  </w:instrText>
          </w:r>
          <w:r w:rsidRPr="005E2B90">
            <w:rPr>
              <w:sz w:val="16"/>
              <w:szCs w:val="16"/>
              <w:lang w:val="en-US" w:eastAsia="ja-JP" w:bidi="ar-SA"/>
            </w:rPr>
            <w:fldChar w:fldCharType="separate"/>
          </w:r>
          <w:r w:rsidR="00B91990">
            <w:rPr>
              <w:noProof/>
              <w:sz w:val="16"/>
              <w:szCs w:val="16"/>
              <w:lang w:val="en-US" w:eastAsia="ja-JP" w:bidi="ar-SA"/>
            </w:rPr>
            <w:t>3</w:t>
          </w:r>
          <w:r w:rsidRPr="005E2B90">
            <w:rPr>
              <w:sz w:val="16"/>
              <w:szCs w:val="16"/>
              <w:lang w:val="en-US" w:eastAsia="ja-JP" w:bidi="ar-SA"/>
            </w:rPr>
            <w:fldChar w:fldCharType="end"/>
          </w:r>
        </w:p>
        <w:p w14:paraId="7DE821CE" w14:textId="60FCE15B" w:rsidR="00714016" w:rsidRPr="00087170" w:rsidRDefault="00BB3F8F" w:rsidP="00F7005C">
          <w:pPr>
            <w:pStyle w:val="Footer"/>
            <w:jc w:val="right"/>
            <w:rPr>
              <w:rStyle w:val="LogoportDoNotTranslate"/>
            </w:rPr>
          </w:pPr>
          <w:r w:rsidRPr="00F62FFF">
            <w:rPr>
              <w:sz w:val="16"/>
              <w:szCs w:val="16"/>
              <w:lang w:val="en-US" w:eastAsia="ja-JP" w:bidi="ar-SA"/>
            </w:rPr>
            <w:t>Document X20-14387</w:t>
          </w:r>
        </w:p>
      </w:tc>
    </w:tr>
  </w:tbl>
  <w:p w14:paraId="7DE821D0" w14:textId="77777777" w:rsidR="00714016" w:rsidRPr="00BA4BF2" w:rsidRDefault="00E43830">
    <w:pPr>
      <w:pStyle w:val="Footer"/>
      <w:rPr>
        <w:sz w:val="16"/>
        <w:szCs w:val="16"/>
        <w:lang w:val="en-US" w:eastAsia="ja-JP"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65362" w14:textId="77777777" w:rsidR="00E43830" w:rsidRDefault="00E43830">
      <w:pPr>
        <w:spacing w:before="0"/>
      </w:pPr>
      <w:r>
        <w:separator/>
      </w:r>
    </w:p>
  </w:footnote>
  <w:footnote w:type="continuationSeparator" w:id="0">
    <w:p w14:paraId="786AA871" w14:textId="77777777" w:rsidR="00E43830" w:rsidRDefault="00E4383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BEBDF" w14:textId="2B5A5014" w:rsidR="00413FFA" w:rsidRDefault="00E43830">
    <w:pPr>
      <w:pStyle w:val="Header"/>
    </w:pPr>
    <w:r>
      <w:pict w14:anchorId="42BED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897141" o:spid="_x0000_s2053" type="#_x0000_t75" style="position:absolute;left:0;text-align:left;margin-left:0;margin-top:0;width:451.2pt;height:254.3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E92C3" w14:textId="2D558CC5" w:rsidR="00413FFA" w:rsidRDefault="00E43830">
    <w:pPr>
      <w:pStyle w:val="Header"/>
    </w:pPr>
    <w:r>
      <w:pict w14:anchorId="46063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897142" o:spid="_x0000_s2054" type="#_x0000_t75" style="position:absolute;left:0;text-align:left;margin-left:0;margin-top:0;width:451.2pt;height:254.3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21CB" w14:textId="18922824" w:rsidR="00714016" w:rsidRDefault="00E43830" w:rsidP="00CD562C">
    <w:pPr>
      <w:pStyle w:val="Header"/>
      <w:jc w:val="right"/>
    </w:pPr>
    <w:r>
      <w:pict w14:anchorId="3A1AA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897140" o:spid="_x0000_s2052" type="#_x0000_t75" style="position:absolute;left:0;text-align:left;margin-left:0;margin-top:0;width:451.2pt;height:254.35pt;z-index:-251658240;mso-position-horizontal:center;mso-position-horizontal-relative:margin;mso-position-vertical:center;mso-position-vertical-relative:margin" o:allowincell="f">
          <v:imagedata r:id="rId1" o:title="Watermark" gain="19661f" blacklevel="22938f"/>
          <w10:wrap anchorx="margin" anchory="margin"/>
        </v:shape>
      </w:pict>
    </w:r>
    <w:r w:rsidR="0085117A">
      <w:rPr>
        <w:noProof/>
        <w:lang w:val="en-US" w:eastAsia="zh-CN" w:bidi="as-IN"/>
      </w:rPr>
      <w:drawing>
        <wp:inline distT="0" distB="0" distL="0" distR="0" wp14:anchorId="7DE821D4" wp14:editId="27089FE6">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0B26"/>
    <w:multiLevelType w:val="hybridMultilevel"/>
    <w:tmpl w:val="AC0CB6A8"/>
    <w:lvl w:ilvl="0" w:tplc="99D4E280">
      <w:start w:val="1"/>
      <w:numFmt w:val="lowerLetter"/>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446D3"/>
    <w:multiLevelType w:val="hybridMultilevel"/>
    <w:tmpl w:val="C342546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B3453"/>
    <w:multiLevelType w:val="multilevel"/>
    <w:tmpl w:val="51083548"/>
    <w:lvl w:ilvl="0">
      <w:start w:val="1"/>
      <w:numFmt w:val="lowerLetter"/>
      <w:lvlText w:val="%1."/>
      <w:lvlJc w:val="left"/>
      <w:pPr>
        <w:tabs>
          <w:tab w:val="num" w:pos="360"/>
        </w:tabs>
        <w:ind w:left="360" w:hanging="360"/>
      </w:pPr>
      <w:rPr>
        <w:rFonts w:hint="default"/>
        <w:b/>
      </w:rPr>
    </w:lvl>
    <w:lvl w:ilvl="1">
      <w:start w:val="1"/>
      <w:numFmt w:val="lowerRoman"/>
      <w:lvlText w:val="(%2)"/>
      <w:lvlJc w:val="left"/>
      <w:pPr>
        <w:tabs>
          <w:tab w:val="num" w:pos="1080"/>
        </w:tabs>
        <w:ind w:left="1080" w:hanging="360"/>
      </w:pPr>
      <w:rPr>
        <w:rFonts w:hint="default"/>
        <w:b/>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3">
    <w:nsid w:val="41410B5F"/>
    <w:multiLevelType w:val="hybridMultilevel"/>
    <w:tmpl w:val="5D3AFBBC"/>
    <w:lvl w:ilvl="0" w:tplc="218684B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BB02EB"/>
    <w:multiLevelType w:val="hybridMultilevel"/>
    <w:tmpl w:val="68F85AA4"/>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E5471"/>
    <w:multiLevelType w:val="hybridMultilevel"/>
    <w:tmpl w:val="E754471A"/>
    <w:lvl w:ilvl="0" w:tplc="0409000F">
      <w:start w:val="1"/>
      <w:numFmt w:val="decimal"/>
      <w:lvlText w:val="%1."/>
      <w:lvlJc w:val="left"/>
      <w:pPr>
        <w:ind w:left="360" w:hanging="360"/>
      </w:pPr>
    </w:lvl>
    <w:lvl w:ilvl="1" w:tplc="99D4E280">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736352"/>
    <w:multiLevelType w:val="hybridMultilevel"/>
    <w:tmpl w:val="27A2F8F6"/>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EA50C0"/>
    <w:multiLevelType w:val="hybridMultilevel"/>
    <w:tmpl w:val="4BA4637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1A"/>
    <w:rsid w:val="00003F38"/>
    <w:rsid w:val="00015937"/>
    <w:rsid w:val="0002241D"/>
    <w:rsid w:val="00022D83"/>
    <w:rsid w:val="00026647"/>
    <w:rsid w:val="00042AA1"/>
    <w:rsid w:val="00087170"/>
    <w:rsid w:val="000A6A7B"/>
    <w:rsid w:val="000C0E95"/>
    <w:rsid w:val="000D7368"/>
    <w:rsid w:val="00111E07"/>
    <w:rsid w:val="001408B0"/>
    <w:rsid w:val="00172294"/>
    <w:rsid w:val="00185089"/>
    <w:rsid w:val="001C39A3"/>
    <w:rsid w:val="00201840"/>
    <w:rsid w:val="00201AD1"/>
    <w:rsid w:val="002B321A"/>
    <w:rsid w:val="002C770F"/>
    <w:rsid w:val="002E3616"/>
    <w:rsid w:val="00333B6E"/>
    <w:rsid w:val="00367CDA"/>
    <w:rsid w:val="00371F47"/>
    <w:rsid w:val="003D164C"/>
    <w:rsid w:val="00407A87"/>
    <w:rsid w:val="00413FFA"/>
    <w:rsid w:val="0043547C"/>
    <w:rsid w:val="00455997"/>
    <w:rsid w:val="00480608"/>
    <w:rsid w:val="0048543E"/>
    <w:rsid w:val="004B02DD"/>
    <w:rsid w:val="00561554"/>
    <w:rsid w:val="005B2DB6"/>
    <w:rsid w:val="005D5571"/>
    <w:rsid w:val="005E2B90"/>
    <w:rsid w:val="00604F86"/>
    <w:rsid w:val="006540AB"/>
    <w:rsid w:val="006554FB"/>
    <w:rsid w:val="00655E8C"/>
    <w:rsid w:val="006A1B00"/>
    <w:rsid w:val="006B1E79"/>
    <w:rsid w:val="006C71BA"/>
    <w:rsid w:val="0073275A"/>
    <w:rsid w:val="00753EDF"/>
    <w:rsid w:val="007802D5"/>
    <w:rsid w:val="007A67DD"/>
    <w:rsid w:val="007E394D"/>
    <w:rsid w:val="007E75BC"/>
    <w:rsid w:val="007F4A35"/>
    <w:rsid w:val="0080077B"/>
    <w:rsid w:val="008342C5"/>
    <w:rsid w:val="008411FE"/>
    <w:rsid w:val="0085117A"/>
    <w:rsid w:val="0086465F"/>
    <w:rsid w:val="0088094C"/>
    <w:rsid w:val="008921E7"/>
    <w:rsid w:val="008A23A1"/>
    <w:rsid w:val="008B7164"/>
    <w:rsid w:val="008C3E79"/>
    <w:rsid w:val="008D285F"/>
    <w:rsid w:val="008E6504"/>
    <w:rsid w:val="009249C0"/>
    <w:rsid w:val="00995214"/>
    <w:rsid w:val="009A131E"/>
    <w:rsid w:val="009C3D2E"/>
    <w:rsid w:val="00A66979"/>
    <w:rsid w:val="00A71423"/>
    <w:rsid w:val="00AB12E9"/>
    <w:rsid w:val="00AC3948"/>
    <w:rsid w:val="00AD3579"/>
    <w:rsid w:val="00AD5E7F"/>
    <w:rsid w:val="00B614A8"/>
    <w:rsid w:val="00B91990"/>
    <w:rsid w:val="00BA4BF2"/>
    <w:rsid w:val="00BB3F8F"/>
    <w:rsid w:val="00BC0ECA"/>
    <w:rsid w:val="00BC70C2"/>
    <w:rsid w:val="00BF78A6"/>
    <w:rsid w:val="00CA5B02"/>
    <w:rsid w:val="00CF1CD7"/>
    <w:rsid w:val="00CF48AC"/>
    <w:rsid w:val="00D6336A"/>
    <w:rsid w:val="00D90274"/>
    <w:rsid w:val="00DB3B9B"/>
    <w:rsid w:val="00E172DC"/>
    <w:rsid w:val="00E17B71"/>
    <w:rsid w:val="00E20754"/>
    <w:rsid w:val="00E43830"/>
    <w:rsid w:val="00E51413"/>
    <w:rsid w:val="00E52E99"/>
    <w:rsid w:val="00E85AAE"/>
    <w:rsid w:val="00E87862"/>
    <w:rsid w:val="00EA4D16"/>
    <w:rsid w:val="00EB2EEE"/>
    <w:rsid w:val="00EE5728"/>
    <w:rsid w:val="00F0252E"/>
    <w:rsid w:val="00F20E82"/>
    <w:rsid w:val="00F53C80"/>
    <w:rsid w:val="00F54746"/>
    <w:rsid w:val="00F62FFF"/>
    <w:rsid w:val="00F7201C"/>
    <w:rsid w:val="00F74916"/>
    <w:rsid w:val="00FC46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E82190"/>
  <w:documentProtection w:edit="forms" w:enforcement="true" w:cryptProviderType="rsaFull" w:cryptAlgorithmClass="hash" w:cryptAlgorithmType="typeAny" w:cryptAlgorithmSid="4" w:cryptSpinCount="50000" w:hash="ZOaM8U4v77jXH32Ex5dhEly8zaY=" w:salt="Yq5qW26Ae7rMXBvNINqrx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1A"/>
    <w:pPr>
      <w:spacing w:before="120" w:after="0" w:line="240" w:lineRule="auto"/>
      <w:jc w:val="both"/>
    </w:pPr>
    <w:rPr>
      <w:rFonts w:ascii="Arial" w:eastAsia="MS Mincho" w:hAnsi="Arial" w:cs="Arial"/>
      <w:color w:val="000000"/>
      <w:sz w:val="20"/>
      <w:szCs w:val="20"/>
    </w:rPr>
  </w:style>
  <w:style w:type="paragraph" w:styleId="Heading1">
    <w:name w:val="heading 1"/>
    <w:basedOn w:val="Normal"/>
    <w:next w:val="Normal"/>
    <w:link w:val="Heading1Char"/>
    <w:uiPriority w:val="9"/>
    <w:qFormat/>
    <w:rsid w:val="002B321A"/>
    <w:pPr>
      <w:keepNext/>
      <w:spacing w:before="360"/>
      <w:ind w:left="720" w:hanging="720"/>
      <w:jc w:val="left"/>
      <w:outlineLvl w:val="0"/>
    </w:pPr>
    <w:rPr>
      <w:rFonts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21A"/>
    <w:rPr>
      <w:rFonts w:ascii="Arial" w:eastAsia="MS Mincho" w:hAnsi="Arial" w:cs="Times New Roman"/>
      <w:b/>
      <w:bCs/>
      <w:i/>
      <w:iCs/>
      <w:sz w:val="26"/>
      <w:szCs w:val="26"/>
    </w:rPr>
  </w:style>
  <w:style w:type="paragraph" w:styleId="Header">
    <w:name w:val="header"/>
    <w:basedOn w:val="Normal"/>
    <w:link w:val="HeaderChar"/>
    <w:uiPriority w:val="99"/>
    <w:unhideWhenUsed/>
    <w:rsid w:val="002B321A"/>
    <w:pPr>
      <w:tabs>
        <w:tab w:val="center" w:pos="4680"/>
        <w:tab w:val="right" w:pos="9360"/>
      </w:tabs>
      <w:spacing w:before="0"/>
    </w:pPr>
  </w:style>
  <w:style w:type="character" w:customStyle="1" w:styleId="HeaderChar">
    <w:name w:val="Header Char"/>
    <w:basedOn w:val="DefaultParagraphFont"/>
    <w:link w:val="Header"/>
    <w:uiPriority w:val="99"/>
    <w:rsid w:val="002B321A"/>
    <w:rPr>
      <w:rFonts w:ascii="Arial" w:eastAsia="MS Mincho" w:hAnsi="Arial" w:cs="Arial"/>
      <w:color w:val="000000"/>
      <w:sz w:val="20"/>
      <w:szCs w:val="20"/>
    </w:rPr>
  </w:style>
  <w:style w:type="paragraph" w:styleId="Footer">
    <w:name w:val="footer"/>
    <w:basedOn w:val="Normal"/>
    <w:link w:val="FooterChar"/>
    <w:uiPriority w:val="99"/>
    <w:unhideWhenUsed/>
    <w:rsid w:val="002B321A"/>
    <w:pPr>
      <w:tabs>
        <w:tab w:val="center" w:pos="4680"/>
        <w:tab w:val="right" w:pos="9360"/>
      </w:tabs>
      <w:spacing w:before="0"/>
    </w:pPr>
  </w:style>
  <w:style w:type="character" w:customStyle="1" w:styleId="FooterChar">
    <w:name w:val="Footer Char"/>
    <w:basedOn w:val="DefaultParagraphFont"/>
    <w:link w:val="Footer"/>
    <w:uiPriority w:val="99"/>
    <w:rsid w:val="002B321A"/>
    <w:rPr>
      <w:rFonts w:ascii="Arial" w:eastAsia="MS Mincho" w:hAnsi="Arial" w:cs="Arial"/>
      <w:color w:val="000000"/>
      <w:sz w:val="20"/>
      <w:szCs w:val="20"/>
    </w:rPr>
  </w:style>
  <w:style w:type="paragraph" w:styleId="ListParagraph">
    <w:name w:val="List Paragraph"/>
    <w:basedOn w:val="Normal"/>
    <w:uiPriority w:val="34"/>
    <w:qFormat/>
    <w:rsid w:val="002B321A"/>
    <w:pPr>
      <w:ind w:left="720"/>
      <w:contextualSpacing/>
    </w:pPr>
  </w:style>
  <w:style w:type="character" w:styleId="Hyperlink">
    <w:name w:val="Hyperlink"/>
    <w:uiPriority w:val="99"/>
    <w:unhideWhenUsed/>
    <w:rsid w:val="002B321A"/>
    <w:rPr>
      <w:color w:val="0000FF"/>
      <w:u w:val="single"/>
    </w:rPr>
  </w:style>
  <w:style w:type="paragraph" w:styleId="BalloonText">
    <w:name w:val="Balloon Text"/>
    <w:basedOn w:val="Normal"/>
    <w:link w:val="BalloonTextChar"/>
    <w:uiPriority w:val="99"/>
    <w:semiHidden/>
    <w:unhideWhenUsed/>
    <w:rsid w:val="002B32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21A"/>
    <w:rPr>
      <w:rFonts w:ascii="Tahoma" w:eastAsia="MS Mincho" w:hAnsi="Tahoma" w:cs="Tahoma"/>
      <w:color w:val="000000"/>
      <w:sz w:val="16"/>
      <w:szCs w:val="16"/>
    </w:rPr>
  </w:style>
  <w:style w:type="character" w:styleId="CommentReference">
    <w:name w:val="annotation reference"/>
    <w:basedOn w:val="DefaultParagraphFont"/>
    <w:uiPriority w:val="99"/>
    <w:semiHidden/>
    <w:unhideWhenUsed/>
    <w:rsid w:val="0086465F"/>
    <w:rPr>
      <w:sz w:val="16"/>
      <w:szCs w:val="16"/>
    </w:rPr>
  </w:style>
  <w:style w:type="paragraph" w:styleId="CommentText">
    <w:name w:val="annotation text"/>
    <w:basedOn w:val="Normal"/>
    <w:link w:val="CommentTextChar"/>
    <w:uiPriority w:val="99"/>
    <w:semiHidden/>
    <w:unhideWhenUsed/>
    <w:rsid w:val="0086465F"/>
  </w:style>
  <w:style w:type="character" w:customStyle="1" w:styleId="CommentTextChar">
    <w:name w:val="Comment Text Char"/>
    <w:basedOn w:val="DefaultParagraphFont"/>
    <w:link w:val="CommentText"/>
    <w:uiPriority w:val="99"/>
    <w:semiHidden/>
    <w:rsid w:val="0086465F"/>
    <w:rPr>
      <w:rFonts w:ascii="Arial" w:eastAsia="MS Mincho"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465F"/>
    <w:rPr>
      <w:b/>
      <w:bCs/>
    </w:rPr>
  </w:style>
  <w:style w:type="character" w:customStyle="1" w:styleId="CommentSubjectChar">
    <w:name w:val="Comment Subject Char"/>
    <w:basedOn w:val="CommentTextChar"/>
    <w:link w:val="CommentSubject"/>
    <w:uiPriority w:val="99"/>
    <w:semiHidden/>
    <w:rsid w:val="0086465F"/>
    <w:rPr>
      <w:rFonts w:ascii="Arial" w:eastAsia="MS Mincho" w:hAnsi="Arial" w:cs="Arial"/>
      <w:b/>
      <w:bCs/>
      <w:color w:val="000000"/>
      <w:sz w:val="20"/>
      <w:szCs w:val="20"/>
    </w:rPr>
  </w:style>
  <w:style w:type="character" w:customStyle="1" w:styleId="LogoportMarkup">
    <w:name w:val="LogoportMarkup"/>
    <w:basedOn w:val="DefaultParagraphFont"/>
    <w:rsid w:val="00D90274"/>
    <w:rPr>
      <w:rFonts w:ascii="Courier New" w:hAnsi="Courier New" w:cs="Courier New"/>
      <w:b w:val="0"/>
      <w:i w:val="0"/>
      <w:color w:val="FF0000"/>
      <w:sz w:val="18"/>
    </w:rPr>
  </w:style>
  <w:style w:type="character" w:customStyle="1" w:styleId="LogoportDoNotTranslate">
    <w:name w:val="LogoportDoNotTranslate"/>
    <w:basedOn w:val="DefaultParagraphFont"/>
    <w:rsid w:val="00D90274"/>
    <w:rPr>
      <w:rFonts w:ascii="Courier New" w:hAnsi="Courier New" w:cs="Courier New"/>
      <w:b w:val="0"/>
      <w:i w:val="0"/>
      <w:color w:val="80808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1A"/>
    <w:pPr>
      <w:spacing w:before="120" w:after="0" w:line="240" w:lineRule="auto"/>
      <w:jc w:val="both"/>
    </w:pPr>
    <w:rPr>
      <w:rFonts w:ascii="Arial" w:eastAsia="MS Mincho" w:hAnsi="Arial" w:cs="Arial"/>
      <w:color w:val="000000"/>
      <w:sz w:val="20"/>
      <w:szCs w:val="20"/>
    </w:rPr>
  </w:style>
  <w:style w:type="paragraph" w:styleId="Heading1">
    <w:name w:val="heading 1"/>
    <w:basedOn w:val="Normal"/>
    <w:next w:val="Normal"/>
    <w:link w:val="Heading1Char"/>
    <w:uiPriority w:val="9"/>
    <w:qFormat/>
    <w:rsid w:val="002B321A"/>
    <w:pPr>
      <w:keepNext/>
      <w:spacing w:before="360"/>
      <w:ind w:left="720" w:hanging="720"/>
      <w:jc w:val="left"/>
      <w:outlineLvl w:val="0"/>
    </w:pPr>
    <w:rPr>
      <w:rFonts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21A"/>
    <w:rPr>
      <w:rFonts w:ascii="Arial" w:eastAsia="MS Mincho" w:hAnsi="Arial" w:cs="Times New Roman"/>
      <w:b/>
      <w:bCs/>
      <w:i/>
      <w:iCs/>
      <w:sz w:val="26"/>
      <w:szCs w:val="26"/>
    </w:rPr>
  </w:style>
  <w:style w:type="paragraph" w:styleId="Header">
    <w:name w:val="header"/>
    <w:basedOn w:val="Normal"/>
    <w:link w:val="HeaderChar"/>
    <w:uiPriority w:val="99"/>
    <w:unhideWhenUsed/>
    <w:rsid w:val="002B321A"/>
    <w:pPr>
      <w:tabs>
        <w:tab w:val="center" w:pos="4680"/>
        <w:tab w:val="right" w:pos="9360"/>
      </w:tabs>
      <w:spacing w:before="0"/>
    </w:pPr>
  </w:style>
  <w:style w:type="character" w:customStyle="1" w:styleId="HeaderChar">
    <w:name w:val="Header Char"/>
    <w:basedOn w:val="DefaultParagraphFont"/>
    <w:link w:val="Header"/>
    <w:uiPriority w:val="99"/>
    <w:rsid w:val="002B321A"/>
    <w:rPr>
      <w:rFonts w:ascii="Arial" w:eastAsia="MS Mincho" w:hAnsi="Arial" w:cs="Arial"/>
      <w:color w:val="000000"/>
      <w:sz w:val="20"/>
      <w:szCs w:val="20"/>
    </w:rPr>
  </w:style>
  <w:style w:type="paragraph" w:styleId="Footer">
    <w:name w:val="footer"/>
    <w:basedOn w:val="Normal"/>
    <w:link w:val="FooterChar"/>
    <w:uiPriority w:val="99"/>
    <w:unhideWhenUsed/>
    <w:rsid w:val="002B321A"/>
    <w:pPr>
      <w:tabs>
        <w:tab w:val="center" w:pos="4680"/>
        <w:tab w:val="right" w:pos="9360"/>
      </w:tabs>
      <w:spacing w:before="0"/>
    </w:pPr>
  </w:style>
  <w:style w:type="character" w:customStyle="1" w:styleId="FooterChar">
    <w:name w:val="Footer Char"/>
    <w:basedOn w:val="DefaultParagraphFont"/>
    <w:link w:val="Footer"/>
    <w:uiPriority w:val="99"/>
    <w:rsid w:val="002B321A"/>
    <w:rPr>
      <w:rFonts w:ascii="Arial" w:eastAsia="MS Mincho" w:hAnsi="Arial" w:cs="Arial"/>
      <w:color w:val="000000"/>
      <w:sz w:val="20"/>
      <w:szCs w:val="20"/>
    </w:rPr>
  </w:style>
  <w:style w:type="paragraph" w:styleId="ListParagraph">
    <w:name w:val="List Paragraph"/>
    <w:basedOn w:val="Normal"/>
    <w:uiPriority w:val="34"/>
    <w:qFormat/>
    <w:rsid w:val="002B321A"/>
    <w:pPr>
      <w:ind w:left="720"/>
      <w:contextualSpacing/>
    </w:pPr>
  </w:style>
  <w:style w:type="character" w:styleId="Hyperlink">
    <w:name w:val="Hyperlink"/>
    <w:uiPriority w:val="99"/>
    <w:unhideWhenUsed/>
    <w:rsid w:val="002B321A"/>
    <w:rPr>
      <w:color w:val="0000FF"/>
      <w:u w:val="single"/>
    </w:rPr>
  </w:style>
  <w:style w:type="paragraph" w:styleId="BalloonText">
    <w:name w:val="Balloon Text"/>
    <w:basedOn w:val="Normal"/>
    <w:link w:val="BalloonTextChar"/>
    <w:uiPriority w:val="99"/>
    <w:semiHidden/>
    <w:unhideWhenUsed/>
    <w:rsid w:val="002B32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21A"/>
    <w:rPr>
      <w:rFonts w:ascii="Tahoma" w:eastAsia="MS Mincho" w:hAnsi="Tahoma" w:cs="Tahoma"/>
      <w:color w:val="000000"/>
      <w:sz w:val="16"/>
      <w:szCs w:val="16"/>
    </w:rPr>
  </w:style>
  <w:style w:type="character" w:styleId="CommentReference">
    <w:name w:val="annotation reference"/>
    <w:basedOn w:val="DefaultParagraphFont"/>
    <w:uiPriority w:val="99"/>
    <w:semiHidden/>
    <w:unhideWhenUsed/>
    <w:rsid w:val="0086465F"/>
    <w:rPr>
      <w:sz w:val="16"/>
      <w:szCs w:val="16"/>
    </w:rPr>
  </w:style>
  <w:style w:type="paragraph" w:styleId="CommentText">
    <w:name w:val="annotation text"/>
    <w:basedOn w:val="Normal"/>
    <w:link w:val="CommentTextChar"/>
    <w:uiPriority w:val="99"/>
    <w:semiHidden/>
    <w:unhideWhenUsed/>
    <w:rsid w:val="0086465F"/>
  </w:style>
  <w:style w:type="character" w:customStyle="1" w:styleId="CommentTextChar">
    <w:name w:val="Comment Text Char"/>
    <w:basedOn w:val="DefaultParagraphFont"/>
    <w:link w:val="CommentText"/>
    <w:uiPriority w:val="99"/>
    <w:semiHidden/>
    <w:rsid w:val="0086465F"/>
    <w:rPr>
      <w:rFonts w:ascii="Arial" w:eastAsia="MS Mincho"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465F"/>
    <w:rPr>
      <w:b/>
      <w:bCs/>
    </w:rPr>
  </w:style>
  <w:style w:type="character" w:customStyle="1" w:styleId="CommentSubjectChar">
    <w:name w:val="Comment Subject Char"/>
    <w:basedOn w:val="CommentTextChar"/>
    <w:link w:val="CommentSubject"/>
    <w:uiPriority w:val="99"/>
    <w:semiHidden/>
    <w:rsid w:val="0086465F"/>
    <w:rPr>
      <w:rFonts w:ascii="Arial" w:eastAsia="MS Mincho" w:hAnsi="Arial" w:cs="Arial"/>
      <w:b/>
      <w:bCs/>
      <w:color w:val="000000"/>
      <w:sz w:val="20"/>
      <w:szCs w:val="20"/>
    </w:rPr>
  </w:style>
  <w:style w:type="character" w:customStyle="1" w:styleId="LogoportMarkup">
    <w:name w:val="LogoportMarkup"/>
    <w:basedOn w:val="DefaultParagraphFont"/>
    <w:rsid w:val="00D90274"/>
    <w:rPr>
      <w:rFonts w:ascii="Courier New" w:hAnsi="Courier New" w:cs="Courier New"/>
      <w:b w:val="0"/>
      <w:i w:val="0"/>
      <w:color w:val="FF0000"/>
      <w:sz w:val="18"/>
    </w:rPr>
  </w:style>
  <w:style w:type="character" w:customStyle="1" w:styleId="LogoportDoNotTranslate">
    <w:name w:val="LogoportDoNotTranslate"/>
    <w:basedOn w:val="DefaultParagraphFont"/>
    <w:rsid w:val="00D90274"/>
    <w:rPr>
      <w:rFonts w:ascii="Courier New" w:hAnsi="Courier New" w:cs="Courier New"/>
      <w:b w:val="0"/>
      <w:i w:val="0"/>
      <w:color w:val="808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22052">
      <w:bodyDiv w:val="1"/>
      <w:marLeft w:val="0"/>
      <w:marRight w:val="0"/>
      <w:marTop w:val="0"/>
      <w:marBottom w:val="0"/>
      <w:divBdr>
        <w:top w:val="none" w:sz="0" w:space="0" w:color="auto"/>
        <w:left w:val="none" w:sz="0" w:space="0" w:color="auto"/>
        <w:bottom w:val="none" w:sz="0" w:space="0" w:color="auto"/>
        <w:right w:val="none" w:sz="0" w:space="0" w:color="auto"/>
      </w:divBdr>
    </w:div>
    <w:div w:id="20959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microsoft.com/licensing/contracts"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3d18e3-5990-40a1-8dcb-0f3da32f25c0">
      <UserInfo>
        <DisplayName>Ahmad Mebed (LCA)</DisplayName>
        <AccountId>539</AccountId>
        <AccountType/>
      </UserInfo>
      <UserInfo>
        <DisplayName>Tolga Sinan Guney</DisplayName>
        <AccountId>71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138739C615FE4C8EB12767BFE2A230" ma:contentTypeVersion="3" ma:contentTypeDescription="Create a new document." ma:contentTypeScope="" ma:versionID="9a9f4863fd02e6451a2d5904b31bf512">
  <xsd:schema xmlns:xsd="http://www.w3.org/2001/XMLSchema" xmlns:xs="http://www.w3.org/2001/XMLSchema" xmlns:p="http://schemas.microsoft.com/office/2006/metadata/properties" xmlns:ns2="413d18e3-5990-40a1-8dcb-0f3da32f25c0" targetNamespace="http://schemas.microsoft.com/office/2006/metadata/properties" ma:root="true" ma:fieldsID="6b98bc96c417f125cfa08dcb3b09176c" ns2:_="">
    <xsd:import namespace="413d18e3-5990-40a1-8dcb-0f3da32f25c0"/>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d18e3-5990-40a1-8dcb-0f3da32f25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246B7-EC90-44BE-9FE7-FB747A32FEAC}"/>
</file>

<file path=customXml/itemProps2.xml><?xml version="1.0" encoding="utf-8"?>
<ds:datastoreItem xmlns:ds="http://schemas.openxmlformats.org/officeDocument/2006/customXml" ds:itemID="{648BC73B-59D5-4C34-A35B-4542FB85B5C2}"/>
</file>

<file path=customXml/itemProps3.xml><?xml version="1.0" encoding="utf-8"?>
<ds:datastoreItem xmlns:ds="http://schemas.openxmlformats.org/officeDocument/2006/customXml" ds:itemID="{F732D59E-7684-49F8-BBA0-2E8D28E2CCEB}"/>
</file>

<file path=customXml/itemProps4.xml><?xml version="1.0" encoding="utf-8"?>
<ds:datastoreItem xmlns:ds="http://schemas.openxmlformats.org/officeDocument/2006/customXml" ds:itemID="{38E6A673-3BAC-4655-8D19-436119FA2001}"/>
</file>

<file path=docProps/app.xml><?xml version="1.0" encoding="utf-8"?>
<Properties xmlns="http://schemas.openxmlformats.org/officeDocument/2006/extended-properties" xmlns:vt="http://schemas.openxmlformats.org/officeDocument/2006/docPropsVTypes">
  <Template>Normal.dotm</Template>
  <TotalTime>12</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Myles (Inviso)</dc:creator>
  <cp:lastModifiedBy>Dabade, Ajay</cp:lastModifiedBy>
  <cp:revision>72</cp:revision>
  <cp:lastPrinted>2015-06-01T11:38:00Z</cp:lastPrinted>
  <dcterms:created xsi:type="dcterms:W3CDTF">2015-05-15T22:18:00Z</dcterms:created>
  <dcterms:modified xsi:type="dcterms:W3CDTF">2015-06-01T11:38:00Z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0x010100E6138739C615FE4C8EB12767BFE2A230</vt:lpwstr>
  </property>
  <property fmtid="{D5CDD505-2E9C-101B-9397-08002B2CF9AE}" pid="3" name="_dlc_DocIdItemGuid">
    <vt:lpwstr>5cc45244-fabc-44fd-acd8-cc8be7860baa</vt:lpwstr>
  </property>
</Properties>
</file>