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9DA5B" w14:textId="17D15E68" w:rsidR="00E96A3F" w:rsidRDefault="00D6644C" w:rsidP="00D13D55">
      <w:pPr>
        <w:spacing w:before="240" w:after="240"/>
        <w:ind w:left="450"/>
        <w:jc w:val="left"/>
        <w:rPr>
          <w:sz w:val="36"/>
          <w:szCs w:val="36"/>
        </w:rPr>
        <w:sectPr w:rsidR="00E96A3F" w:rsidSect="00C8797A">
          <w:headerReference w:type="even" r:id="rId13"/>
          <w:headerReference w:type="default" r:id="rId14"/>
          <w:footerReference w:type="even" r:id="rId15"/>
          <w:footerReference w:type="default" r:id="rId16"/>
          <w:headerReference w:type="first" r:id="rId17"/>
          <w:footerReference w:type="first" r:id="rId18"/>
          <w:pgSz w:w="11907" w:h="16839" w:code="9"/>
          <w:pgMar w:top="936" w:right="936" w:bottom="936" w:left="936" w:header="576" w:footer="432" w:gutter="0"/>
          <w:cols w:space="720"/>
          <w:titlePg/>
          <w:docGrid w:linePitch="360"/>
        </w:sectPr>
      </w:pPr>
      <w:r>
        <w:rPr>
          <w:sz w:val="36"/>
          <w:szCs w:val="36"/>
        </w:rPr>
        <w:t>Smlouva Business and Services</w:t>
      </w:r>
    </w:p>
    <w:p w14:paraId="59785714" w14:textId="49F02B72" w:rsidR="00D6644C" w:rsidRPr="00274A71" w:rsidRDefault="00D6644C" w:rsidP="00353F2C">
      <w:pPr>
        <w:spacing w:before="360"/>
        <w:jc w:val="left"/>
      </w:pPr>
      <w:r>
        <w:t>Tuto smlouvu Microsoft Business and Services Agreement („MBSA“) uzavírají subjekty uvedené na podpisovém formuláři a její podmínky a ujednání jsou začleněny odkazem do jakékoli doplňkové smlouvy, na základě které zákazník nebo jeho afilace získali produkty nebo odborné služby.</w:t>
      </w:r>
    </w:p>
    <w:p w14:paraId="59785717" w14:textId="49187100" w:rsidR="00D6644C" w:rsidRPr="00274A71" w:rsidRDefault="00D6644C" w:rsidP="00C65630">
      <w:pPr>
        <w:pStyle w:val="Heading1"/>
        <w:numPr>
          <w:ilvl w:val="0"/>
          <w:numId w:val="30"/>
        </w:numPr>
        <w:spacing w:before="360"/>
        <w:ind w:left="720" w:hanging="720"/>
      </w:pPr>
      <w:bookmarkStart w:id="1" w:name="_Toc261346412"/>
      <w:r>
        <w:t>Definice</w:t>
      </w:r>
      <w:bookmarkEnd w:id="1"/>
      <w:r w:rsidR="008B2FA3">
        <w:t>.</w:t>
      </w:r>
    </w:p>
    <w:p w14:paraId="59785718" w14:textId="48B03EF2" w:rsidR="00D6644C" w:rsidRPr="00274A71" w:rsidRDefault="00D6644C" w:rsidP="00353F2C">
      <w:pPr>
        <w:jc w:val="left"/>
      </w:pPr>
      <w:r>
        <w:t>V této smlouvě platí následující definice:</w:t>
      </w:r>
    </w:p>
    <w:p w14:paraId="59785719" w14:textId="5E5645DD" w:rsidR="00D6644C" w:rsidRPr="00274A71" w:rsidRDefault="00D6644C" w:rsidP="00353F2C">
      <w:pPr>
        <w:jc w:val="left"/>
      </w:pPr>
      <w:r>
        <w:t>„Afilace“ znamená jakoukoli právnickou osobu, kterou strana ovládá, která ovládá stranu nebo která je ovládána společně se stranou. „Ovládáním“ se rozumí vlastnictví více než 50</w:t>
      </w:r>
      <w:r w:rsidR="001131DC">
        <w:t xml:space="preserve"> </w:t>
      </w:r>
      <w:r>
        <w:t>% cenných papírů subjektu, jež jsou spojené s právem volby, nebo práva k řízení managementu a zásad subjektu.</w:t>
      </w:r>
    </w:p>
    <w:p w14:paraId="5978571B" w14:textId="7FC9AA3D" w:rsidR="00D6644C" w:rsidRPr="00274A71" w:rsidRDefault="00D6644C" w:rsidP="00353F2C">
      <w:pPr>
        <w:jc w:val="left"/>
      </w:pPr>
      <w:r>
        <w:t>„Zákazník“ znamená právnickou osobu, která uzavřela tuto smlouvu.</w:t>
      </w:r>
    </w:p>
    <w:p w14:paraId="5978571C" w14:textId="47CC8153" w:rsidR="00A83162" w:rsidRPr="00274A71" w:rsidRDefault="00A83162" w:rsidP="00353F2C">
      <w:pPr>
        <w:jc w:val="left"/>
      </w:pPr>
      <w:r>
        <w:t>„Data zákazníka“ označují všechna data včetně veškerých textových, zvukových, softwarových, obrázkových nebo video souborů poskytnutých společnosti Microsoft zákazníkem a jeho afilacemi, případně jejich jménem, během užívání služeb online.</w:t>
      </w:r>
    </w:p>
    <w:p w14:paraId="01E9CA2A" w14:textId="27728BB9" w:rsidR="00B54749" w:rsidRPr="00274A71" w:rsidRDefault="00B54749" w:rsidP="00A9162A">
      <w:pPr>
        <w:jc w:val="left"/>
      </w:pPr>
      <w:r>
        <w:rPr>
          <w:bCs/>
        </w:rPr>
        <w:t>„Den“ označuje kalendářní den</w:t>
      </w:r>
      <w:r w:rsidRPr="00681B5B">
        <w:rPr>
          <w:bCs/>
        </w:rPr>
        <w:t>.</w:t>
      </w:r>
    </w:p>
    <w:p w14:paraId="3F9DA309" w14:textId="77777777" w:rsidR="003A5A1D" w:rsidRPr="00274A71" w:rsidRDefault="00D6644C" w:rsidP="00353F2C">
      <w:pPr>
        <w:jc w:val="left"/>
      </w:pPr>
      <w:r>
        <w:t>„Opravy“ znamenají opravné programy pro produkty, úpravy nebo vylepšení nebo jejich odvozeniny, které společnost Microsoft obecně vydá (například aktualizace Service Pack produktu) nebo poskytne zákazníkovi s cílem vyřešit určitý problém.</w:t>
      </w:r>
    </w:p>
    <w:p w14:paraId="5978571E" w14:textId="7C14A8D3" w:rsidR="00D6644C" w:rsidRPr="00274A71" w:rsidRDefault="00D6644C" w:rsidP="00353F2C">
      <w:pPr>
        <w:jc w:val="left"/>
      </w:pPr>
      <w:r>
        <w:t>Microsoft znamená afilaci společnosti Microsoft, která uzavřela tuto smlouvu, a její afilace dle příslušnosti.</w:t>
      </w:r>
    </w:p>
    <w:p w14:paraId="73F3232B" w14:textId="65F749B5" w:rsidR="006170FF" w:rsidRPr="00274A71" w:rsidRDefault="009869ED" w:rsidP="00353F2C">
      <w:pPr>
        <w:jc w:val="left"/>
      </w:pPr>
      <w:r>
        <w:t>„Služby online“ znamenají služby, které společnost Microsoft poskytuje v hostitelském režimu a které jsou v podmínkách produktu popsány jako služby online.</w:t>
      </w:r>
    </w:p>
    <w:p w14:paraId="7B4A1DC6" w14:textId="78D143B7" w:rsidR="006170FF" w:rsidRPr="00274A71" w:rsidRDefault="006170FF" w:rsidP="006170FF">
      <w:pPr>
        <w:jc w:val="left"/>
      </w:pPr>
      <w:r>
        <w:t>„Podmínky služeb online“ znamenají dodatečné podmínky, které se vztahují na zákazníkovo užívání služeb online a které jsou zveřejněny na multilicenčním webu a průběžně aktualizovány.</w:t>
      </w:r>
    </w:p>
    <w:p w14:paraId="5978571F" w14:textId="05F97FDA" w:rsidR="009869ED" w:rsidRPr="00274A71" w:rsidRDefault="004F0B7D" w:rsidP="00353F2C">
      <w:pPr>
        <w:jc w:val="left"/>
      </w:pPr>
      <w:r>
        <w:t>„Dosavadní dílo“ znamená jakýkoli počítačový kód nebo jiné písemné materiály vyvinuté nebo jinak získané nezávisle na této smlouvě.</w:t>
      </w:r>
    </w:p>
    <w:p w14:paraId="59785720" w14:textId="2D4BCE37" w:rsidR="00D6644C" w:rsidRPr="00274A71" w:rsidRDefault="00D6644C" w:rsidP="00353F2C">
      <w:pPr>
        <w:jc w:val="left"/>
      </w:pPr>
      <w:r>
        <w:t xml:space="preserve">„Produkty“ </w:t>
      </w:r>
      <w:r>
        <w:rPr>
          <w:color w:val="000000" w:themeColor="text1"/>
        </w:rPr>
        <w:t xml:space="preserve">jsou jakékoli produkty jako software, služby online nebo jiné webové služby včetně předběžných a beta verzí, které jsou uvedeny v podmínkách produktu. </w:t>
      </w:r>
      <w:r>
        <w:t>Dostupnost produktů se v jednotlivých regionech liší.</w:t>
      </w:r>
    </w:p>
    <w:p w14:paraId="32C390B7" w14:textId="59B93275" w:rsidR="00A2550D" w:rsidRPr="00274A71" w:rsidRDefault="00D6644C" w:rsidP="00353F2C">
      <w:pPr>
        <w:jc w:val="left"/>
      </w:pPr>
      <w:r>
        <w:t>„Podmínky produktu“ jsou dokument, který uvádí informace o produktech a odborných službách společnosti Microsoft dostupných prostřednictvím multilicenčního programu. Podmínky produktu jsou zveřejněny na multilicenčním webu a jsou průběžně aktualizovány.</w:t>
      </w:r>
    </w:p>
    <w:p w14:paraId="6366E761" w14:textId="3C6ABF7F" w:rsidR="003520B5" w:rsidRPr="00274A71" w:rsidRDefault="003520B5" w:rsidP="00353F2C">
      <w:pPr>
        <w:jc w:val="left"/>
      </w:pPr>
      <w:r>
        <w:t>„Odborné služby“ znamenají služby podpory produktu a poradenské služby společnosti Microsoft poskytované zákazníkovi na základě této smlouvy. „Odborné služby“ nezahrnují služby online.</w:t>
      </w:r>
    </w:p>
    <w:p w14:paraId="59785723" w14:textId="5FA82948" w:rsidR="00A7060C" w:rsidRPr="00274A71" w:rsidRDefault="005F7BBC" w:rsidP="00353F2C">
      <w:pPr>
        <w:jc w:val="left"/>
      </w:pPr>
      <w:r>
        <w:t>„SLA“ označuje smlouvu o úrovni služeb, která obsahuje podmínky určující minimální úroveň služeb pro služby online a je k dispozici na multilicenčním webu.</w:t>
      </w:r>
    </w:p>
    <w:p w14:paraId="59785724" w14:textId="6ECE6D19" w:rsidR="00D6644C" w:rsidRPr="00274A71" w:rsidRDefault="00D6644C" w:rsidP="00353F2C">
      <w:pPr>
        <w:jc w:val="left"/>
      </w:pPr>
      <w:r>
        <w:t>„Výstupy ze služeb“ znamenají jakýkoli počítačový kód nebo materiál jiný než produkty nebo opravy, který společnost Microsoft zákazníkovi ponechá po ukončení poskytování svých odborných služeb.</w:t>
      </w:r>
    </w:p>
    <w:p w14:paraId="7F9D593E" w14:textId="45A63781" w:rsidR="00FF566B" w:rsidRPr="00274A71" w:rsidRDefault="00FF566B" w:rsidP="00353F2C">
      <w:pPr>
        <w:jc w:val="left"/>
      </w:pPr>
      <w:r>
        <w:t>„Software“ označuje licencované kopie softwaru společnosti Microsoft, které jsou uvedeny v podmínkách produktu. Software nezahrnuje služby online ani výstupy ze služeb, může však být součástí služby online.</w:t>
      </w:r>
    </w:p>
    <w:p w14:paraId="59785726" w14:textId="29D48691" w:rsidR="00D6644C" w:rsidRPr="00274A71" w:rsidRDefault="009C1AB8" w:rsidP="00353F2C">
      <w:pPr>
        <w:jc w:val="left"/>
      </w:pPr>
      <w:r>
        <w:t>Popis služeb znamená libovolné objednávky práce nebo jiný popis odborných služeb, který tuto smlouvu MBSA zahrnuje.</w:t>
      </w:r>
    </w:p>
    <w:p w14:paraId="59785727" w14:textId="006BB5DD" w:rsidR="00463809" w:rsidRPr="00274A71" w:rsidRDefault="00463809" w:rsidP="00353F2C">
      <w:pPr>
        <w:jc w:val="left"/>
      </w:pPr>
      <w:r>
        <w:t>„Doplňková smlouva“ znamená jakoukoli smlouvu zahrnující podmínky této smlouvy MBSA.</w:t>
      </w:r>
    </w:p>
    <w:p w14:paraId="59785728" w14:textId="7E0528BA" w:rsidR="009C1AB8" w:rsidRPr="00274A71" w:rsidRDefault="009C1AB8" w:rsidP="00353F2C">
      <w:pPr>
        <w:jc w:val="left"/>
      </w:pPr>
      <w:r>
        <w:t>Obchodní tajemství označuje informace, které nejsou obecně známé nebo lehce zjistitelné, jejich výsledkem je ekonomická hodnota a jsou předmětem rozumných činností a okolností pro zachování jejich důvěrnosti.</w:t>
      </w:r>
    </w:p>
    <w:p w14:paraId="079F38AB" w14:textId="79AB8E0B" w:rsidR="003520B5" w:rsidRPr="00274A71" w:rsidRDefault="000400BB" w:rsidP="002540F6">
      <w:pPr>
        <w:keepNext/>
        <w:keepLines/>
        <w:tabs>
          <w:tab w:val="right" w:pos="9027"/>
        </w:tabs>
        <w:jc w:val="left"/>
      </w:pPr>
      <w:r>
        <w:lastRenderedPageBreak/>
        <w:t>„Provozovat“ nebo „užívat“ znamená kopírovat, instalovat, užívat, zobrazovat a provozovat produkt, přistupovat k němu nebo jinak interagovat.</w:t>
      </w:r>
      <w:r>
        <w:tab/>
      </w:r>
    </w:p>
    <w:p w14:paraId="59785729" w14:textId="48A8F78A" w:rsidR="00477926" w:rsidRPr="00274A71" w:rsidRDefault="00FE27D3" w:rsidP="00353F2C">
      <w:pPr>
        <w:jc w:val="left"/>
      </w:pPr>
      <w:r>
        <w:t>„</w:t>
      </w:r>
      <w:r w:rsidR="001B3C4C">
        <w:t>Užívací práva“ jsou užívací práva nebo podmínky služby pro jednotlivé produkty zveřejněné na multilicenčním webu a průběžně aktualizované. Užívací práva nahrazují podmínky jakékoli licenční smlouvy koncového uživatele dodávané s produktem. Užívací práva k softwaru jsou zveřejněna společností Microsoft v podmínkách produktu. Užívací práva pro služby online jsou zveřejněna v podmínkách služeb online.</w:t>
      </w:r>
    </w:p>
    <w:p w14:paraId="44C1B42A" w14:textId="75B5ED59" w:rsidR="003520B5" w:rsidRPr="00274A71" w:rsidRDefault="003520B5" w:rsidP="00353F2C">
      <w:pPr>
        <w:jc w:val="left"/>
      </w:pPr>
      <w:r>
        <w:t xml:space="preserve">„Multilicenční web“ znamená </w:t>
      </w:r>
      <w:hyperlink r:id="rId19" w:history="1">
        <w:r>
          <w:rPr>
            <w:rStyle w:val="Hyperlink"/>
          </w:rPr>
          <w:t>http://www.microsoft.com/licensing/contracts</w:t>
        </w:r>
      </w:hyperlink>
      <w:r>
        <w:t xml:space="preserve"> nebo nástupnický web.</w:t>
      </w:r>
    </w:p>
    <w:p w14:paraId="5978572A" w14:textId="49B3E1F8" w:rsidR="00D6644C" w:rsidRPr="00274A71" w:rsidRDefault="00D6644C" w:rsidP="00C65630">
      <w:pPr>
        <w:pStyle w:val="Heading1"/>
        <w:numPr>
          <w:ilvl w:val="0"/>
          <w:numId w:val="30"/>
        </w:numPr>
        <w:ind w:left="720" w:hanging="720"/>
      </w:pPr>
      <w:bookmarkStart w:id="2" w:name="_Toc261346413"/>
      <w:r>
        <w:t>Užívací, vlastnická a obecná práva a omezení</w:t>
      </w:r>
      <w:bookmarkEnd w:id="2"/>
      <w:r w:rsidR="008B2FA3">
        <w:t>.</w:t>
      </w:r>
    </w:p>
    <w:p w14:paraId="5978572B" w14:textId="24E652FB" w:rsidR="00D6644C" w:rsidRPr="00274A71" w:rsidRDefault="00D6644C" w:rsidP="00A9162A">
      <w:pPr>
        <w:pStyle w:val="ListParagraph"/>
        <w:numPr>
          <w:ilvl w:val="0"/>
          <w:numId w:val="14"/>
        </w:numPr>
        <w:ind w:left="1080"/>
        <w:contextualSpacing w:val="0"/>
        <w:jc w:val="left"/>
      </w:pPr>
      <w:r>
        <w:rPr>
          <w:b/>
          <w:bCs/>
        </w:rPr>
        <w:t>Produkty.</w:t>
      </w:r>
      <w:r w:rsidR="00947828">
        <w:t xml:space="preserve"> </w:t>
      </w:r>
      <w:r>
        <w:t>Není-li v dodatečné smlouvě stanoveno jinak, řídí se užívání jakéhokoli produktu užívacími právy pro daný produkt a jeho verzi, a dále podmínkami příslušné dodatečné smlouvy.</w:t>
      </w:r>
    </w:p>
    <w:p w14:paraId="5978572C" w14:textId="43D47850" w:rsidR="00D6644C" w:rsidRPr="00274A71" w:rsidRDefault="00D6644C" w:rsidP="00A9162A">
      <w:pPr>
        <w:pStyle w:val="ListParagraph"/>
        <w:keepNext/>
        <w:numPr>
          <w:ilvl w:val="0"/>
          <w:numId w:val="14"/>
        </w:numPr>
        <w:ind w:left="1080"/>
        <w:contextualSpacing w:val="0"/>
        <w:jc w:val="left"/>
      </w:pPr>
      <w:r>
        <w:rPr>
          <w:b/>
          <w:bCs/>
        </w:rPr>
        <w:t>Opravy a výstupy ze služeb</w:t>
      </w:r>
      <w:r w:rsidR="008B2FA3">
        <w:rPr>
          <w:b/>
          <w:bCs/>
        </w:rPr>
        <w:t>.</w:t>
      </w:r>
    </w:p>
    <w:p w14:paraId="5978572D" w14:textId="2A8D1EF1" w:rsidR="00D6644C" w:rsidRPr="00274A71" w:rsidRDefault="00D6644C" w:rsidP="00A9162A">
      <w:pPr>
        <w:pStyle w:val="ListParagraph"/>
        <w:numPr>
          <w:ilvl w:val="0"/>
          <w:numId w:val="13"/>
        </w:numPr>
        <w:ind w:left="1440"/>
        <w:contextualSpacing w:val="0"/>
        <w:jc w:val="left"/>
      </w:pPr>
      <w:r>
        <w:rPr>
          <w:b/>
          <w:bCs/>
        </w:rPr>
        <w:t>Opravy.</w:t>
      </w:r>
      <w:r w:rsidR="00947828">
        <w:t xml:space="preserve"> </w:t>
      </w:r>
      <w:r>
        <w:t>Každá oprava je licencována za stejných podmínek jako produkt, na který se vztahuje. Pokud oprava není poskytnuta pro konkrétní produkt, platí veškerá užívací práva, které společnost Microsoft poskytne s danou opravou.</w:t>
      </w:r>
    </w:p>
    <w:p w14:paraId="5978572F" w14:textId="36DEC0E7" w:rsidR="00D6644C" w:rsidRPr="00274A71" w:rsidRDefault="00D6644C" w:rsidP="00A9162A">
      <w:pPr>
        <w:pStyle w:val="ListParagraph"/>
        <w:numPr>
          <w:ilvl w:val="0"/>
          <w:numId w:val="13"/>
        </w:numPr>
        <w:ind w:left="1440"/>
        <w:contextualSpacing w:val="0"/>
        <w:jc w:val="left"/>
      </w:pPr>
      <w:r>
        <w:rPr>
          <w:b/>
          <w:bCs/>
        </w:rPr>
        <w:t>Již existující dílo.</w:t>
      </w:r>
      <w:r w:rsidR="00947828">
        <w:t xml:space="preserve"> </w:t>
      </w:r>
      <w:r>
        <w:t>Vlastníkem všech práv k dosavadnímu dílu zůstává strana, která je poskytuje. Každá strana smí používat, rozmnožovat a upravovat dosavadní dílo druhé strany pouze v rozsahu, který je nutný k vykonávání povinností souvisejících s odbornými službami.</w:t>
      </w:r>
    </w:p>
    <w:p w14:paraId="593AB045" w14:textId="4E8643DC" w:rsidR="00DB0A70" w:rsidRPr="00274A71" w:rsidRDefault="00996D6D" w:rsidP="00A9162A">
      <w:pPr>
        <w:pStyle w:val="ListParagraph"/>
        <w:keepNext/>
        <w:numPr>
          <w:ilvl w:val="0"/>
          <w:numId w:val="13"/>
        </w:numPr>
        <w:ind w:left="1440"/>
        <w:contextualSpacing w:val="0"/>
        <w:jc w:val="left"/>
      </w:pPr>
      <w:r>
        <w:rPr>
          <w:b/>
          <w:bCs/>
        </w:rPr>
        <w:t>Výstupy ze služeb.</w:t>
      </w:r>
      <w:r w:rsidR="00947828">
        <w:rPr>
          <w:b/>
          <w:bCs/>
        </w:rPr>
        <w:t xml:space="preserve"> </w:t>
      </w:r>
      <w:r>
        <w:t>Po úplném uhrazení odborných služeb společnost Microsoft poskytuje zákazníkovi nevýhradní, nepřenosnou, časově neomezenou licenci k rozmnožování, užívání a úpravám výstupů ze služeb, a to výhradně pro interní obchodní účely zákazníka a v souladu s podmínkami a ujednáními této smlouvy.</w:t>
      </w:r>
    </w:p>
    <w:p w14:paraId="59785733" w14:textId="0C82A955" w:rsidR="00452755" w:rsidRPr="00274A71" w:rsidRDefault="00452755" w:rsidP="00A9162A">
      <w:pPr>
        <w:pStyle w:val="ListParagraph"/>
        <w:numPr>
          <w:ilvl w:val="0"/>
          <w:numId w:val="13"/>
        </w:numPr>
        <w:ind w:left="1440"/>
        <w:contextualSpacing w:val="0"/>
        <w:jc w:val="left"/>
      </w:pPr>
      <w:r>
        <w:rPr>
          <w:b/>
          <w:bCs/>
        </w:rPr>
        <w:t>Práva afilací.</w:t>
      </w:r>
      <w:r w:rsidR="00947828">
        <w:t xml:space="preserve"> </w:t>
      </w:r>
      <w:r>
        <w:t>Zákazník smí poskytnout sublicenci k výstupům ze služeb svým afilacím, avšak tyto afilace již nesmějí tato práva dále sublicencovat. Zákazník je odpovědný za to, že jeho afilace dodržují podmínky této smlouvy.</w:t>
      </w:r>
    </w:p>
    <w:p w14:paraId="70B7DC4E" w14:textId="1C679DCF" w:rsidR="00404D1D" w:rsidRPr="00274A71" w:rsidRDefault="005F6289" w:rsidP="00A9162A">
      <w:pPr>
        <w:pStyle w:val="ListParagraph"/>
        <w:keepNext/>
        <w:numPr>
          <w:ilvl w:val="0"/>
          <w:numId w:val="14"/>
        </w:numPr>
        <w:ind w:left="1080"/>
        <w:contextualSpacing w:val="0"/>
        <w:jc w:val="left"/>
      </w:pPr>
      <w:r>
        <w:rPr>
          <w:b/>
        </w:rPr>
        <w:t>Software a technologie od jiných subjektů než Microsoft.</w:t>
      </w:r>
      <w:r w:rsidR="00947828">
        <w:rPr>
          <w:b/>
        </w:rPr>
        <w:t xml:space="preserve"> </w:t>
      </w:r>
      <w:r>
        <w:t>Zákazník je výhradně odpovědný za jakýkoli software či technologie od jiných společností než Microsoft, které nainstaluje nebo používá s produkty, opravami či výstupy ze služeb.</w:t>
      </w:r>
    </w:p>
    <w:p w14:paraId="08E5A92E" w14:textId="674573E3" w:rsidR="00C246FA" w:rsidRPr="00D13C44" w:rsidRDefault="00405CB6" w:rsidP="00A9162A">
      <w:pPr>
        <w:pStyle w:val="ListParagraph"/>
        <w:numPr>
          <w:ilvl w:val="0"/>
          <w:numId w:val="14"/>
        </w:numPr>
        <w:ind w:left="1080"/>
        <w:contextualSpacing w:val="0"/>
        <w:jc w:val="left"/>
        <w:rPr>
          <w:spacing w:val="-2"/>
        </w:rPr>
      </w:pPr>
      <w:r w:rsidRPr="00D13C44">
        <w:rPr>
          <w:b/>
          <w:spacing w:val="-2"/>
        </w:rPr>
        <w:t>Omezení.</w:t>
      </w:r>
      <w:r w:rsidR="00947828" w:rsidRPr="00D13C44">
        <w:rPr>
          <w:b/>
          <w:spacing w:val="-2"/>
        </w:rPr>
        <w:t xml:space="preserve"> </w:t>
      </w:r>
      <w:r w:rsidRPr="00D13C44">
        <w:rPr>
          <w:bCs/>
          <w:spacing w:val="-2"/>
        </w:rPr>
        <w:t>Zákazník nesmí (a nevlastní pro toto licenci)</w:t>
      </w:r>
      <w:r w:rsidRPr="00D13C44">
        <w:rPr>
          <w:spacing w:val="-2"/>
        </w:rPr>
        <w:t xml:space="preserve"> (1) provádět zpětnou analýzu, dekompilaci nebo rozklad produktu, opravy nebo výstupu ze služeb; (2) instalovat nebo používat software nebo technologii jiného subjektu než Microsoft způsobem, který by duševní vlastnictví společnosti Microsoft vystavil jakýmkoli jiným licenčním podmínkám; ani (3) obcházet technická omezení v produktu, opravě nebo výstupu ze služeb nebo omezení v produktové dokumentaci. Není-li to v této smlouvě, doplňkové smlouvě nebo produktové dokumentaci výslovně povoleno, zákazník nesmí (a nemá k tomu udělenou licenci) (1) oddělovat a provozovat části produktu nebo opravy na než jednom zařízení, upgradovat nebo downgradovat části produktu nebo opravy v různé době ani odděleně převádět části produktu nebo opravy; ani (2) distribuovat, poskytovat sublicence, pronajímat, poskytovat na leasing nebo půjčovat jakékoli produkty, opravy nebo výstupy ze služeb, ať již v celku nebo po částech, ani je užívat k poskytování hostovacích služeb třetí straně.</w:t>
      </w:r>
    </w:p>
    <w:p w14:paraId="00DD7D72" w14:textId="4C8E9E43" w:rsidR="00DF0300" w:rsidRPr="00274A71" w:rsidRDefault="00D6644C" w:rsidP="00A9162A">
      <w:pPr>
        <w:pStyle w:val="ListParagraph"/>
        <w:numPr>
          <w:ilvl w:val="0"/>
          <w:numId w:val="14"/>
        </w:numPr>
        <w:ind w:left="1080"/>
        <w:contextualSpacing w:val="0"/>
        <w:jc w:val="left"/>
      </w:pPr>
      <w:r>
        <w:rPr>
          <w:b/>
          <w:bCs/>
        </w:rPr>
        <w:t>Vyhrazení práv.</w:t>
      </w:r>
      <w:r w:rsidR="00947828">
        <w:t xml:space="preserve"> </w:t>
      </w:r>
      <w:r>
        <w:t>Produkty, opravy a výstupy ze služeb jsou chráněny autorským právem a dalšími zákony o duševním vlastnictví a mezinárodními smlouvami. Společnost Microsoft si vyhrazuje všechna práva, která nejsou výslovně poskytnuta v této smlouvě.</w:t>
      </w:r>
      <w:r w:rsidR="00947828">
        <w:t xml:space="preserve"> </w:t>
      </w:r>
      <w:r>
        <w:t>Žádná práva nebudou udělena ani odvozena prominutím ani překážkou.</w:t>
      </w:r>
      <w:r w:rsidR="00947828">
        <w:t xml:space="preserve"> </w:t>
      </w:r>
      <w:r>
        <w:t>Práva přístupu nebo práva k užívání softwaru v zařízení neposkytují zákazníkovi žádná práva ve vztahu k implementaci patentů společnosti Microsoft nebo jiného předmětu duševního vlastnictví společnosti Microsoft v samotném zařízení ani v jiném softwaru nebo zařízeních.</w:t>
      </w:r>
    </w:p>
    <w:p w14:paraId="5978573A" w14:textId="14F0C030" w:rsidR="00BD115A" w:rsidRPr="00274A71" w:rsidRDefault="00BD115A" w:rsidP="00C65630">
      <w:pPr>
        <w:pStyle w:val="Heading1"/>
        <w:numPr>
          <w:ilvl w:val="0"/>
          <w:numId w:val="30"/>
        </w:numPr>
        <w:ind w:left="720" w:hanging="720"/>
      </w:pPr>
      <w:bookmarkStart w:id="3" w:name="_Toc261346414"/>
      <w:r>
        <w:lastRenderedPageBreak/>
        <w:t>Důvěrnost</w:t>
      </w:r>
      <w:bookmarkEnd w:id="3"/>
      <w:r w:rsidR="008B2FA3">
        <w:t>.</w:t>
      </w:r>
    </w:p>
    <w:p w14:paraId="59785744" w14:textId="06B83FF1" w:rsidR="00D6644C" w:rsidRPr="00274A71" w:rsidRDefault="00B01AC1" w:rsidP="00353F2C">
      <w:pPr>
        <w:jc w:val="left"/>
      </w:pPr>
      <w:r>
        <w:t>„Důvěrné informace“ jsou neveřejné informace, které jsou označeny jako „důvěrné“ nebo jež by rozumná osoba považovala nebo by důvodně měla považovat za důvěrné, včetně zákaznických dat a termínů smluv společnosti Microsoft. Podmínky služeb online mohou obsahovat další povinnosti nebo omezení týkající se zveřejnění nebo používání zákaznických dat. Důvěrné informace nezahrnují informace, které (1) se stanou veřejně dostupnými, aniž by došlo k porušení této smlouvy, (2) byly zákonným způsobem přijímající stranou obdrženy z jiného zdroje, a to bez povinnosti zachovávat jejich důvěrnost, (3) jsou nezávisle vyvíjeny nebo (4) představují komentář nebo návrh, který byl dobrovolně přednesen a týká se obchodní činnosti, produktů nebo služeb druhé strany.</w:t>
      </w:r>
    </w:p>
    <w:p w14:paraId="5978574C" w14:textId="6579B0A7" w:rsidR="00D6644C" w:rsidRPr="00274A71" w:rsidRDefault="00F05E9B" w:rsidP="00353F2C">
      <w:pPr>
        <w:jc w:val="left"/>
      </w:pPr>
      <w:r>
        <w:t>Každá strana provede přiměřené kroky v zájmu ochrany důvěrných informací druhé strany a tyto důvěrné informace použije pouze pro účely obchodního vztahu. Žádná strana nezveřejnění tyto důvěrné informace třetím stranám, s výjimkou svých zaměstnanců, afilací, subdodavatelů, poradců nebo konzultantů („zástupci“), a pouze v rozsahu nezbytně nutném a za dodržení povinností zachovávat důvěrnost stanovených v této smlouvě. Každá strana nese odpovědnost za používání důvěrných informací jejími zástupci a v případě zjištění neoprávněného použití nebo zveřejnění musí neprodleně informovat druhou stranu.</w:t>
      </w:r>
    </w:p>
    <w:p w14:paraId="1F6B3228" w14:textId="2E462EF1" w:rsidR="007A1C61" w:rsidRPr="00274A71" w:rsidRDefault="007A1C61" w:rsidP="00353F2C">
      <w:pPr>
        <w:jc w:val="left"/>
      </w:pPr>
      <w:r>
        <w:t>Strana může zveřejnit důvěrné informace druhé strany, pokud to vyžaduje zákon, ale pouze poté, co druhou stranu upozorní (je-li to právně přípustné), aby si tato mohla zajistit ochranný příkaz.</w:t>
      </w:r>
    </w:p>
    <w:p w14:paraId="59785752" w14:textId="0992EFD3" w:rsidR="00D6644C" w:rsidRPr="00274A71" w:rsidRDefault="00D6644C" w:rsidP="00353F2C">
      <w:pPr>
        <w:jc w:val="left"/>
      </w:pPr>
      <w:r>
        <w:t>Žádná ze stran není povinna omezit pracovní zařazení svých zástupců, kteří měli přístup k důvěrným informacím. Obě strany souhlasí s tím, že využití informací, které si bez pomůcek zapamatovali jejich zástupci, ve vývoji nebo nasazení produktů nebo služeb příslušných stran, nezakládá odpovědnost z této smlouvy nebo zákonů týkajících se obchodního tajemství a obě strany souhlasí, že odpovídajícím způsobem omezí informace, které poskytují druhé straně.</w:t>
      </w:r>
    </w:p>
    <w:p w14:paraId="59785754" w14:textId="6C6664FD" w:rsidR="00D6644C" w:rsidRPr="00274A71" w:rsidRDefault="00420D48" w:rsidP="00353F2C">
      <w:pPr>
        <w:jc w:val="left"/>
      </w:pPr>
      <w:r>
        <w:t>Tyto povinnosti se vztahují na (1) zákaznická data až do jejich odstranění ze služeb online a (2) všechny ostatní důvěrné informace po dobu pěti let od jejich přijetí smluvní stranou.</w:t>
      </w:r>
    </w:p>
    <w:p w14:paraId="28CC4BB7" w14:textId="5A836BD1" w:rsidR="006A0599" w:rsidRPr="00274A71" w:rsidRDefault="00996D6D" w:rsidP="00C65630">
      <w:pPr>
        <w:pStyle w:val="Heading1"/>
        <w:numPr>
          <w:ilvl w:val="0"/>
          <w:numId w:val="30"/>
        </w:numPr>
        <w:ind w:left="720" w:hanging="720"/>
      </w:pPr>
      <w:r>
        <w:t>Ochrana osobních údajů a dodržování zákonů.</w:t>
      </w:r>
    </w:p>
    <w:p w14:paraId="43DBCCD9" w14:textId="73BEFC2E" w:rsidR="006A0599" w:rsidRPr="00274A71" w:rsidRDefault="006A0599" w:rsidP="00A9162A">
      <w:pPr>
        <w:pStyle w:val="ListParagraph"/>
        <w:numPr>
          <w:ilvl w:val="0"/>
          <w:numId w:val="7"/>
        </w:numPr>
        <w:ind w:left="1080"/>
        <w:contextualSpacing w:val="0"/>
        <w:jc w:val="left"/>
      </w:pPr>
      <w:r>
        <w:t>Zákazník souhlasí se zpracováním osobních údajů společností Microsoft a jejími zástupci v souvislosti se zajištěním plnění předmětu této smlouvy. Před poskytnutím osobních údajů společnosti Microsoft zákazník získá veškeré požadované souhlasy od třetích stran (včetně kontaktních osob zákazníka, prodejců, distributorů, správců a zaměstnanců) na základě příslušných zákonů o ochraně soukromí a osobních údajů.</w:t>
      </w:r>
    </w:p>
    <w:p w14:paraId="624E8695" w14:textId="5606F3DD" w:rsidR="006A0599" w:rsidRPr="00274A71" w:rsidRDefault="006A0599" w:rsidP="00A9162A">
      <w:pPr>
        <w:pStyle w:val="ListParagraph"/>
        <w:numPr>
          <w:ilvl w:val="0"/>
          <w:numId w:val="7"/>
        </w:numPr>
        <w:ind w:left="1080"/>
        <w:contextualSpacing w:val="0"/>
        <w:jc w:val="left"/>
      </w:pPr>
      <w:r>
        <w:t>Osobní údaje shromážděné podle této smlouvy (1) smí být předány, uloženy a zpracovány ve Spojených státech amerických nebo v libovolné jiné zemi, v níž má společnost Microsoft nebo její poskytovatelé služeb svá zařízení; a (2) budou podléhat podmínkám ochrany osobních údajů uvedeným v užívacích právech. Společnosti Microsoft se bude řídit požadavky Evropského hospodářského prostoru a švýcarského zákona o ochraně dat ohledně shromažďování, používání, přenosu, uchovávání a dalšího zpracování osobních údajů z Evropského hospodářského prostoru a Švýcarska.</w:t>
      </w:r>
    </w:p>
    <w:p w14:paraId="798DF597" w14:textId="22E2011B" w:rsidR="006A0599" w:rsidRPr="00274A71" w:rsidRDefault="006A0599" w:rsidP="00A9162A">
      <w:pPr>
        <w:pStyle w:val="ListParagraph"/>
        <w:numPr>
          <w:ilvl w:val="0"/>
          <w:numId w:val="7"/>
        </w:numPr>
        <w:ind w:left="1080"/>
        <w:contextualSpacing w:val="0"/>
        <w:jc w:val="left"/>
      </w:pPr>
      <w:r>
        <w:rPr>
          <w:b/>
        </w:rPr>
        <w:t>Vývoz z USA.</w:t>
      </w:r>
      <w:r w:rsidR="00947828">
        <w:rPr>
          <w:b/>
        </w:rPr>
        <w:t xml:space="preserve"> </w:t>
      </w:r>
      <w:r>
        <w:t>Produkty, opravy a výstupy ze služeb podléhají vývozním předpisům Spojených států amerických. Zákazník musí v souvislosti s produkty, službami a technologiemi společnosti Microsoft dodržovat veškeré příslušné mezinárodní i národní právní předpisy včetně nařízení Spojených států amerických ohledně správy exportu, pravidel ITAR pro mezinárodní obchod se zbraněmi a omezení koncových uživatelů, koncového použití a míst určení, stanovených vládami Spojených států amerických a dalších zemí.</w:t>
      </w:r>
    </w:p>
    <w:p w14:paraId="59785755" w14:textId="7309A3C9" w:rsidR="00D6644C" w:rsidRPr="00274A71" w:rsidRDefault="00D6644C" w:rsidP="00C65630">
      <w:pPr>
        <w:pStyle w:val="Heading1"/>
        <w:numPr>
          <w:ilvl w:val="0"/>
          <w:numId w:val="30"/>
        </w:numPr>
        <w:ind w:left="720" w:hanging="720"/>
      </w:pPr>
      <w:bookmarkStart w:id="4" w:name="_Toc261346415"/>
      <w:r>
        <w:t>Záruky</w:t>
      </w:r>
      <w:bookmarkEnd w:id="4"/>
      <w:r w:rsidR="008B2FA3">
        <w:t>.</w:t>
      </w:r>
    </w:p>
    <w:p w14:paraId="59785756" w14:textId="1AD40FAF" w:rsidR="0025730F" w:rsidRPr="00274A71" w:rsidRDefault="00D6644C" w:rsidP="00A9162A">
      <w:pPr>
        <w:pStyle w:val="ListParagraph"/>
        <w:numPr>
          <w:ilvl w:val="0"/>
          <w:numId w:val="37"/>
        </w:numPr>
        <w:ind w:left="1080"/>
        <w:contextualSpacing w:val="0"/>
        <w:jc w:val="left"/>
      </w:pPr>
      <w:r>
        <w:rPr>
          <w:b/>
          <w:bCs/>
        </w:rPr>
        <w:t>Omezené záruky a nápravy</w:t>
      </w:r>
      <w:r w:rsidRPr="00933E4B">
        <w:rPr>
          <w:b/>
        </w:rPr>
        <w:t>.</w:t>
      </w:r>
    </w:p>
    <w:p w14:paraId="3CE947A9" w14:textId="6D7702FE" w:rsidR="007A1C61" w:rsidRPr="00274A71" w:rsidRDefault="007A1C61" w:rsidP="00A9162A">
      <w:pPr>
        <w:pStyle w:val="ListParagraph"/>
        <w:numPr>
          <w:ilvl w:val="1"/>
          <w:numId w:val="37"/>
        </w:numPr>
        <w:ind w:left="1440"/>
        <w:contextualSpacing w:val="0"/>
        <w:jc w:val="left"/>
      </w:pPr>
      <w:r>
        <w:rPr>
          <w:b/>
        </w:rPr>
        <w:t>Software.</w:t>
      </w:r>
      <w:r w:rsidR="00947828">
        <w:rPr>
          <w:b/>
        </w:rPr>
        <w:t xml:space="preserve"> </w:t>
      </w:r>
      <w:r>
        <w:t xml:space="preserve">Společnost Microsoft zaručuje, že každá verze softwaru bude v podstatných rysech fungovat způsobem popsaným v příslušné produktové dokumentaci, a to po dobu jednoho roku od okamžiku, kdy zákazník pro tuto verzi poprvé získal licenci. Pokud software podle popisu výše nefunguje a zákazník během záruční lhůty informuje společnost Microsoft, společnost Microsoft podle svého </w:t>
      </w:r>
      <w:r>
        <w:lastRenderedPageBreak/>
        <w:t>uvážení buď (1) vrátí zákazníkem uhrazenou cenu za licenci k softwaru, nebo (2) software opraví či vymění.</w:t>
      </w:r>
    </w:p>
    <w:p w14:paraId="59785757" w14:textId="591A529B" w:rsidR="0025730F" w:rsidRPr="00274A71" w:rsidRDefault="00011D7A" w:rsidP="00A9162A">
      <w:pPr>
        <w:pStyle w:val="ListParagraph"/>
        <w:numPr>
          <w:ilvl w:val="1"/>
          <w:numId w:val="37"/>
        </w:numPr>
        <w:ind w:left="1440"/>
        <w:contextualSpacing w:val="0"/>
        <w:jc w:val="left"/>
      </w:pPr>
      <w:r>
        <w:rPr>
          <w:b/>
        </w:rPr>
        <w:t xml:space="preserve">Služby online. </w:t>
      </w:r>
      <w:r>
        <w:t>Společnost Microsoft zaručuje, že všechny služby online budou během používání zákazníkem fungovat v souladu s příslušnou smlouvou o poskytování služeb. Možnosti nápravy zákazníka za porušení této záruky jsou stanoveny ve smlouvě SLA.</w:t>
      </w:r>
    </w:p>
    <w:p w14:paraId="4686235C" w14:textId="5E9774D3" w:rsidR="00011D7A" w:rsidRPr="00274A71" w:rsidRDefault="00011D7A" w:rsidP="00A9162A">
      <w:pPr>
        <w:pStyle w:val="ListParagraph"/>
        <w:numPr>
          <w:ilvl w:val="0"/>
          <w:numId w:val="43"/>
        </w:numPr>
        <w:ind w:left="1440"/>
        <w:contextualSpacing w:val="0"/>
        <w:jc w:val="left"/>
      </w:pPr>
      <w:r>
        <w:rPr>
          <w:b/>
        </w:rPr>
        <w:t>Odborné služby.</w:t>
      </w:r>
      <w:r w:rsidR="00947828">
        <w:t xml:space="preserve"> </w:t>
      </w:r>
      <w:r>
        <w:t>Společnost Microsoft zaručuje, že profesionální služby bude provádět s odbornou péčí a znalostmi. Pokud společnost Microsoft tuto povinnost nesplní a zákazník o tom společnost Microsoft informuje do 90 dní od data poskytnutí odborných služeb, společnost Microsoft na základě svého uvážení buď znovu poskytne odborné služby, nebo vrátí cenu, kterou za ně zákazník uhradil.</w:t>
      </w:r>
    </w:p>
    <w:p w14:paraId="18E66F90" w14:textId="0C0EEF20" w:rsidR="00011D7A" w:rsidRPr="00274A71" w:rsidRDefault="00011D7A" w:rsidP="00273970">
      <w:pPr>
        <w:ind w:left="1080"/>
        <w:jc w:val="left"/>
      </w:pPr>
      <w:r>
        <w:t>Možnosti nápravy uvedené výše jsou výhradní možnosti nápravy zákazníka v případě porušení záruk uvedených v tomto oddíle. Zákazník se zříká jakýchkoli nároků na porušení záruky, které nebyly vzneseny během období záruky.</w:t>
      </w:r>
    </w:p>
    <w:p w14:paraId="3817DDFE" w14:textId="3688753B" w:rsidR="00840469" w:rsidRPr="00274A71" w:rsidRDefault="00011D7A" w:rsidP="00A9162A">
      <w:pPr>
        <w:pStyle w:val="ListParagraph"/>
        <w:numPr>
          <w:ilvl w:val="0"/>
          <w:numId w:val="37"/>
        </w:numPr>
        <w:ind w:left="1080"/>
        <w:contextualSpacing w:val="0"/>
        <w:jc w:val="left"/>
      </w:pPr>
      <w:r>
        <w:rPr>
          <w:b/>
        </w:rPr>
        <w:t>Vyloučení záruk.</w:t>
      </w:r>
      <w:r w:rsidR="00947828">
        <w:t xml:space="preserve"> </w:t>
      </w:r>
      <w:r>
        <w:t>Záruky uvedené v této smlouvě se nevztahují na problémy způsobené nehodou, nesprávným použitím nebo užíváním způsobem, který se neslučuje s touto smlouvou, včetně nesplnění minimálních systémových požadavků. Tyto záruky se nevztahují na bezplatná, zkušební, předběžná vydání nebo beta verze produktů nebo na komponenty produktů, jejichž další distribuci má zákazník povolenu.</w:t>
      </w:r>
    </w:p>
    <w:p w14:paraId="59785769" w14:textId="17402691" w:rsidR="005337FD" w:rsidRPr="00274A71" w:rsidRDefault="00F55F88" w:rsidP="00A9162A">
      <w:pPr>
        <w:pStyle w:val="ListParagraph"/>
        <w:numPr>
          <w:ilvl w:val="0"/>
          <w:numId w:val="37"/>
        </w:numPr>
        <w:ind w:left="1080"/>
        <w:contextualSpacing w:val="0"/>
        <w:jc w:val="left"/>
      </w:pPr>
      <w:r>
        <w:rPr>
          <w:b/>
          <w:bCs/>
        </w:rPr>
        <w:t>Vylučující ustanovení. S výjimkou omezených záruk výše společnost Microsoft neposkytuje žádné další záruky a podmínky a vylučuje jakékoli další výslovné, implicitní či zákonné záruky, včetně záruk kvality, vlastnického titulu, neporušení práv třetích osob, obchodovatelnosti a vhodnosti pro konkrétní účel.</w:t>
      </w:r>
    </w:p>
    <w:p w14:paraId="5978576A" w14:textId="4A7AED6A" w:rsidR="00D6644C" w:rsidRPr="00274A71" w:rsidRDefault="00D6644C" w:rsidP="00C65630">
      <w:pPr>
        <w:pStyle w:val="Heading1"/>
        <w:numPr>
          <w:ilvl w:val="0"/>
          <w:numId w:val="30"/>
        </w:numPr>
        <w:ind w:left="720" w:hanging="720"/>
      </w:pPr>
      <w:bookmarkStart w:id="5" w:name="_Toc261346416"/>
      <w:r>
        <w:t>Obhajoba proti nárokům třetí strany.</w:t>
      </w:r>
      <w:bookmarkEnd w:id="5"/>
    </w:p>
    <w:p w14:paraId="0D669A49" w14:textId="60BFFACD" w:rsidR="00F17AEC" w:rsidRPr="00274A71" w:rsidRDefault="00F17AEC" w:rsidP="00A9162A">
      <w:pPr>
        <w:jc w:val="left"/>
      </w:pPr>
      <w:r>
        <w:rPr>
          <w:rFonts w:eastAsia="Segoe Pro"/>
        </w:rPr>
        <w:t>Každá strana bude bránit druhou stranu v případě nároků třetích stran popsaných v tomto oddíle a uhradí částku vyplývající ze všech nepříznivých pravomocných rozsudků nebo schválených vyrovnání, ale pouze pokud je obhajující strana o nároku ihned písemně informována a má právo převzít obhajobu a vyrovnání nároku. Obhajovaná strana musí obhajující straně poskytnout veškerou požadovanou součinnost, informace a oprávnění. Obhajující strana uhradí přiměřené hotové výdaje druhé strany, které jí vznikly při poskytování takové pomoci. Tento článek popisuje výhradní prostředky nápravy a úplnou odpovědnost za takové nároky.</w:t>
      </w:r>
    </w:p>
    <w:p w14:paraId="76B39774" w14:textId="4B911E13" w:rsidR="003B0C55" w:rsidRPr="009847AA" w:rsidRDefault="00286517" w:rsidP="00A9162A">
      <w:pPr>
        <w:pStyle w:val="ListParagraph"/>
        <w:numPr>
          <w:ilvl w:val="0"/>
          <w:numId w:val="20"/>
        </w:numPr>
        <w:tabs>
          <w:tab w:val="clear" w:pos="360"/>
        </w:tabs>
        <w:ind w:left="1080"/>
        <w:contextualSpacing w:val="0"/>
        <w:jc w:val="left"/>
        <w:rPr>
          <w:spacing w:val="-2"/>
        </w:rPr>
      </w:pPr>
      <w:r w:rsidRPr="009847AA">
        <w:rPr>
          <w:b/>
          <w:bCs/>
          <w:spacing w:val="-2"/>
        </w:rPr>
        <w:t>Ze strany společnosti Microsoft.</w:t>
      </w:r>
      <w:r w:rsidR="00947828" w:rsidRPr="009847AA">
        <w:rPr>
          <w:spacing w:val="-2"/>
        </w:rPr>
        <w:t xml:space="preserve"> </w:t>
      </w:r>
      <w:r w:rsidRPr="009847AA">
        <w:rPr>
          <w:spacing w:val="-2"/>
        </w:rPr>
        <w:t>Společnost Microsoft bude bránit zákazníka v souvislosti se všemi nároky vznesenými třetí stranou, a to v rozsahu, ve kterém tyto nároky tvrdí, že produkt, oprava nebo výstup ze služeb zpřístupněný společností Microsoft za poplatek a užívané v rozsahu udělené licence (v nezměněné formě poskytnuté společností Microsoft a nezkombinované) zneužívají obchodní tajemství nebo přímo porušují patent, autorské právo, ochrannou známku nebo jiné vlastnické právo třetí strany.</w:t>
      </w:r>
      <w:r w:rsidR="00947828" w:rsidRPr="009847AA">
        <w:rPr>
          <w:spacing w:val="-2"/>
        </w:rPr>
        <w:t xml:space="preserve"> </w:t>
      </w:r>
      <w:r w:rsidRPr="009847AA">
        <w:rPr>
          <w:spacing w:val="-2"/>
        </w:rPr>
        <w:t xml:space="preserve">Pokud společnost Microsoft nemůže nárok nebo porušení vyřešit v rámci komerčně přiměřeného úsilí, je oprávněna dle svého uvážení (1) </w:t>
      </w:r>
      <w:r w:rsidRPr="009847AA">
        <w:rPr>
          <w:rFonts w:eastAsia="Segoe Pro"/>
          <w:spacing w:val="-2"/>
        </w:rPr>
        <w:t>upravit produkt, opravu nebo výstup ze služeb, nebo je nahradit funkčním ekvivalentem; nebo (2) ukončit licenci zákazníka a vrátit předem uhrazené licenční poplatky (snížené o příslušnou částku přímého odpisu za pětileté období) u časově neomezených licencí a jakékoli uhrazené částky za služby online za libovolnou dobu užívání po dni ukončení účinnosti.</w:t>
      </w:r>
      <w:r w:rsidR="00947828" w:rsidRPr="009847AA">
        <w:rPr>
          <w:rFonts w:eastAsia="Segoe Pro"/>
          <w:spacing w:val="-2"/>
        </w:rPr>
        <w:t xml:space="preserve"> </w:t>
      </w:r>
      <w:r w:rsidRPr="009847AA">
        <w:rPr>
          <w:rFonts w:eastAsia="Segoe Pro"/>
          <w:spacing w:val="-2"/>
        </w:rPr>
        <w:t>Společnost Microsoft nenese odpovědnost za nároky nebo škody způsobené nepřetržitým používáním produktu, opravy nebo výstupu ze služby zákazníkem poté, co jej společnost Microsoft informovala o nutnosti toto používání ukončit z důvodu obvinění vzneseného třetí stranou.</w:t>
      </w:r>
    </w:p>
    <w:p w14:paraId="693BBF21" w14:textId="1EE97C7D" w:rsidR="00B03843" w:rsidRPr="00274A71" w:rsidRDefault="00B03843" w:rsidP="00A9162A">
      <w:pPr>
        <w:pStyle w:val="ListParagraph"/>
        <w:numPr>
          <w:ilvl w:val="0"/>
          <w:numId w:val="20"/>
        </w:numPr>
        <w:tabs>
          <w:tab w:val="clear" w:pos="360"/>
        </w:tabs>
        <w:ind w:left="1080"/>
        <w:contextualSpacing w:val="0"/>
        <w:jc w:val="left"/>
      </w:pPr>
      <w:r>
        <w:rPr>
          <w:b/>
          <w:bCs/>
        </w:rPr>
        <w:t>Ze strany zákazníka.</w:t>
      </w:r>
      <w:r w:rsidR="00947828">
        <w:t xml:space="preserve"> </w:t>
      </w:r>
      <w:r>
        <w:t xml:space="preserve">V rozsahu </w:t>
      </w:r>
      <w:r>
        <w:rPr>
          <w:rFonts w:eastAsia="Segoe Pro"/>
        </w:rPr>
        <w:t>povoleném rozhodným právem bude zákazník bránit společnost Microsoft proti všem nárokům vznesených třetí stranou, a to v rozsahu, ve kterém bude tvrzeno: (1) že zákaznická data nebo software jiného subjektu než společnosti Microsoft hostovaný ve službě online společností Microsoft jménem zákazníka zneužívají obchodní tajemství nebo přímo porušují patent, autorská práva, ochrannou známku nebo jiné vlastnické právo třetí strany; nebo (2) že zákazníkovo užívání produktu, opravy nebo výstupu ze služby samostatně či v kombinaci s jinými produkty porušuje zákon nebo poškozuje třetí stranu</w:t>
      </w:r>
      <w:r>
        <w:t>.</w:t>
      </w:r>
    </w:p>
    <w:p w14:paraId="59785785" w14:textId="53DD589E" w:rsidR="00D6644C" w:rsidRPr="00274A71" w:rsidRDefault="00D6644C" w:rsidP="00C65630">
      <w:pPr>
        <w:pStyle w:val="Heading1"/>
        <w:numPr>
          <w:ilvl w:val="0"/>
          <w:numId w:val="30"/>
        </w:numPr>
        <w:ind w:left="720" w:hanging="720"/>
      </w:pPr>
      <w:bookmarkStart w:id="6" w:name="_Toc261346417"/>
      <w:r>
        <w:lastRenderedPageBreak/>
        <w:t>Omezení odpovědnosti</w:t>
      </w:r>
      <w:bookmarkEnd w:id="6"/>
      <w:r w:rsidR="008B2FA3">
        <w:t>.</w:t>
      </w:r>
    </w:p>
    <w:p w14:paraId="776C4524" w14:textId="30FCA8F3" w:rsidR="00840469" w:rsidRPr="00274A71" w:rsidRDefault="00840469" w:rsidP="00840469">
      <w:pPr>
        <w:jc w:val="left"/>
      </w:pPr>
      <w:r>
        <w:t>Pro každý produkt nebo odbornou službu je maximální souhrnná odpovědnost každé strany vůči druhé podle každé doplňkové smlouvy omezena na přímé škody, které byly v konečném důsledku přiznány ve výši, jež nepřekračuje částky, které byl zákazník povinen uhradit za příslušné produkty nebo odborné služby během období této doplňkové smlouvy, a to za následujících podmínek:</w:t>
      </w:r>
    </w:p>
    <w:p w14:paraId="0FA56533" w14:textId="4E94B10B" w:rsidR="00840469" w:rsidRPr="00274A71" w:rsidRDefault="00840469" w:rsidP="00A9162A">
      <w:pPr>
        <w:pStyle w:val="ListParagraph"/>
        <w:numPr>
          <w:ilvl w:val="0"/>
          <w:numId w:val="44"/>
        </w:numPr>
        <w:spacing w:after="60"/>
        <w:ind w:left="1080"/>
        <w:contextualSpacing w:val="0"/>
        <w:jc w:val="left"/>
      </w:pPr>
      <w:r>
        <w:rPr>
          <w:b/>
        </w:rPr>
        <w:t>Služby online</w:t>
      </w:r>
      <w:r w:rsidRPr="00933E4B">
        <w:rPr>
          <w:b/>
        </w:rPr>
        <w:t>.</w:t>
      </w:r>
      <w:r w:rsidR="00947828">
        <w:t xml:space="preserve"> </w:t>
      </w:r>
      <w:r>
        <w:t>V případě služeb online je maximální odpovědnost společnosti Microsoft vůči zákazníkovi v případě incidentu zakládajícího nárok omezena na částku, kterou zákazník zaplatil za služby online během 12 měsíců před incidentem.</w:t>
      </w:r>
    </w:p>
    <w:p w14:paraId="57281763" w14:textId="2004706A" w:rsidR="00840469" w:rsidRPr="00274A71" w:rsidRDefault="00840469" w:rsidP="00A9162A">
      <w:pPr>
        <w:pStyle w:val="ListParagraph"/>
        <w:numPr>
          <w:ilvl w:val="0"/>
          <w:numId w:val="44"/>
        </w:numPr>
        <w:spacing w:after="60"/>
        <w:ind w:left="1080"/>
        <w:contextualSpacing w:val="0"/>
        <w:jc w:val="left"/>
      </w:pPr>
      <w:r>
        <w:rPr>
          <w:b/>
        </w:rPr>
        <w:t>Bezplatné produkty a šiřitelný kód.</w:t>
      </w:r>
      <w:r w:rsidR="00947828">
        <w:rPr>
          <w:b/>
        </w:rPr>
        <w:t xml:space="preserve"> </w:t>
      </w:r>
      <w:r>
        <w:t>V případě produktů a odborných služeb poskytovaných zdarma a kódu, jež jsou zákazník nebo jeho afilace oprávněni dále distribuovat třetím stranám bez samostatné platby společnosti Microsoft, je celková odpovědnost společnosti Microsoft omezena na konečně připsané přímé škody do výše 5 000 USD.</w:t>
      </w:r>
    </w:p>
    <w:p w14:paraId="38162435" w14:textId="2FE6C34D" w:rsidR="00840469" w:rsidRPr="00274A71" w:rsidRDefault="00840469" w:rsidP="00A9162A">
      <w:pPr>
        <w:pStyle w:val="ListParagraph"/>
        <w:numPr>
          <w:ilvl w:val="0"/>
          <w:numId w:val="44"/>
        </w:numPr>
        <w:spacing w:after="60"/>
        <w:ind w:left="1080"/>
        <w:contextualSpacing w:val="0"/>
        <w:jc w:val="left"/>
      </w:pPr>
      <w:r>
        <w:rPr>
          <w:b/>
        </w:rPr>
        <w:t>Vyloučení záruk.</w:t>
      </w:r>
      <w:r w:rsidR="00947828">
        <w:rPr>
          <w:b/>
        </w:rPr>
        <w:t xml:space="preserve"> </w:t>
      </w:r>
      <w:r>
        <w:t>V žádném případě žádná strana nenese odpovědnost za nepřímé, náhodné, zvláštní, trestné ani následné škody nebo ztrátu užívání, ztrátu obchodních informací, ušlý zisk či přerušení obchodní činnosti, a to bez ohledu na příčinu nebo základ odpovědnosti.</w:t>
      </w:r>
    </w:p>
    <w:p w14:paraId="43ECE90A" w14:textId="233E34C7" w:rsidR="00840469" w:rsidRPr="00274A71" w:rsidRDefault="00840469" w:rsidP="00A9162A">
      <w:pPr>
        <w:pStyle w:val="ListParagraph"/>
        <w:numPr>
          <w:ilvl w:val="0"/>
          <w:numId w:val="44"/>
        </w:numPr>
        <w:spacing w:after="60"/>
        <w:ind w:left="1080"/>
        <w:contextualSpacing w:val="0"/>
        <w:jc w:val="left"/>
      </w:pPr>
      <w:r>
        <w:rPr>
          <w:b/>
        </w:rPr>
        <w:t>Výjimky</w:t>
      </w:r>
      <w:r w:rsidR="008B2FA3">
        <w:rPr>
          <w:b/>
        </w:rPr>
        <w:t>.</w:t>
      </w:r>
      <w:r w:rsidR="00947828">
        <w:rPr>
          <w:b/>
        </w:rPr>
        <w:t xml:space="preserve"> </w:t>
      </w:r>
      <w:r>
        <w:t>Omezení a vyloučení se nevztahují na (1) povinnosti každé strany zachovat důvěrnost (s výjimkou povinností souvisejících s daty zákazníka, na které se dále vztahují omezení výše); (2) povinnosti bránit a odškodnit; nebo (3) porušení práv duševního vlastnictví druhé strany.</w:t>
      </w:r>
    </w:p>
    <w:p w14:paraId="59785790" w14:textId="3428BF64" w:rsidR="00D6644C" w:rsidRPr="00274A71" w:rsidRDefault="00D6644C" w:rsidP="00C65630">
      <w:pPr>
        <w:pStyle w:val="Heading1"/>
        <w:numPr>
          <w:ilvl w:val="0"/>
          <w:numId w:val="30"/>
        </w:numPr>
        <w:ind w:left="720" w:hanging="720"/>
      </w:pPr>
      <w:bookmarkStart w:id="7" w:name="_Toc261346418"/>
      <w:r>
        <w:t>Ověření souladu se smlouvou</w:t>
      </w:r>
      <w:bookmarkEnd w:id="7"/>
      <w:r w:rsidR="00615F8B">
        <w:t>.</w:t>
      </w:r>
    </w:p>
    <w:p w14:paraId="59785793" w14:textId="3B641051" w:rsidR="00D6644C" w:rsidRPr="00274A71" w:rsidRDefault="00D6644C" w:rsidP="00A9162A">
      <w:pPr>
        <w:pStyle w:val="ListParagraph"/>
        <w:numPr>
          <w:ilvl w:val="0"/>
          <w:numId w:val="36"/>
        </w:numPr>
        <w:tabs>
          <w:tab w:val="clear" w:pos="360"/>
        </w:tabs>
        <w:ind w:left="1080"/>
        <w:contextualSpacing w:val="0"/>
        <w:jc w:val="left"/>
      </w:pPr>
      <w:r>
        <w:rPr>
          <w:b/>
          <w:bCs/>
        </w:rPr>
        <w:t>Právo ověřit soulad se smlouvou.</w:t>
      </w:r>
      <w:r w:rsidR="00947828">
        <w:t xml:space="preserve"> </w:t>
      </w:r>
      <w:r>
        <w:t>Zákazník musí vést záznamy týkající se veškerého užívání a distribuování produktů, které zákazník a jeho afilace používají nebo dále distribuují. Společnost Microsoft má právo na své náklady ověřit soulad s licenčními podmínkami pro dané produkty.</w:t>
      </w:r>
      <w:r w:rsidR="00947828">
        <w:t xml:space="preserve"> </w:t>
      </w:r>
      <w:r>
        <w:t>Zákazník musí bez odkladu poskytnout nezávislému auditorovi jakékoli informace, které si v rozumných mezích vyžádá pro účely ověřování, včetně přístupu k systémům, na kterých jsou provozovány produkty, a dokladů o licencích pro produkty hostované zákazníkem, sublicencích nebo distribucích třetích stran. Zákazník souhlasí, že provede proces vlastního auditu společnosti Microsoft, který společnost Microsoft může vyžadovat jako alternativu k auditu třetí strany.</w:t>
      </w:r>
    </w:p>
    <w:p w14:paraId="6510A983" w14:textId="18E8C916" w:rsidR="00914FC3" w:rsidRPr="00274A71" w:rsidRDefault="00914FC3" w:rsidP="00A9162A">
      <w:pPr>
        <w:pStyle w:val="ListParagraph"/>
        <w:numPr>
          <w:ilvl w:val="0"/>
          <w:numId w:val="36"/>
        </w:numPr>
        <w:tabs>
          <w:tab w:val="clear" w:pos="360"/>
        </w:tabs>
        <w:ind w:left="1080"/>
        <w:contextualSpacing w:val="0"/>
        <w:jc w:val="left"/>
      </w:pPr>
      <w:r>
        <w:rPr>
          <w:b/>
          <w:bCs/>
        </w:rPr>
        <w:t>Prostředky nápravy v případě nesouladu se smlouvou.</w:t>
      </w:r>
      <w:r w:rsidR="00947828">
        <w:t xml:space="preserve"> </w:t>
      </w:r>
      <w:r>
        <w:t>V případě, že se při ověření nebo vlastním auditu prokáže jakékoli nelicencované užívání produktů, zákazník musí do 30 dní (1) objednat dostatečný počet licencí, které takové užívání pokryjí, a (2) pokud nelicencované užívání nebo distribuce přesahuje 5 %, zákazník uhradí společnosti Microsoft náklady, které jí vznikly při ověřování, a získá nezbytné další licence za cenu ve výši 125 % ceníkové ceny dle cenového stupně zákazníka aktuálního v daném okamžiku. Procentuální rozsah nelicencovaného užívání se určí na základě srovnání celkového počtu licencí zakoupených pro aktuální užívání a aktuálně nainstalovaného počtu licencí. Není-li zjištěno žádné nelicencované používání, neprovede společnost Microsoft žádné další ověřování u zákazníka po dobu nejméně jednoho roku. Uplatněním výše uvedených práv a postupů se společnost Microsoft nezříká svých práv na vymáhání této smlouvy nebo na ochranu svého duševního vlastnictví jakýmikoli jinými zákonnými prostředky.</w:t>
      </w:r>
    </w:p>
    <w:p w14:paraId="59785796" w14:textId="36D6447C" w:rsidR="00D6644C" w:rsidRPr="00274A71" w:rsidRDefault="00D6644C" w:rsidP="00A9162A">
      <w:pPr>
        <w:pStyle w:val="ListParagraph"/>
        <w:numPr>
          <w:ilvl w:val="0"/>
          <w:numId w:val="36"/>
        </w:numPr>
        <w:tabs>
          <w:tab w:val="clear" w:pos="360"/>
        </w:tabs>
        <w:ind w:left="1080"/>
        <w:contextualSpacing w:val="0"/>
        <w:jc w:val="left"/>
      </w:pPr>
      <w:r>
        <w:rPr>
          <w:b/>
          <w:bCs/>
        </w:rPr>
        <w:t>Proces ověřování.</w:t>
      </w:r>
      <w:r w:rsidR="00947828">
        <w:t xml:space="preserve"> </w:t>
      </w:r>
      <w:r>
        <w:t>Společnost Microsoft zákazníka o svém záměru ověřit plnění licenčních podmínek produktů, které zákazník a jeho afilace užívají nebo distribuují, informuje v předstihu nejméně 30 dnů.</w:t>
      </w:r>
      <w:r w:rsidR="00947828">
        <w:t xml:space="preserve"> </w:t>
      </w:r>
      <w:r>
        <w:t>Společnost Microsoft najme nezávislého auditora, který bude podléhat povinnosti zachovávat důvěrnost.</w:t>
      </w:r>
      <w:r w:rsidR="00947828">
        <w:t xml:space="preserve"> </w:t>
      </w:r>
      <w:r>
        <w:t>Informace shromážděné během vlastního auditu budou použity výhradně pro účely ověření plnění podmínek.</w:t>
      </w:r>
      <w:r w:rsidR="00947828">
        <w:t xml:space="preserve"> </w:t>
      </w:r>
      <w:r>
        <w:t>Toto ověřování se uskuteční během obvyklé pracovní doby a způsobem, který nepřiměřeně nezasáhne do provozu zákazníka.</w:t>
      </w:r>
    </w:p>
    <w:p w14:paraId="59785797" w14:textId="1A432158" w:rsidR="00D6644C" w:rsidRPr="00274A71" w:rsidRDefault="00D6644C" w:rsidP="00C65630">
      <w:pPr>
        <w:pStyle w:val="Heading1"/>
        <w:numPr>
          <w:ilvl w:val="0"/>
          <w:numId w:val="30"/>
        </w:numPr>
        <w:ind w:left="720" w:hanging="720"/>
      </w:pPr>
      <w:bookmarkStart w:id="8" w:name="_Toc261346419"/>
      <w:r>
        <w:t>Doba účinnosti a vypovězení smlouvy</w:t>
      </w:r>
      <w:bookmarkEnd w:id="8"/>
      <w:r w:rsidR="00615F8B">
        <w:t>.</w:t>
      </w:r>
    </w:p>
    <w:p w14:paraId="2C8917BD" w14:textId="1BE41E8D" w:rsidR="00216490" w:rsidRPr="00274A71" w:rsidRDefault="00216490" w:rsidP="00A9162A">
      <w:pPr>
        <w:pStyle w:val="ListParagraph"/>
        <w:numPr>
          <w:ilvl w:val="2"/>
          <w:numId w:val="36"/>
        </w:numPr>
        <w:tabs>
          <w:tab w:val="clear" w:pos="1800"/>
        </w:tabs>
        <w:ind w:left="1080"/>
        <w:jc w:val="left"/>
      </w:pPr>
      <w:r>
        <w:rPr>
          <w:b/>
        </w:rPr>
        <w:t>Doba účinnosti smlouvy.</w:t>
      </w:r>
      <w:r w:rsidR="00947828">
        <w:t xml:space="preserve"> </w:t>
      </w:r>
      <w:r>
        <w:t xml:space="preserve">Dnem účinnosti této smlouvy MBSA je den podpisu této smlouvy společností Microsoft, nebo den účinnosti první doplňkové smlouvy, podle toho, </w:t>
      </w:r>
      <w:r>
        <w:lastRenderedPageBreak/>
        <w:t>co nastane dříve. Smlouva MBSA zůstane v účinnosti, pokud nebude ukončena kteroukoli stranou, jak je popsáno níže.</w:t>
      </w:r>
    </w:p>
    <w:p w14:paraId="4AE457E0" w14:textId="77777777" w:rsidR="00110280" w:rsidRPr="00274A71" w:rsidRDefault="00110280" w:rsidP="00A9162A">
      <w:pPr>
        <w:pStyle w:val="ListParagraph"/>
        <w:jc w:val="left"/>
      </w:pPr>
    </w:p>
    <w:p w14:paraId="2260863A" w14:textId="67CC50F5" w:rsidR="00216490" w:rsidRPr="00274A71" w:rsidRDefault="00110280" w:rsidP="00A9162A">
      <w:pPr>
        <w:pStyle w:val="ListParagraph"/>
        <w:numPr>
          <w:ilvl w:val="2"/>
          <w:numId w:val="36"/>
        </w:numPr>
        <w:tabs>
          <w:tab w:val="clear" w:pos="1800"/>
        </w:tabs>
        <w:ind w:left="1080"/>
        <w:jc w:val="left"/>
      </w:pPr>
      <w:r>
        <w:rPr>
          <w:b/>
        </w:rPr>
        <w:t>Vypovězení smlouvy</w:t>
      </w:r>
      <w:r w:rsidR="00615F8B">
        <w:rPr>
          <w:b/>
        </w:rPr>
        <w:t>.</w:t>
      </w:r>
      <w:r w:rsidR="00947828">
        <w:rPr>
          <w:b/>
        </w:rPr>
        <w:t xml:space="preserve"> </w:t>
      </w:r>
      <w:r>
        <w:t>Kterákoli ze stran může tuto smlouvu MBSA vypovědět výpovědí s 60denní výpovědní lhůtou. Ukončení nebude mít vliv na existující objednávky nebo doplňkové smlouvy, ale zákazník již po dni konce účinnosti nebude moci uzavírat nové doplňkové smlouvy.</w:t>
      </w:r>
    </w:p>
    <w:p w14:paraId="21F0A8E3" w14:textId="77777777" w:rsidR="00110280" w:rsidRPr="00274A71" w:rsidRDefault="00110280" w:rsidP="00A9162A">
      <w:pPr>
        <w:pStyle w:val="ListParagraph"/>
      </w:pPr>
    </w:p>
    <w:p w14:paraId="0B1C179F" w14:textId="5DB0F491" w:rsidR="00216490" w:rsidRPr="00274A71" w:rsidRDefault="00110280" w:rsidP="00A9162A">
      <w:pPr>
        <w:pStyle w:val="ListParagraph"/>
        <w:numPr>
          <w:ilvl w:val="2"/>
          <w:numId w:val="36"/>
        </w:numPr>
        <w:tabs>
          <w:tab w:val="clear" w:pos="1800"/>
        </w:tabs>
        <w:ind w:left="1080"/>
        <w:jc w:val="left"/>
      </w:pPr>
      <w:r>
        <w:rPr>
          <w:b/>
        </w:rPr>
        <w:t>Ukončení profesionálních služeb.</w:t>
      </w:r>
      <w:r w:rsidR="00947828">
        <w:rPr>
          <w:b/>
        </w:rPr>
        <w:t xml:space="preserve"> </w:t>
      </w:r>
      <w:r>
        <w:t>Pokud zákazník ukončí popis služeb v důsledku porušení ze strany společnosti Microsoft, musí uhradit všechny splatné částky podle popisu služeb, které ke dni ukončení účinnosti nebyly uhrazeny.</w:t>
      </w:r>
      <w:r w:rsidR="00947828">
        <w:t xml:space="preserve"> </w:t>
      </w:r>
      <w:r>
        <w:t>Okamžikem, kdy společnost Microsoft obdrží platbu za profesionální služby, jsou zákazníkovi udělena práva používat výstupy ze služeb. V případě zpoždění platby za odborné služby není společnost Microsoft povinna tyto služby nadále poskytovat.</w:t>
      </w:r>
    </w:p>
    <w:p w14:paraId="597857B0" w14:textId="244AC077" w:rsidR="00D6644C" w:rsidRPr="00274A71" w:rsidRDefault="00D6644C" w:rsidP="00C65630">
      <w:pPr>
        <w:pStyle w:val="Heading1"/>
        <w:numPr>
          <w:ilvl w:val="0"/>
          <w:numId w:val="30"/>
        </w:numPr>
        <w:ind w:left="720" w:hanging="720"/>
      </w:pPr>
      <w:bookmarkStart w:id="9" w:name="_Toc261346422"/>
      <w:r>
        <w:t>Různé</w:t>
      </w:r>
      <w:bookmarkEnd w:id="9"/>
      <w:r w:rsidR="00615F8B">
        <w:t>.</w:t>
      </w:r>
    </w:p>
    <w:p w14:paraId="6F213C35" w14:textId="5C81C62C" w:rsidR="007E6A37" w:rsidRPr="00274A71" w:rsidRDefault="007E6A37" w:rsidP="00A9162A">
      <w:pPr>
        <w:pStyle w:val="ListParagraph"/>
        <w:numPr>
          <w:ilvl w:val="0"/>
          <w:numId w:val="45"/>
        </w:numPr>
        <w:tabs>
          <w:tab w:val="clear" w:pos="360"/>
        </w:tabs>
        <w:ind w:left="1080"/>
        <w:contextualSpacing w:val="0"/>
        <w:jc w:val="left"/>
      </w:pPr>
      <w:r>
        <w:rPr>
          <w:b/>
        </w:rPr>
        <w:t>Použití dodavatelů.</w:t>
      </w:r>
      <w:r w:rsidR="00947828">
        <w:rPr>
          <w:b/>
        </w:rPr>
        <w:t xml:space="preserve"> </w:t>
      </w:r>
      <w:r>
        <w:t>Společnost Microsoft může k poskytování služeb použít dodavatele, ale ponese odpovědnost za jejich plnění podle podmínek této smlouvy.</w:t>
      </w:r>
    </w:p>
    <w:p w14:paraId="68C5949C" w14:textId="7E79BA4E" w:rsidR="007E6A37" w:rsidRPr="00274A71" w:rsidRDefault="007E6A37" w:rsidP="00A9162A">
      <w:pPr>
        <w:pStyle w:val="ListParagraph"/>
        <w:numPr>
          <w:ilvl w:val="0"/>
          <w:numId w:val="45"/>
        </w:numPr>
        <w:spacing w:after="120"/>
        <w:ind w:left="1080"/>
        <w:contextualSpacing w:val="0"/>
        <w:jc w:val="left"/>
      </w:pPr>
      <w:r>
        <w:rPr>
          <w:b/>
          <w:bCs/>
        </w:rPr>
        <w:t>Společnost Microsoft jako nezávislý dodavatel.</w:t>
      </w:r>
      <w:r w:rsidR="00947828">
        <w:t xml:space="preserve"> </w:t>
      </w:r>
      <w:r>
        <w:t>Strany jsou nezávislými smluvními dodavateli. Zákazník a společnost Microsoft mají právo vyvíjet produkty nezávisle bez využití důvěrných informací druhé strany.</w:t>
      </w:r>
    </w:p>
    <w:p w14:paraId="2976E045" w14:textId="0DE807DA" w:rsidR="00110280" w:rsidRPr="00274A71" w:rsidRDefault="00110280" w:rsidP="00A9162A">
      <w:pPr>
        <w:numPr>
          <w:ilvl w:val="0"/>
          <w:numId w:val="45"/>
        </w:numPr>
        <w:tabs>
          <w:tab w:val="clear" w:pos="360"/>
        </w:tabs>
        <w:spacing w:after="120"/>
        <w:ind w:left="1080"/>
        <w:jc w:val="left"/>
      </w:pPr>
      <w:r>
        <w:rPr>
          <w:b/>
          <w:bCs/>
        </w:rPr>
        <w:t>Sdělení.</w:t>
      </w:r>
      <w:r w:rsidR="00947828">
        <w:t xml:space="preserve"> </w:t>
      </w:r>
      <w:r>
        <w:t>Sdělení určená společnosti Microsoft musejí být odesílána na adresu uvedenou v podpisovém formuláři. Sdělení musí mít písemnou formu a budou považována za doručená k datu uvedenému v potvrzení o převzetí nebo v potvrzení o doručení kurýrem nebo faxem. Společnost Microsoft může zákazníkovi poskytnout informace o blížících se termínech objednávání, službách a předplatném v elektronické formě, včetně e-mailem na kontaktní adresy poskytnuté zákazníkem. E-maily jsou považovány za doručené k datu přenosu.</w:t>
      </w:r>
    </w:p>
    <w:p w14:paraId="173770C8" w14:textId="269DEC4A" w:rsidR="007E6A37" w:rsidRPr="00274A71" w:rsidRDefault="007E6A37" w:rsidP="00A9162A">
      <w:pPr>
        <w:pStyle w:val="ListParagraph"/>
        <w:numPr>
          <w:ilvl w:val="0"/>
          <w:numId w:val="45"/>
        </w:numPr>
        <w:ind w:left="1080"/>
        <w:contextualSpacing w:val="0"/>
        <w:jc w:val="left"/>
      </w:pPr>
      <w:r>
        <w:rPr>
          <w:b/>
          <w:bCs/>
        </w:rPr>
        <w:t>Tato smlouva je nevýhradní.</w:t>
      </w:r>
      <w:r w:rsidR="00947828">
        <w:t xml:space="preserve"> </w:t>
      </w:r>
      <w:r>
        <w:t>Zákazník může volně uzavírat smlouvy o licencování, užívání nebo propagaci produktů či služeb jiných subjektů než Microsoft.</w:t>
      </w:r>
    </w:p>
    <w:p w14:paraId="104625C9" w14:textId="62C65990" w:rsidR="007E6A37" w:rsidRPr="00274A71" w:rsidRDefault="007E6A37" w:rsidP="00A9162A">
      <w:pPr>
        <w:pStyle w:val="ListParagraph"/>
        <w:numPr>
          <w:ilvl w:val="0"/>
          <w:numId w:val="45"/>
        </w:numPr>
        <w:ind w:left="1080"/>
        <w:contextualSpacing w:val="0"/>
        <w:jc w:val="left"/>
      </w:pPr>
      <w:r>
        <w:rPr>
          <w:b/>
        </w:rPr>
        <w:t>Dodatky</w:t>
      </w:r>
      <w:r w:rsidR="00615F8B">
        <w:rPr>
          <w:b/>
        </w:rPr>
        <w:t>.</w:t>
      </w:r>
      <w:r>
        <w:t xml:space="preserve"> Tuto smlouvu lze měnit pouze dodatkem podepsaným oběma stranami, s výjimkou podmínek produktu a užívacích práv, které smí společnost Microsoft čas od času změnit v souladu s podmínkami této smlouvy. Jakékoli dodatečné nebo protichůdné podmínky a ujednání v nákupní objednávce zákazníka nebo partnera jsou výslovně zamítnuty a budou neplatné. Společnost Microsoft může před zpracováním nové objednávky nebo přijetím registrace nákupního účtu od zákazníka vyžadovat uzavření dodatečné smlouvy.</w:t>
      </w:r>
    </w:p>
    <w:p w14:paraId="597857BC" w14:textId="7B28843C" w:rsidR="00D6644C" w:rsidRPr="00274A71" w:rsidRDefault="007F7CA6" w:rsidP="00A9162A">
      <w:pPr>
        <w:pStyle w:val="ListParagraph"/>
        <w:numPr>
          <w:ilvl w:val="0"/>
          <w:numId w:val="45"/>
        </w:numPr>
        <w:ind w:left="1080"/>
        <w:contextualSpacing w:val="0"/>
        <w:jc w:val="left"/>
      </w:pPr>
      <w:r>
        <w:rPr>
          <w:b/>
          <w:bCs/>
        </w:rPr>
        <w:t>Postoupení.</w:t>
      </w:r>
      <w:r w:rsidR="00947828">
        <w:t xml:space="preserve"> </w:t>
      </w:r>
      <w:r>
        <w:t>Kterákoli ze stran může tuto smlouvu převést na afilaci, ale musí o tomto převedení druhou stranu písemně informovat. Jiné navržené postoupení musí být</w:t>
      </w:r>
      <w:r>
        <w:rPr>
          <w:color w:val="FF0000"/>
        </w:rPr>
        <w:t xml:space="preserve"> </w:t>
      </w:r>
      <w:r>
        <w:t>písemně schváleno druhou stranou. Postoupení nezprošťuje postupující stranu jejích povinností vyplývajících z postoupené smlouvy. Jakýkoli pokus o postoupení bez vyžadovaného souhlasu bude neplatný.</w:t>
      </w:r>
    </w:p>
    <w:p w14:paraId="1E64B265" w14:textId="4A67052F" w:rsidR="007E6A37" w:rsidRPr="00274A71" w:rsidRDefault="007E6A37" w:rsidP="00A9162A">
      <w:pPr>
        <w:pStyle w:val="ListParagraph"/>
        <w:numPr>
          <w:ilvl w:val="0"/>
          <w:numId w:val="45"/>
        </w:numPr>
        <w:ind w:left="1080"/>
        <w:contextualSpacing w:val="0"/>
        <w:jc w:val="left"/>
      </w:pPr>
      <w:r>
        <w:rPr>
          <w:b/>
          <w:bCs/>
        </w:rPr>
        <w:t>Rozhodné právo.</w:t>
      </w:r>
      <w:r w:rsidR="00947828">
        <w:t xml:space="preserve"> </w:t>
      </w:r>
      <w:r>
        <w:t>Podmínky každé doplňkové smlouvy uzavřené s kteroukoli afilací společnosti Microsoft, která se nachází mimo Evropu, se budou řídit a budou vykládány v souladu se zákony státu Washington (USA) a federálními zákony Spojených států amerických. Podmínky každé doplňkové smlouvy uzavřené s afilací společnosti Microsoft, která se nachází v Evropě, se budou řídit a budou vykládány v souladu se zákony Irska. Jakékoli vzniklé spory související s odbornými službami se budou řídit právem jurisdikce, ve které sídlí afilace společnosti Microsoft provádějící příslušný popis služeb. Úmluva OSN o smlouvách o mezinárodní koupi zboží z roku 1980 týkající se smluv o mezinárodním prodeji zboží a související listiny se na tuto smlouvu nevztahují.</w:t>
      </w:r>
    </w:p>
    <w:p w14:paraId="345DE64B" w14:textId="1C8A6484" w:rsidR="007E6A37" w:rsidRPr="00274A71" w:rsidRDefault="007E6A37" w:rsidP="00A9162A">
      <w:pPr>
        <w:numPr>
          <w:ilvl w:val="0"/>
          <w:numId w:val="45"/>
        </w:numPr>
        <w:ind w:left="1080"/>
        <w:jc w:val="left"/>
      </w:pPr>
      <w:r>
        <w:rPr>
          <w:b/>
          <w:bCs/>
        </w:rPr>
        <w:t>Řešení sporů.</w:t>
      </w:r>
      <w:r w:rsidR="00947828">
        <w:t xml:space="preserve"> </w:t>
      </w:r>
      <w:r>
        <w:t>Pro případ podání žaloby na vymožení práv z této smlouvy se strany dohodly na následující výlučné soudní příslušnosti:</w:t>
      </w:r>
    </w:p>
    <w:p w14:paraId="1158AA7C" w14:textId="77777777" w:rsidR="007E6A37" w:rsidRPr="00274A71" w:rsidRDefault="007E6A37" w:rsidP="00A9162A">
      <w:pPr>
        <w:numPr>
          <w:ilvl w:val="0"/>
          <w:numId w:val="2"/>
        </w:numPr>
        <w:ind w:left="1440"/>
        <w:jc w:val="left"/>
      </w:pPr>
      <w:r>
        <w:t>v případě, že žalobu podá společnost Microsoft, jurisdikci budou mít soudy v místě sídla afilace zákazníka, která podepsala smlouvu;</w:t>
      </w:r>
    </w:p>
    <w:p w14:paraId="1191055B" w14:textId="77777777" w:rsidR="007E6A37" w:rsidRPr="00274A71" w:rsidRDefault="007E6A37" w:rsidP="00A9162A">
      <w:pPr>
        <w:numPr>
          <w:ilvl w:val="0"/>
          <w:numId w:val="2"/>
        </w:numPr>
        <w:ind w:left="1440"/>
        <w:jc w:val="left"/>
      </w:pPr>
      <w:r>
        <w:lastRenderedPageBreak/>
        <w:t>v případě, že zákazník podá žalobu vymáhající popis služeb, jurisdikcí bude místo, kde má sídlo afilace společnosti Microsoft provádějící popis služeb. Pro všechny ostatní žaloby platí, že (1) v případě, že žalobu podá zákazník na jakoukoli afilaci společnosti Microsoft, která se nachází mimo Evropu, budou místně příslušné federální soudy ve správním okrese King County ve státu Washington (USA); a (2) v případě, že zákazník podá žalobu na jakoukoli afilaci společnosti Microsoft, která se nachází v Evropě, a nikoli na afilaci společnosti Microsoft sídlící mimo Evropu, budou místně příslušné soudy v Irsku.</w:t>
      </w:r>
    </w:p>
    <w:p w14:paraId="71201139" w14:textId="793DF9E8" w:rsidR="007E6A37" w:rsidRPr="00274A71" w:rsidRDefault="007E6A37" w:rsidP="00A9162A">
      <w:pPr>
        <w:pStyle w:val="ListParagraph"/>
        <w:ind w:left="1440"/>
        <w:contextualSpacing w:val="0"/>
        <w:jc w:val="left"/>
      </w:pPr>
      <w:r>
        <w:t>Smluvní strany se shodly na osobní jurisdikci v dohodnutém místě vedení soudního řízení.</w:t>
      </w:r>
      <w:r w:rsidR="00947828">
        <w:t xml:space="preserve"> </w:t>
      </w:r>
      <w:r>
        <w:t>Tato volba soudní příslušnosti nebrání žádné ze stran domáhat se předběžného opatření s ohledem na porušení práv duševního vlastnictví nebo povinnosti zachovávat důvěrnost v rámci jakékoli příslušné jurisdikce.</w:t>
      </w:r>
    </w:p>
    <w:p w14:paraId="597857BD" w14:textId="489F835E" w:rsidR="00D6644C" w:rsidRPr="00274A71" w:rsidRDefault="00D6644C" w:rsidP="00A9162A">
      <w:pPr>
        <w:pStyle w:val="ListParagraph"/>
        <w:numPr>
          <w:ilvl w:val="0"/>
          <w:numId w:val="45"/>
        </w:numPr>
        <w:tabs>
          <w:tab w:val="clear" w:pos="360"/>
        </w:tabs>
        <w:ind w:left="1080"/>
        <w:contextualSpacing w:val="0"/>
        <w:jc w:val="left"/>
      </w:pPr>
      <w:r>
        <w:rPr>
          <w:b/>
          <w:bCs/>
        </w:rPr>
        <w:t>Oddělitelnost.</w:t>
      </w:r>
      <w:r w:rsidR="00947828">
        <w:t xml:space="preserve"> </w:t>
      </w:r>
      <w:r>
        <w:t>V případě, že jakékoli ustanovení této smlouvy bude shledáno nevymahatelným, zůstávají ostatní ustanovení plně v platnosti a účinnosti.</w:t>
      </w:r>
    </w:p>
    <w:p w14:paraId="597857C4" w14:textId="79A6C6DD" w:rsidR="00D6644C" w:rsidRPr="00274A71" w:rsidRDefault="00D6644C" w:rsidP="00A9162A">
      <w:pPr>
        <w:pStyle w:val="ListParagraph"/>
        <w:numPr>
          <w:ilvl w:val="0"/>
          <w:numId w:val="45"/>
        </w:numPr>
        <w:tabs>
          <w:tab w:val="clear" w:pos="360"/>
        </w:tabs>
        <w:ind w:left="1080"/>
        <w:contextualSpacing w:val="0"/>
        <w:jc w:val="left"/>
      </w:pPr>
      <w:r>
        <w:rPr>
          <w:b/>
          <w:bCs/>
        </w:rPr>
        <w:t>Prominutí.</w:t>
      </w:r>
      <w:r w:rsidR="00947828">
        <w:t xml:space="preserve"> </w:t>
      </w:r>
      <w:r>
        <w:t>Nevymáhání jakéhokoli ustanovení této smlouvy nepředstavuje jeho prominutí. Každé případné prominutí musí být učiněno písemně a podepsáno promíjející stranou.</w:t>
      </w:r>
    </w:p>
    <w:p w14:paraId="396FD035" w14:textId="2FEA1ACD" w:rsidR="007E6A37" w:rsidRPr="00274A71" w:rsidRDefault="007E6A37" w:rsidP="00A9162A">
      <w:pPr>
        <w:pStyle w:val="ListParagraph"/>
        <w:numPr>
          <w:ilvl w:val="0"/>
          <w:numId w:val="45"/>
        </w:numPr>
        <w:tabs>
          <w:tab w:val="clear" w:pos="360"/>
        </w:tabs>
        <w:ind w:left="1080"/>
        <w:contextualSpacing w:val="0"/>
        <w:jc w:val="left"/>
      </w:pPr>
      <w:r>
        <w:rPr>
          <w:rFonts w:eastAsia="Segoe Pro"/>
          <w:b/>
        </w:rPr>
        <w:t>Žádné oprávněné osoby třetích stran.</w:t>
      </w:r>
      <w:r w:rsidR="00947828">
        <w:rPr>
          <w:rFonts w:eastAsia="Segoe Pro"/>
        </w:rPr>
        <w:t xml:space="preserve"> </w:t>
      </w:r>
      <w:r>
        <w:rPr>
          <w:rFonts w:eastAsia="Segoe Pro"/>
        </w:rPr>
        <w:t>Tato smlouva nezakládá žádná práva třetím stranám.</w:t>
      </w:r>
    </w:p>
    <w:p w14:paraId="597857C5" w14:textId="49E73643" w:rsidR="00D6644C" w:rsidRPr="00274A71" w:rsidRDefault="00D6644C" w:rsidP="00A9162A">
      <w:pPr>
        <w:pStyle w:val="ListParagraph"/>
        <w:numPr>
          <w:ilvl w:val="0"/>
          <w:numId w:val="45"/>
        </w:numPr>
        <w:tabs>
          <w:tab w:val="clear" w:pos="360"/>
        </w:tabs>
        <w:ind w:left="1080"/>
        <w:contextualSpacing w:val="0"/>
        <w:jc w:val="left"/>
      </w:pPr>
      <w:r>
        <w:rPr>
          <w:b/>
          <w:bCs/>
        </w:rPr>
        <w:t>Přetrvávání.</w:t>
      </w:r>
      <w:r w:rsidR="00947828">
        <w:t xml:space="preserve"> </w:t>
      </w:r>
      <w:r>
        <w:t>Všechna ustanovení zůstávají v platnosti i po ukončení nebo vypršení platnosti této smlouvy, s výjimkou ustanovení vyžadujících výkon pouze během doby platnosti smlouvy.</w:t>
      </w:r>
    </w:p>
    <w:p w14:paraId="4E89B6DC" w14:textId="40F050BD" w:rsidR="002562BF" w:rsidRPr="00274A71" w:rsidRDefault="006572E3" w:rsidP="001131DC">
      <w:pPr>
        <w:pStyle w:val="ListParagraph"/>
        <w:numPr>
          <w:ilvl w:val="0"/>
          <w:numId w:val="45"/>
        </w:numPr>
        <w:tabs>
          <w:tab w:val="clear" w:pos="360"/>
        </w:tabs>
        <w:ind w:left="1080"/>
        <w:contextualSpacing w:val="0"/>
        <w:jc w:val="left"/>
      </w:pPr>
      <w:r>
        <w:rPr>
          <w:b/>
        </w:rPr>
        <w:t>Platební podmínky</w:t>
      </w:r>
      <w:r>
        <w:t xml:space="preserve"> </w:t>
      </w:r>
      <w:r>
        <w:rPr>
          <w:b/>
        </w:rPr>
        <w:t>odborných služeb.</w:t>
      </w:r>
      <w:r w:rsidR="00947828">
        <w:t xml:space="preserve"> </w:t>
      </w:r>
      <w:r>
        <w:t>Není-li v popisu služeb uvedeno jinak, zákazník souhlasí s tím, že bude platit veškeré poplatky do 30 dnů od data vystavení faktury. U včas nezaplacených úhrad dlužných společnosti Microsoft může společnost Microsoft účtovat nižší z těchto finančních sankcí: 18</w:t>
      </w:r>
      <w:r w:rsidR="001131DC">
        <w:t xml:space="preserve"> </w:t>
      </w:r>
      <w:r>
        <w:t>% z dlužné částky ročně, s výpočtem sankce a splatností každý měsíc, nebo maximální zákonem povolený úrok z prodlení. V případě zpoždění platby není společnost Microsoft povinna své odborné služby nadále poskytovat.</w:t>
      </w:r>
    </w:p>
    <w:p w14:paraId="1A9BC3C8" w14:textId="77303C31" w:rsidR="002562BF" w:rsidRPr="00274A71" w:rsidRDefault="00D63A6A" w:rsidP="00A9162A">
      <w:pPr>
        <w:pStyle w:val="ListParagraph"/>
        <w:numPr>
          <w:ilvl w:val="0"/>
          <w:numId w:val="45"/>
        </w:numPr>
        <w:tabs>
          <w:tab w:val="clear" w:pos="360"/>
        </w:tabs>
        <w:ind w:left="1080"/>
        <w:contextualSpacing w:val="0"/>
        <w:jc w:val="left"/>
      </w:pPr>
      <w:r>
        <w:rPr>
          <w:b/>
        </w:rPr>
        <w:t>Daně.</w:t>
      </w:r>
      <w:r>
        <w:t xml:space="preserve"> V dlužných částkách, které mají být zaplaceny společnosti Microsoft, nejsou zahrnuty žádné daně, není-li na faktuře uvedeno jinak, tj. že se jedná o částku včetně daně.</w:t>
      </w:r>
      <w:r w:rsidR="00947828">
        <w:t xml:space="preserve"> </w:t>
      </w:r>
      <w:r>
        <w:t>Zákazník uhradí všechny příslušné daně z přidané hodnoty, daně ze zboží a služeb, spotřební daně, daně ze zisku, jiné daně z transakcí, poplatky, výlohy nebo přirážky či regulatorní poplatky nebo podobné poplatky, které jsou splatné podle této smlouvy a které je společnost Microsoft oprávněna zákazníkovi účtovat v souladu s rozhodným právem. Zákazník je odpovědný za veškeré kolkovné a ostatní daně, které je ze zákona povinen odvádět, včetně všech daní, které vyplývají z distribuce nebo použití produktů nebo odborných služeb zákazníkem či jeho afilacemi. Společnost Microsoft je odpovědná za úhradu všech daní vycházejících z jejího čistého příjmu, daní z hrubého příjmu nahrazujících daně z příjmu nebo zisků či daní z majetku společnosti Microsoft.</w:t>
      </w:r>
    </w:p>
    <w:p w14:paraId="4CABCF24" w14:textId="0BBC4DF1" w:rsidR="00BA4CBF" w:rsidRPr="00274A71" w:rsidRDefault="002562BF" w:rsidP="00A9162A">
      <w:pPr>
        <w:pStyle w:val="ListParagraph"/>
        <w:ind w:left="1080"/>
        <w:contextualSpacing w:val="0"/>
        <w:jc w:val="left"/>
      </w:pPr>
      <w:r>
        <w:t>V případě, že je požadována úhrada daní srážkou z plateb uhrazovaných společnosti Microsoft, může zákazník takové daně odečíst od dlužné částky a uhradit je příslušnému daňovému orgánu za předpokladu, že zákazník neprodleně zajistí a společnosti Microsoft doručí oficiální potvrzení o přijetí těchto daní vybíraných srážkou a ostatní doklady, které společnost Microsoft v rozumné míře vyžaduje, aby mohla nárokovat započtení nebo vrácení daně uhrazené v zahraničí. Zákazník musí zajistit, aby byly všechny daně vybírané srážkou minimalizovány, a to v co největší míře přípustné rozhodným právem.</w:t>
      </w:r>
    </w:p>
    <w:p w14:paraId="597857D0" w14:textId="6E66DC53" w:rsidR="00D6644C" w:rsidRPr="00274A71" w:rsidRDefault="00D6644C" w:rsidP="00C65630">
      <w:pPr>
        <w:pStyle w:val="Heading1"/>
        <w:numPr>
          <w:ilvl w:val="0"/>
          <w:numId w:val="30"/>
        </w:numPr>
        <w:ind w:left="720" w:hanging="720"/>
      </w:pPr>
      <w:bookmarkStart w:id="10" w:name="_Toc261346423"/>
      <w:r>
        <w:t>Ustanovení specifická pro určité země</w:t>
      </w:r>
      <w:bookmarkEnd w:id="10"/>
      <w:r w:rsidR="00615F8B">
        <w:t>.</w:t>
      </w:r>
    </w:p>
    <w:p w14:paraId="5978588E" w14:textId="3E131D78" w:rsidR="00D6644C" w:rsidRPr="00274A71" w:rsidRDefault="00F61C2B" w:rsidP="00753CD4">
      <w:pPr>
        <w:jc w:val="left"/>
      </w:pPr>
      <w:r>
        <w:t>Ustanovení specifická pro jednotlivé země uvedená na</w:t>
      </w:r>
      <w:hyperlink r:id="rId20" w:history="1"/>
      <w:r>
        <w:t xml:space="preserve"> multilicenčním webu, která odpovídají verzi této smlouvy MBSA (uvedené v zápatí každého dokumentu), nahrazují nebo doplňují relevantní ustanovení této smlouvy na základě umístění zákazníka uvedeného v podmínkách specifických pro jednotlivé země a v jakémkoli případě, kdy platí zákony jurisdikce uvedené v těchto specifických ustanoveních.</w:t>
      </w:r>
    </w:p>
    <w:sectPr w:rsidR="00D6644C" w:rsidRPr="00274A71" w:rsidSect="00C66ADA">
      <w:type w:val="continuous"/>
      <w:pgSz w:w="11907" w:h="16839"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61E6B" w14:textId="77777777" w:rsidR="001856F6" w:rsidRDefault="001856F6" w:rsidP="00D6644C">
      <w:pPr>
        <w:spacing w:before="0"/>
      </w:pPr>
      <w:r>
        <w:separator/>
      </w:r>
    </w:p>
  </w:endnote>
  <w:endnote w:type="continuationSeparator" w:id="0">
    <w:p w14:paraId="3DA6CF41" w14:textId="77777777" w:rsidR="001856F6" w:rsidRDefault="001856F6" w:rsidP="00D6644C">
      <w:pPr>
        <w:spacing w:before="0"/>
      </w:pPr>
      <w:r>
        <w:continuationSeparator/>
      </w:r>
    </w:p>
  </w:endnote>
  <w:endnote w:type="continuationNotice" w:id="1">
    <w:p w14:paraId="49275CBD" w14:textId="77777777" w:rsidR="001856F6" w:rsidRDefault="001856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B0500000000000000"/>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o">
    <w:altName w:val="Lucida Sans Unicode"/>
    <w:charset w:val="00"/>
    <w:family w:val="swiss"/>
    <w:pitch w:val="variable"/>
    <w:sig w:usb0="A00002AF" w:usb1="4000205B" w:usb2="00000000" w:usb3="00000000" w:csb0="0000009F" w:csb1="00000000"/>
  </w:font>
  <w:font w:name="PMingLiU">
    <w:altName w:val="新細明體"/>
    <w:panose1 w:val="020B0604030504040204"/>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D2B6" w14:textId="77777777" w:rsidR="00A641FC" w:rsidRDefault="00A6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jc w:val="center"/>
      <w:tblLook w:val="04A0" w:firstRow="1" w:lastRow="0" w:firstColumn="1" w:lastColumn="0" w:noHBand="0" w:noVBand="1"/>
    </w:tblPr>
    <w:tblGrid>
      <w:gridCol w:w="5183"/>
      <w:gridCol w:w="5185"/>
    </w:tblGrid>
    <w:tr w:rsidR="00FE27D3" w:rsidRPr="00FA393F" w14:paraId="15874E00" w14:textId="77777777" w:rsidTr="00591456">
      <w:trPr>
        <w:jc w:val="center"/>
      </w:trPr>
      <w:tc>
        <w:tcPr>
          <w:tcW w:w="4621" w:type="dxa"/>
        </w:tcPr>
        <w:p w14:paraId="3983AFE8" w14:textId="1A8080F5" w:rsidR="00FE27D3" w:rsidRPr="00FA393F" w:rsidRDefault="00203489" w:rsidP="00591456">
          <w:pPr>
            <w:pStyle w:val="Footer"/>
            <w:tabs>
              <w:tab w:val="clear" w:pos="4680"/>
            </w:tabs>
            <w:ind w:left="615"/>
            <w:rPr>
              <w:rStyle w:val="LogoportDoNotTranslate"/>
              <w:rFonts w:ascii="Arial" w:hAnsi="Arial" w:cs="Arial"/>
              <w:color w:val="auto"/>
              <w:sz w:val="16"/>
              <w:szCs w:val="16"/>
            </w:rPr>
          </w:pPr>
          <w:r>
            <w:rPr>
              <w:rStyle w:val="LogoportDoNotTranslate"/>
              <w:rFonts w:ascii="Arial" w:hAnsi="Arial" w:cs="Arial"/>
              <w:color w:val="auto"/>
              <w:sz w:val="16"/>
              <w:szCs w:val="16"/>
            </w:rPr>
            <w:t>MBSA2016</w:t>
          </w:r>
          <w:bookmarkStart w:id="0" w:name="_GoBack"/>
          <w:bookmarkEnd w:id="0"/>
          <w:r w:rsidR="00FE27D3">
            <w:rPr>
              <w:rStyle w:val="LogoportDoNotTranslate"/>
              <w:rFonts w:ascii="Arial" w:hAnsi="Arial" w:cs="Arial"/>
              <w:color w:val="auto"/>
              <w:sz w:val="16"/>
              <w:szCs w:val="16"/>
            </w:rPr>
            <w:t>Agr(WW)(CZE</w:t>
          </w:r>
          <w:r w:rsidR="00FE27D3" w:rsidRPr="00FA393F">
            <w:rPr>
              <w:rStyle w:val="LogoportDoNotTranslate"/>
              <w:rFonts w:ascii="Arial" w:hAnsi="Arial" w:cs="Arial"/>
              <w:color w:val="auto"/>
              <w:sz w:val="16"/>
              <w:szCs w:val="16"/>
            </w:rPr>
            <w:t>)(</w:t>
          </w:r>
          <w:r w:rsidR="0055520C">
            <w:rPr>
              <w:rStyle w:val="LogoportDoNotTranslate"/>
              <w:rFonts w:ascii="Arial" w:hAnsi="Arial" w:cs="Arial"/>
              <w:color w:val="auto"/>
              <w:sz w:val="16"/>
              <w:szCs w:val="16"/>
            </w:rPr>
            <w:t>Feb2017</w:t>
          </w:r>
          <w:r w:rsidR="00FE27D3" w:rsidRPr="00FA393F">
            <w:rPr>
              <w:rStyle w:val="LogoportDoNotTranslate"/>
              <w:rFonts w:ascii="Arial" w:hAnsi="Arial" w:cs="Arial"/>
              <w:color w:val="auto"/>
              <w:sz w:val="16"/>
              <w:szCs w:val="16"/>
            </w:rPr>
            <w:t>)</w:t>
          </w:r>
        </w:p>
      </w:tc>
      <w:tc>
        <w:tcPr>
          <w:tcW w:w="4622" w:type="dxa"/>
        </w:tcPr>
        <w:p w14:paraId="0C003612" w14:textId="322EF884" w:rsidR="00FE27D3" w:rsidRPr="00FA393F" w:rsidRDefault="00FE27D3" w:rsidP="00591456">
          <w:pPr>
            <w:spacing w:before="0"/>
            <w:ind w:right="589"/>
            <w:jc w:val="right"/>
            <w:rPr>
              <w:rStyle w:val="LogoportDoNotTranslate"/>
              <w:rFonts w:ascii="Arial" w:hAnsi="Arial" w:cs="Arial"/>
              <w:color w:val="auto"/>
              <w:sz w:val="16"/>
              <w:szCs w:val="16"/>
            </w:rPr>
          </w:pPr>
          <w:r w:rsidRPr="00FA393F">
            <w:rPr>
              <w:rStyle w:val="LogoportDoNotTranslate"/>
              <w:rFonts w:ascii="Arial" w:hAnsi="Arial" w:cs="Arial"/>
              <w:color w:val="auto"/>
              <w:sz w:val="16"/>
              <w:szCs w:val="16"/>
            </w:rPr>
            <w:t xml:space="preserve">Page </w:t>
          </w:r>
          <w:r w:rsidRPr="00FA393F">
            <w:rPr>
              <w:rStyle w:val="LogoportDoNotTranslate"/>
              <w:rFonts w:ascii="Arial" w:hAnsi="Arial" w:cs="Arial"/>
              <w:color w:val="auto"/>
              <w:sz w:val="16"/>
              <w:szCs w:val="16"/>
            </w:rPr>
            <w:fldChar w:fldCharType="begin"/>
          </w:r>
          <w:r w:rsidRPr="00FA393F">
            <w:rPr>
              <w:rStyle w:val="LogoportDoNotTranslate"/>
              <w:rFonts w:ascii="Arial" w:hAnsi="Arial" w:cs="Arial"/>
              <w:color w:val="auto"/>
              <w:sz w:val="16"/>
              <w:szCs w:val="16"/>
            </w:rPr>
            <w:instrText xml:space="preserve"> PAGE </w:instrText>
          </w:r>
          <w:r w:rsidRPr="00FA393F">
            <w:rPr>
              <w:rStyle w:val="LogoportDoNotTranslate"/>
              <w:rFonts w:ascii="Arial" w:hAnsi="Arial" w:cs="Arial"/>
              <w:color w:val="auto"/>
              <w:sz w:val="16"/>
              <w:szCs w:val="16"/>
            </w:rPr>
            <w:fldChar w:fldCharType="separate"/>
          </w:r>
          <w:r w:rsidR="00203489">
            <w:rPr>
              <w:rStyle w:val="LogoportDoNotTranslate"/>
              <w:rFonts w:ascii="Arial" w:hAnsi="Arial" w:cs="Arial"/>
              <w:noProof/>
              <w:color w:val="auto"/>
              <w:sz w:val="16"/>
              <w:szCs w:val="16"/>
            </w:rPr>
            <w:t>2</w:t>
          </w:r>
          <w:r w:rsidRPr="00FA393F">
            <w:rPr>
              <w:color w:val="auto"/>
              <w:sz w:val="16"/>
              <w:szCs w:val="16"/>
            </w:rPr>
            <w:fldChar w:fldCharType="end"/>
          </w:r>
          <w:r w:rsidRPr="00FA393F">
            <w:rPr>
              <w:rStyle w:val="LogoportDoNotTranslate"/>
              <w:rFonts w:ascii="Arial" w:hAnsi="Arial" w:cs="Arial"/>
              <w:color w:val="auto"/>
              <w:sz w:val="16"/>
              <w:szCs w:val="16"/>
            </w:rPr>
            <w:t xml:space="preserve"> of </w:t>
          </w:r>
          <w:r w:rsidRPr="00FA393F">
            <w:rPr>
              <w:rStyle w:val="LogoportDoNotTranslate"/>
              <w:rFonts w:ascii="Arial" w:hAnsi="Arial" w:cs="Arial"/>
              <w:color w:val="auto"/>
              <w:sz w:val="16"/>
              <w:szCs w:val="16"/>
            </w:rPr>
            <w:fldChar w:fldCharType="begin"/>
          </w:r>
          <w:r w:rsidRPr="00FA393F">
            <w:rPr>
              <w:rStyle w:val="LogoportDoNotTranslate"/>
              <w:rFonts w:ascii="Arial" w:hAnsi="Arial" w:cs="Arial"/>
              <w:color w:val="auto"/>
              <w:sz w:val="16"/>
              <w:szCs w:val="16"/>
            </w:rPr>
            <w:instrText xml:space="preserve"> NUMPAGES  </w:instrText>
          </w:r>
          <w:r w:rsidRPr="00FA393F">
            <w:rPr>
              <w:rStyle w:val="LogoportDoNotTranslate"/>
              <w:rFonts w:ascii="Arial" w:hAnsi="Arial" w:cs="Arial"/>
              <w:color w:val="auto"/>
              <w:sz w:val="16"/>
              <w:szCs w:val="16"/>
            </w:rPr>
            <w:fldChar w:fldCharType="separate"/>
          </w:r>
          <w:r w:rsidR="00203489">
            <w:rPr>
              <w:rStyle w:val="LogoportDoNotTranslate"/>
              <w:rFonts w:ascii="Arial" w:hAnsi="Arial" w:cs="Arial"/>
              <w:noProof/>
              <w:color w:val="auto"/>
              <w:sz w:val="16"/>
              <w:szCs w:val="16"/>
            </w:rPr>
            <w:t>7</w:t>
          </w:r>
          <w:r w:rsidRPr="00FA393F">
            <w:rPr>
              <w:color w:val="auto"/>
              <w:sz w:val="16"/>
              <w:szCs w:val="16"/>
            </w:rPr>
            <w:fldChar w:fldCharType="end"/>
          </w:r>
        </w:p>
        <w:p w14:paraId="7F26FB65" w14:textId="2FEC2659" w:rsidR="00FE27D3" w:rsidRPr="00FA393F" w:rsidRDefault="00A641FC" w:rsidP="00591456">
          <w:pPr>
            <w:spacing w:before="0"/>
            <w:ind w:right="589"/>
            <w:jc w:val="right"/>
            <w:rPr>
              <w:rStyle w:val="LogoportDoNotTranslate"/>
              <w:rFonts w:ascii="Arial" w:hAnsi="Arial" w:cs="Arial"/>
              <w:color w:val="auto"/>
              <w:sz w:val="16"/>
              <w:szCs w:val="16"/>
            </w:rPr>
          </w:pPr>
          <w:r>
            <w:rPr>
              <w:rStyle w:val="LogoportDoNotTranslate"/>
              <w:rFonts w:ascii="Arial" w:hAnsi="Arial" w:cs="Arial"/>
              <w:color w:val="auto"/>
              <w:sz w:val="16"/>
              <w:szCs w:val="16"/>
            </w:rPr>
            <w:t>Document X20-10008</w:t>
          </w:r>
        </w:p>
      </w:tc>
    </w:tr>
  </w:tbl>
  <w:p w14:paraId="02C816AB" w14:textId="77777777" w:rsidR="00FE27D3" w:rsidRPr="00FA393F" w:rsidRDefault="00FE27D3" w:rsidP="00FE27D3">
    <w:pPr>
      <w:pStyle w:val="Footer"/>
      <w:rPr>
        <w:rStyle w:val="LogoportDoNotTranslate"/>
        <w:rFonts w:ascii="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jc w:val="center"/>
      <w:tblLook w:val="04A0" w:firstRow="1" w:lastRow="0" w:firstColumn="1" w:lastColumn="0" w:noHBand="0" w:noVBand="1"/>
    </w:tblPr>
    <w:tblGrid>
      <w:gridCol w:w="5183"/>
      <w:gridCol w:w="5185"/>
    </w:tblGrid>
    <w:tr w:rsidR="00FE27D3" w:rsidRPr="00FA393F" w14:paraId="3EB03E55" w14:textId="77777777" w:rsidTr="00591456">
      <w:trPr>
        <w:jc w:val="center"/>
      </w:trPr>
      <w:tc>
        <w:tcPr>
          <w:tcW w:w="4621" w:type="dxa"/>
        </w:tcPr>
        <w:p w14:paraId="065B080A" w14:textId="00A79E95" w:rsidR="00FE27D3" w:rsidRPr="00FA393F" w:rsidRDefault="00203489" w:rsidP="00591456">
          <w:pPr>
            <w:pStyle w:val="Footer"/>
            <w:tabs>
              <w:tab w:val="clear" w:pos="4680"/>
            </w:tabs>
            <w:ind w:left="615"/>
            <w:rPr>
              <w:rStyle w:val="LogoportDoNotTranslate"/>
              <w:rFonts w:ascii="Arial" w:hAnsi="Arial" w:cs="Arial"/>
              <w:color w:val="auto"/>
              <w:sz w:val="16"/>
              <w:szCs w:val="16"/>
            </w:rPr>
          </w:pPr>
          <w:r>
            <w:rPr>
              <w:rStyle w:val="LogoportDoNotTranslate"/>
              <w:rFonts w:ascii="Arial" w:hAnsi="Arial" w:cs="Arial"/>
              <w:color w:val="auto"/>
              <w:sz w:val="16"/>
              <w:szCs w:val="16"/>
            </w:rPr>
            <w:t>MBSA2016</w:t>
          </w:r>
          <w:r w:rsidR="00FE27D3">
            <w:rPr>
              <w:rStyle w:val="LogoportDoNotTranslate"/>
              <w:rFonts w:ascii="Arial" w:hAnsi="Arial" w:cs="Arial"/>
              <w:color w:val="auto"/>
              <w:sz w:val="16"/>
              <w:szCs w:val="16"/>
            </w:rPr>
            <w:t>Agr(WW)(CZE</w:t>
          </w:r>
          <w:r w:rsidR="00FE27D3" w:rsidRPr="00FA393F">
            <w:rPr>
              <w:rStyle w:val="LogoportDoNotTranslate"/>
              <w:rFonts w:ascii="Arial" w:hAnsi="Arial" w:cs="Arial"/>
              <w:color w:val="auto"/>
              <w:sz w:val="16"/>
              <w:szCs w:val="16"/>
            </w:rPr>
            <w:t>)(</w:t>
          </w:r>
          <w:r w:rsidR="0055520C">
            <w:rPr>
              <w:rStyle w:val="LogoportDoNotTranslate"/>
              <w:rFonts w:ascii="Arial" w:hAnsi="Arial" w:cs="Arial"/>
              <w:color w:val="auto"/>
              <w:sz w:val="16"/>
              <w:szCs w:val="16"/>
            </w:rPr>
            <w:t>Feb2017</w:t>
          </w:r>
          <w:r w:rsidR="00FE27D3" w:rsidRPr="00FA393F">
            <w:rPr>
              <w:rStyle w:val="LogoportDoNotTranslate"/>
              <w:rFonts w:ascii="Arial" w:hAnsi="Arial" w:cs="Arial"/>
              <w:color w:val="auto"/>
              <w:sz w:val="16"/>
              <w:szCs w:val="16"/>
            </w:rPr>
            <w:t>)</w:t>
          </w:r>
        </w:p>
      </w:tc>
      <w:tc>
        <w:tcPr>
          <w:tcW w:w="4622" w:type="dxa"/>
        </w:tcPr>
        <w:p w14:paraId="6D5025BF" w14:textId="7C3B9116" w:rsidR="00FE27D3" w:rsidRPr="00FA393F" w:rsidRDefault="00FE27D3" w:rsidP="0065614C">
          <w:pPr>
            <w:spacing w:before="0"/>
            <w:ind w:right="607"/>
            <w:jc w:val="right"/>
            <w:rPr>
              <w:rStyle w:val="LogoportDoNotTranslate"/>
              <w:rFonts w:ascii="Arial" w:hAnsi="Arial" w:cs="Arial"/>
              <w:color w:val="auto"/>
              <w:sz w:val="16"/>
              <w:szCs w:val="16"/>
            </w:rPr>
          </w:pPr>
          <w:r w:rsidRPr="00FA393F">
            <w:rPr>
              <w:rStyle w:val="LogoportDoNotTranslate"/>
              <w:rFonts w:ascii="Arial" w:hAnsi="Arial" w:cs="Arial"/>
              <w:color w:val="auto"/>
              <w:sz w:val="16"/>
              <w:szCs w:val="16"/>
            </w:rPr>
            <w:t xml:space="preserve">Page </w:t>
          </w:r>
          <w:r w:rsidRPr="00FA393F">
            <w:rPr>
              <w:rStyle w:val="LogoportDoNotTranslate"/>
              <w:rFonts w:ascii="Arial" w:hAnsi="Arial" w:cs="Arial"/>
              <w:color w:val="auto"/>
              <w:sz w:val="16"/>
              <w:szCs w:val="16"/>
            </w:rPr>
            <w:fldChar w:fldCharType="begin"/>
          </w:r>
          <w:r w:rsidRPr="00FA393F">
            <w:rPr>
              <w:rStyle w:val="LogoportDoNotTranslate"/>
              <w:rFonts w:ascii="Arial" w:hAnsi="Arial" w:cs="Arial"/>
              <w:color w:val="auto"/>
              <w:sz w:val="16"/>
              <w:szCs w:val="16"/>
            </w:rPr>
            <w:instrText xml:space="preserve"> PAGE </w:instrText>
          </w:r>
          <w:r w:rsidRPr="00FA393F">
            <w:rPr>
              <w:rStyle w:val="LogoportDoNotTranslate"/>
              <w:rFonts w:ascii="Arial" w:hAnsi="Arial" w:cs="Arial"/>
              <w:color w:val="auto"/>
              <w:sz w:val="16"/>
              <w:szCs w:val="16"/>
            </w:rPr>
            <w:fldChar w:fldCharType="separate"/>
          </w:r>
          <w:r w:rsidR="00203489">
            <w:rPr>
              <w:rStyle w:val="LogoportDoNotTranslate"/>
              <w:rFonts w:ascii="Arial" w:hAnsi="Arial" w:cs="Arial"/>
              <w:noProof/>
              <w:color w:val="auto"/>
              <w:sz w:val="16"/>
              <w:szCs w:val="16"/>
            </w:rPr>
            <w:t>1</w:t>
          </w:r>
          <w:r w:rsidRPr="00FA393F">
            <w:rPr>
              <w:color w:val="auto"/>
              <w:sz w:val="16"/>
              <w:szCs w:val="16"/>
            </w:rPr>
            <w:fldChar w:fldCharType="end"/>
          </w:r>
          <w:r w:rsidRPr="00FA393F">
            <w:rPr>
              <w:rStyle w:val="LogoportDoNotTranslate"/>
              <w:rFonts w:ascii="Arial" w:hAnsi="Arial" w:cs="Arial"/>
              <w:color w:val="auto"/>
              <w:sz w:val="16"/>
              <w:szCs w:val="16"/>
            </w:rPr>
            <w:t xml:space="preserve"> of </w:t>
          </w:r>
          <w:r w:rsidRPr="00FA393F">
            <w:rPr>
              <w:rStyle w:val="LogoportDoNotTranslate"/>
              <w:rFonts w:ascii="Arial" w:hAnsi="Arial" w:cs="Arial"/>
              <w:color w:val="auto"/>
              <w:sz w:val="16"/>
              <w:szCs w:val="16"/>
            </w:rPr>
            <w:fldChar w:fldCharType="begin"/>
          </w:r>
          <w:r w:rsidRPr="00FA393F">
            <w:rPr>
              <w:rStyle w:val="LogoportDoNotTranslate"/>
              <w:rFonts w:ascii="Arial" w:hAnsi="Arial" w:cs="Arial"/>
              <w:color w:val="auto"/>
              <w:sz w:val="16"/>
              <w:szCs w:val="16"/>
            </w:rPr>
            <w:instrText xml:space="preserve"> NUMPAGES  </w:instrText>
          </w:r>
          <w:r w:rsidRPr="00FA393F">
            <w:rPr>
              <w:rStyle w:val="LogoportDoNotTranslate"/>
              <w:rFonts w:ascii="Arial" w:hAnsi="Arial" w:cs="Arial"/>
              <w:color w:val="auto"/>
              <w:sz w:val="16"/>
              <w:szCs w:val="16"/>
            </w:rPr>
            <w:fldChar w:fldCharType="separate"/>
          </w:r>
          <w:r w:rsidR="00203489">
            <w:rPr>
              <w:rStyle w:val="LogoportDoNotTranslate"/>
              <w:rFonts w:ascii="Arial" w:hAnsi="Arial" w:cs="Arial"/>
              <w:noProof/>
              <w:color w:val="auto"/>
              <w:sz w:val="16"/>
              <w:szCs w:val="16"/>
            </w:rPr>
            <w:t>7</w:t>
          </w:r>
          <w:r w:rsidRPr="00FA393F">
            <w:rPr>
              <w:color w:val="auto"/>
              <w:sz w:val="16"/>
              <w:szCs w:val="16"/>
            </w:rPr>
            <w:fldChar w:fldCharType="end"/>
          </w:r>
        </w:p>
        <w:p w14:paraId="36C5007B" w14:textId="5B09F1C6" w:rsidR="00FE27D3" w:rsidRPr="00FA393F" w:rsidRDefault="00A641FC" w:rsidP="0065614C">
          <w:pPr>
            <w:spacing w:before="0"/>
            <w:ind w:right="607"/>
            <w:jc w:val="right"/>
            <w:rPr>
              <w:rStyle w:val="LogoportDoNotTranslate"/>
              <w:rFonts w:ascii="Arial" w:hAnsi="Arial" w:cs="Arial"/>
              <w:color w:val="auto"/>
              <w:sz w:val="16"/>
              <w:szCs w:val="16"/>
            </w:rPr>
          </w:pPr>
          <w:r>
            <w:rPr>
              <w:rStyle w:val="LogoportDoNotTranslate"/>
              <w:rFonts w:ascii="Arial" w:hAnsi="Arial" w:cs="Arial"/>
              <w:color w:val="auto"/>
              <w:sz w:val="16"/>
              <w:szCs w:val="16"/>
            </w:rPr>
            <w:t>Document X20-10008</w:t>
          </w:r>
        </w:p>
      </w:tc>
    </w:tr>
  </w:tbl>
  <w:p w14:paraId="0A541FF2" w14:textId="77777777" w:rsidR="00FE27D3" w:rsidRPr="00FA393F" w:rsidRDefault="00FE27D3" w:rsidP="00FE27D3">
    <w:pPr>
      <w:pStyle w:val="Footer"/>
      <w:rPr>
        <w:rStyle w:val="LogoportDoNotTranslate"/>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87C04" w14:textId="77777777" w:rsidR="001856F6" w:rsidRDefault="001856F6" w:rsidP="00D6644C">
      <w:pPr>
        <w:spacing w:before="0"/>
      </w:pPr>
      <w:r>
        <w:separator/>
      </w:r>
    </w:p>
  </w:footnote>
  <w:footnote w:type="continuationSeparator" w:id="0">
    <w:p w14:paraId="092DCC5C" w14:textId="77777777" w:rsidR="001856F6" w:rsidRDefault="001856F6" w:rsidP="00D6644C">
      <w:pPr>
        <w:spacing w:before="0"/>
      </w:pPr>
      <w:r>
        <w:continuationSeparator/>
      </w:r>
    </w:p>
  </w:footnote>
  <w:footnote w:type="continuationNotice" w:id="1">
    <w:p w14:paraId="1CE6C8C9" w14:textId="77777777" w:rsidR="001856F6" w:rsidRDefault="001856F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5740" w14:textId="044EBC76" w:rsidR="00230063" w:rsidRDefault="001856F6">
    <w:pPr>
      <w:pStyle w:val="Header"/>
    </w:pPr>
    <w:r>
      <w:pict w14:anchorId="5BA09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451.2pt;height:254.35pt;z-index:-251657216;mso-position-horizontal:center;mso-position-horizontal-relative:margin;mso-position-vertical:center;mso-position-vertical-relative:margin" o:allowincell="f">
          <v:imagedata r:id="rId1" o:title="K2 BW Ima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3B71" w14:textId="5B61E246" w:rsidR="00230063" w:rsidRDefault="001856F6">
    <w:pPr>
      <w:pStyle w:val="Header"/>
    </w:pPr>
    <w:r>
      <w:pict w14:anchorId="55327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451.2pt;height:254.35pt;z-index:-251656192;mso-position-horizontal:center;mso-position-horizontal-relative:margin;mso-position-vertical:center;mso-position-vertical-relative:margin" o:allowincell="f">
          <v:imagedata r:id="rId1" o:title="K2 BW Ima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AAFE" w14:textId="596D4D7A" w:rsidR="00230063" w:rsidRDefault="001856F6" w:rsidP="002B5CBE">
    <w:pPr>
      <w:pStyle w:val="Header"/>
      <w:jc w:val="right"/>
    </w:pPr>
    <w:r>
      <w:pict w14:anchorId="51422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1" type="#_x0000_t75" style="position:absolute;left:0;text-align:left;margin-left:0;margin-top:0;width:451.2pt;height:254.35pt;z-index:-251658240;mso-position-horizontal:center;mso-position-horizontal-relative:margin;mso-position-vertical:center;mso-position-vertical-relative:margin" o:allowincell="f">
          <v:imagedata r:id="rId1" o:title="K2 BW Image" gain="19661f" blacklevel="22938f"/>
          <w10:wrap anchorx="margin" anchory="margin"/>
        </v:shape>
      </w:pict>
    </w:r>
    <w:r w:rsidR="00AE6A9E">
      <w:rPr>
        <w:noProof/>
        <w:lang w:val="en-US" w:eastAsia="zh-CN" w:bidi="ar-SA"/>
      </w:rPr>
      <w:drawing>
        <wp:inline distT="0" distB="0" distL="0" distR="0" wp14:anchorId="7F6E0B34" wp14:editId="5735A5A6">
          <wp:extent cx="1714500" cy="408755"/>
          <wp:effectExtent l="0" t="0" r="0" b="0"/>
          <wp:docPr id="18" name="Picture 18" descr="C:\Users\v-elibro\Desktop\Watermark\NewM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libro\Desktop\Watermark\NewMSLogo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201" cy="410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1EC"/>
    <w:multiLevelType w:val="hybridMultilevel"/>
    <w:tmpl w:val="BBDC9A48"/>
    <w:lvl w:ilvl="0" w:tplc="1E3897FC">
      <w:start w:val="1"/>
      <w:numFmt w:val="upp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93791"/>
    <w:multiLevelType w:val="hybridMultilevel"/>
    <w:tmpl w:val="AAC6FC14"/>
    <w:lvl w:ilvl="0" w:tplc="1E3897FC">
      <w:start w:val="1"/>
      <w:numFmt w:val="upperLetter"/>
      <w:lvlText w:val="%1."/>
      <w:lvlJc w:val="left"/>
      <w:pPr>
        <w:ind w:left="720" w:hanging="360"/>
      </w:pPr>
      <w:rPr>
        <w:rFonts w:hint="default"/>
        <w:b/>
        <w:bCs/>
      </w:rPr>
    </w:lvl>
    <w:lvl w:ilvl="1" w:tplc="F2C29BB0">
      <w:start w:val="2"/>
      <w:numFmt w:val="bullet"/>
      <w:lvlText w:val="•"/>
      <w:lvlJc w:val="left"/>
      <w:pPr>
        <w:ind w:left="1800" w:hanging="720"/>
      </w:pPr>
      <w:rPr>
        <w:rFonts w:ascii="Arial" w:eastAsia="MS Mincho"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A3A39"/>
    <w:multiLevelType w:val="hybridMultilevel"/>
    <w:tmpl w:val="C6D8E914"/>
    <w:lvl w:ilvl="0" w:tplc="7F985E10">
      <w:start w:val="3"/>
      <w:numFmt w:val="lowerRoman"/>
      <w:lvlText w:val="(%1)"/>
      <w:lvlJc w:val="left"/>
      <w:pPr>
        <w:ind w:left="720" w:hanging="360"/>
      </w:pPr>
      <w:rPr>
        <w:rFonts w:ascii="Arial" w:eastAsia="Times New Roman"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7444E"/>
    <w:multiLevelType w:val="hybridMultilevel"/>
    <w:tmpl w:val="7116B49E"/>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2092"/>
    <w:multiLevelType w:val="hybridMultilevel"/>
    <w:tmpl w:val="EFBEE664"/>
    <w:lvl w:ilvl="0" w:tplc="0FF0EEFC">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73278"/>
    <w:multiLevelType w:val="hybridMultilevel"/>
    <w:tmpl w:val="B18E4B54"/>
    <w:lvl w:ilvl="0" w:tplc="E7822CF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46608"/>
    <w:multiLevelType w:val="hybridMultilevel"/>
    <w:tmpl w:val="FAD0C5EA"/>
    <w:lvl w:ilvl="0" w:tplc="8C8A14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E06D34"/>
    <w:multiLevelType w:val="hybridMultilevel"/>
    <w:tmpl w:val="43404502"/>
    <w:lvl w:ilvl="0" w:tplc="EF60FD30">
      <w:start w:val="1"/>
      <w:numFmt w:val="decimal"/>
      <w:lvlText w:val="%1."/>
      <w:lvlJc w:val="left"/>
      <w:pPr>
        <w:ind w:left="36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1A153B17"/>
    <w:multiLevelType w:val="multilevel"/>
    <w:tmpl w:val="51083548"/>
    <w:lvl w:ilvl="0">
      <w:start w:val="1"/>
      <w:numFmt w:val="lowerLetter"/>
      <w:lvlText w:val="%1."/>
      <w:lvlJc w:val="left"/>
      <w:pPr>
        <w:tabs>
          <w:tab w:val="num" w:pos="360"/>
        </w:tabs>
        <w:ind w:left="360" w:hanging="360"/>
      </w:pPr>
      <w:rPr>
        <w:rFonts w:hint="default"/>
        <w:b/>
      </w:rPr>
    </w:lvl>
    <w:lvl w:ilvl="1">
      <w:start w:val="1"/>
      <w:numFmt w:val="lowerRoman"/>
      <w:lvlText w:val="(%2)"/>
      <w:lvlJc w:val="left"/>
      <w:pPr>
        <w:tabs>
          <w:tab w:val="num" w:pos="1080"/>
        </w:tabs>
        <w:ind w:left="1080" w:hanging="360"/>
      </w:pPr>
      <w:rPr>
        <w:rFonts w:hint="default"/>
        <w:b/>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9" w15:restartNumberingAfterBreak="0">
    <w:nsid w:val="1B9849CF"/>
    <w:multiLevelType w:val="hybridMultilevel"/>
    <w:tmpl w:val="A39E5456"/>
    <w:lvl w:ilvl="0" w:tplc="D1C6567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C2DD7"/>
    <w:multiLevelType w:val="hybridMultilevel"/>
    <w:tmpl w:val="B8A4DF76"/>
    <w:lvl w:ilvl="0" w:tplc="E7822CF2">
      <w:start w:val="1"/>
      <w:numFmt w:val="lowerLetter"/>
      <w:lvlText w:val="%1."/>
      <w:lvlJc w:val="left"/>
      <w:pPr>
        <w:ind w:left="360" w:hanging="360"/>
      </w:pPr>
      <w:rPr>
        <w:b/>
        <w:bCs/>
      </w:rPr>
    </w:lvl>
    <w:lvl w:ilvl="1" w:tplc="6A220F3E">
      <w:start w:val="1"/>
      <w:numFmt w:val="lowerRoman"/>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A618FA"/>
    <w:multiLevelType w:val="hybridMultilevel"/>
    <w:tmpl w:val="CF3A65F2"/>
    <w:lvl w:ilvl="0" w:tplc="DB165A3E">
      <w:start w:val="1"/>
      <w:numFmt w:val="lowerRoman"/>
      <w:lvlText w:val="(%1)"/>
      <w:lvlJc w:val="left"/>
      <w:pPr>
        <w:ind w:left="1800" w:hanging="360"/>
      </w:pPr>
      <w:rPr>
        <w:rFonts w:ascii="Arial" w:eastAsia="Times New Roman" w:hAnsi="Arial" w:cs="Arial"/>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E12254"/>
    <w:multiLevelType w:val="hybridMultilevel"/>
    <w:tmpl w:val="77F8C9C0"/>
    <w:lvl w:ilvl="0" w:tplc="505EBF44">
      <w:start w:val="1"/>
      <w:numFmt w:val="lowerRoman"/>
      <w:lvlText w:val="(%1)"/>
      <w:lvlJc w:val="left"/>
      <w:pPr>
        <w:ind w:left="2160" w:hanging="360"/>
      </w:pPr>
      <w:rPr>
        <w:rFonts w:ascii="Arial" w:eastAsia="Times New Roman"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43D4"/>
    <w:multiLevelType w:val="hybridMultilevel"/>
    <w:tmpl w:val="C8922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715B1"/>
    <w:multiLevelType w:val="hybridMultilevel"/>
    <w:tmpl w:val="0276A6F4"/>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13658"/>
    <w:multiLevelType w:val="hybridMultilevel"/>
    <w:tmpl w:val="FD1CE95C"/>
    <w:lvl w:ilvl="0" w:tplc="BBD0C0F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A7563"/>
    <w:multiLevelType w:val="hybridMultilevel"/>
    <w:tmpl w:val="487C1664"/>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F52F6"/>
    <w:multiLevelType w:val="multilevel"/>
    <w:tmpl w:val="51083548"/>
    <w:lvl w:ilvl="0">
      <w:start w:val="1"/>
      <w:numFmt w:val="lowerLetter"/>
      <w:lvlText w:val="%1."/>
      <w:lvlJc w:val="left"/>
      <w:pPr>
        <w:tabs>
          <w:tab w:val="num" w:pos="360"/>
        </w:tabs>
        <w:ind w:left="360" w:hanging="360"/>
      </w:pPr>
      <w:rPr>
        <w:rFonts w:hint="default"/>
        <w:b/>
      </w:rPr>
    </w:lvl>
    <w:lvl w:ilvl="1">
      <w:start w:val="1"/>
      <w:numFmt w:val="lowerRoman"/>
      <w:lvlText w:val="(%2)"/>
      <w:lvlJc w:val="left"/>
      <w:pPr>
        <w:tabs>
          <w:tab w:val="num" w:pos="1080"/>
        </w:tabs>
        <w:ind w:left="1080" w:hanging="360"/>
      </w:pPr>
      <w:rPr>
        <w:rFonts w:hint="default"/>
        <w:b/>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8" w15:restartNumberingAfterBreak="0">
    <w:nsid w:val="321F03EB"/>
    <w:multiLevelType w:val="hybridMultilevel"/>
    <w:tmpl w:val="191EE75A"/>
    <w:lvl w:ilvl="0" w:tplc="E7822C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B3453"/>
    <w:multiLevelType w:val="multilevel"/>
    <w:tmpl w:val="51083548"/>
    <w:lvl w:ilvl="0">
      <w:start w:val="1"/>
      <w:numFmt w:val="lowerLetter"/>
      <w:lvlText w:val="%1."/>
      <w:lvlJc w:val="left"/>
      <w:pPr>
        <w:tabs>
          <w:tab w:val="num" w:pos="360"/>
        </w:tabs>
        <w:ind w:left="360" w:hanging="360"/>
      </w:pPr>
      <w:rPr>
        <w:rFonts w:hint="default"/>
        <w:b/>
      </w:rPr>
    </w:lvl>
    <w:lvl w:ilvl="1">
      <w:start w:val="1"/>
      <w:numFmt w:val="lowerRoman"/>
      <w:lvlText w:val="(%2)"/>
      <w:lvlJc w:val="left"/>
      <w:pPr>
        <w:tabs>
          <w:tab w:val="num" w:pos="1080"/>
        </w:tabs>
        <w:ind w:left="1080" w:hanging="360"/>
      </w:pPr>
      <w:rPr>
        <w:rFonts w:hint="default"/>
        <w:b/>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20" w15:restartNumberingAfterBreak="0">
    <w:nsid w:val="3ACC5133"/>
    <w:multiLevelType w:val="multilevel"/>
    <w:tmpl w:val="3014F264"/>
    <w:lvl w:ilvl="0">
      <w:start w:val="1"/>
      <w:numFmt w:val="lowerLetter"/>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ascii="Arial" w:eastAsia="MS Mincho" w:hAnsi="Arial" w:cs="Arial"/>
        <w:b/>
      </w:r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1" w15:restartNumberingAfterBreak="0">
    <w:nsid w:val="4A321D2A"/>
    <w:multiLevelType w:val="hybridMultilevel"/>
    <w:tmpl w:val="DBFA911C"/>
    <w:lvl w:ilvl="0" w:tplc="DB165A3E">
      <w:start w:val="1"/>
      <w:numFmt w:val="lowerRoman"/>
      <w:lvlText w:val="(%1)"/>
      <w:lvlJc w:val="left"/>
      <w:pPr>
        <w:ind w:left="0" w:hanging="360"/>
      </w:pPr>
      <w:rPr>
        <w:rFonts w:ascii="Arial" w:eastAsia="Times New Roman" w:hAnsi="Arial" w:cs="Arial"/>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D0D226F"/>
    <w:multiLevelType w:val="hybridMultilevel"/>
    <w:tmpl w:val="7916DA42"/>
    <w:lvl w:ilvl="0" w:tplc="7F2E7914">
      <w:start w:val="1"/>
      <w:numFmt w:val="lowerRoman"/>
      <w:lvlText w:val="(%1)"/>
      <w:lvlJc w:val="left"/>
      <w:pPr>
        <w:ind w:left="720" w:hanging="360"/>
      </w:pPr>
      <w:rPr>
        <w:rFonts w:hint="default"/>
        <w:b/>
      </w:rPr>
    </w:lvl>
    <w:lvl w:ilvl="1" w:tplc="7F2E7914">
      <w:start w:val="1"/>
      <w:numFmt w:val="lowerRoman"/>
      <w:lvlText w:val="(%2)"/>
      <w:lvlJc w:val="left"/>
      <w:pPr>
        <w:ind w:left="1440" w:hanging="360"/>
      </w:pPr>
      <w:rPr>
        <w:rFonts w:hint="default"/>
        <w:b/>
      </w:rPr>
    </w:lvl>
    <w:lvl w:ilvl="2" w:tplc="7F2E7914">
      <w:start w:val="1"/>
      <w:numFmt w:val="lowerRoman"/>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E7ADE"/>
    <w:multiLevelType w:val="hybridMultilevel"/>
    <w:tmpl w:val="BF3AC386"/>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30C46"/>
    <w:multiLevelType w:val="hybridMultilevel"/>
    <w:tmpl w:val="FF4A4E0C"/>
    <w:lvl w:ilvl="0" w:tplc="094AAB4E">
      <w:start w:val="1"/>
      <w:numFmt w:val="lowerLetter"/>
      <w:lvlText w:val="%1."/>
      <w:lvlJc w:val="left"/>
      <w:pPr>
        <w:ind w:left="720" w:hanging="360"/>
      </w:pPr>
      <w:rPr>
        <w:rFonts w:hint="default"/>
        <w:b/>
      </w:rPr>
    </w:lvl>
    <w:lvl w:ilvl="1" w:tplc="094AAB4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D33FA"/>
    <w:multiLevelType w:val="hybridMultilevel"/>
    <w:tmpl w:val="247C20E6"/>
    <w:lvl w:ilvl="0" w:tplc="B810F1D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1268FE"/>
    <w:multiLevelType w:val="hybridMultilevel"/>
    <w:tmpl w:val="50FAD8EA"/>
    <w:lvl w:ilvl="0" w:tplc="1BBC783A">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1595E"/>
    <w:multiLevelType w:val="hybridMultilevel"/>
    <w:tmpl w:val="4C223C4E"/>
    <w:lvl w:ilvl="0" w:tplc="DB165A3E">
      <w:start w:val="1"/>
      <w:numFmt w:val="lowerRoman"/>
      <w:lvlText w:val="(%1)"/>
      <w:lvlJc w:val="left"/>
      <w:pPr>
        <w:ind w:left="2520" w:hanging="360"/>
      </w:pPr>
      <w:rPr>
        <w:rFonts w:ascii="Arial" w:eastAsia="Times New Roman" w:hAnsi="Arial" w:cs="Arial"/>
        <w:b/>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CDA540F"/>
    <w:multiLevelType w:val="hybridMultilevel"/>
    <w:tmpl w:val="7F24113C"/>
    <w:lvl w:ilvl="0" w:tplc="86ACF84C">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A70F0"/>
    <w:multiLevelType w:val="hybridMultilevel"/>
    <w:tmpl w:val="C97C12E2"/>
    <w:lvl w:ilvl="0" w:tplc="E1C26672">
      <w:start w:val="6"/>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5676D"/>
    <w:multiLevelType w:val="hybridMultilevel"/>
    <w:tmpl w:val="F8AECD9E"/>
    <w:lvl w:ilvl="0" w:tplc="5C02205C">
      <w:start w:val="1"/>
      <w:numFmt w:val="lowerRoman"/>
      <w:lvlText w:val="(%1)"/>
      <w:lvlJc w:val="left"/>
      <w:pPr>
        <w:ind w:left="720" w:hanging="360"/>
      </w:pPr>
      <w:rPr>
        <w:rFonts w:ascii="Arial" w:eastAsia="Times New Roman" w:hAnsi="Arial" w:cs="Arial" w:hint="default"/>
        <w:b/>
        <w:i w:val="0"/>
      </w:rPr>
    </w:lvl>
    <w:lvl w:ilvl="1" w:tplc="579C5D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916B2"/>
    <w:multiLevelType w:val="hybridMultilevel"/>
    <w:tmpl w:val="C9147C52"/>
    <w:lvl w:ilvl="0" w:tplc="B810F1DA">
      <w:start w:val="1"/>
      <w:numFmt w:val="decimal"/>
      <w:lvlText w:val="%1)"/>
      <w:lvlJc w:val="left"/>
      <w:pPr>
        <w:ind w:left="1800" w:hanging="360"/>
      </w:pPr>
      <w:rPr>
        <w:rFonts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0237728"/>
    <w:multiLevelType w:val="hybridMultilevel"/>
    <w:tmpl w:val="A594C8F0"/>
    <w:lvl w:ilvl="0" w:tplc="DB165A3E">
      <w:start w:val="1"/>
      <w:numFmt w:val="lowerRoman"/>
      <w:lvlText w:val="(%1)"/>
      <w:lvlJc w:val="left"/>
      <w:pPr>
        <w:ind w:left="720" w:hanging="360"/>
      </w:pPr>
      <w:rPr>
        <w:rFonts w:ascii="Arial" w:eastAsia="Times New Roman" w:hAnsi="Arial" w:cs="Arial"/>
        <w:b/>
        <w:i w:val="0"/>
      </w:rPr>
    </w:lvl>
    <w:lvl w:ilvl="1" w:tplc="579C5D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A5792"/>
    <w:multiLevelType w:val="hybridMultilevel"/>
    <w:tmpl w:val="6622B1FC"/>
    <w:lvl w:ilvl="0" w:tplc="5A06119A">
      <w:start w:val="6"/>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517B2"/>
    <w:multiLevelType w:val="hybridMultilevel"/>
    <w:tmpl w:val="57A4BBB2"/>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63109"/>
    <w:multiLevelType w:val="multilevel"/>
    <w:tmpl w:val="89F875DC"/>
    <w:lvl w:ilvl="0">
      <w:start w:val="1"/>
      <w:numFmt w:val="lowerLetter"/>
      <w:lvlText w:val="%1."/>
      <w:lvlJc w:val="left"/>
      <w:pPr>
        <w:tabs>
          <w:tab w:val="num" w:pos="360"/>
        </w:tabs>
        <w:ind w:left="360" w:hanging="360"/>
      </w:pPr>
      <w:rPr>
        <w:rFonts w:hint="default"/>
        <w:b/>
      </w:rPr>
    </w:lvl>
    <w:lvl w:ilvl="1">
      <w:start w:val="1"/>
      <w:numFmt w:val="lowerRoman"/>
      <w:lvlText w:val="(%2)"/>
      <w:lvlJc w:val="left"/>
      <w:pPr>
        <w:tabs>
          <w:tab w:val="num" w:pos="1080"/>
        </w:tabs>
        <w:ind w:left="1080" w:hanging="360"/>
      </w:pPr>
      <w:rPr>
        <w:rFonts w:hint="default"/>
        <w:b/>
      </w:rPr>
    </w:lvl>
    <w:lvl w:ilvl="2">
      <w:start w:val="1"/>
      <w:numFmt w:val="lowerLetter"/>
      <w:lvlText w:val="%3."/>
      <w:lvlJc w:val="left"/>
      <w:pPr>
        <w:tabs>
          <w:tab w:val="num" w:pos="1800"/>
        </w:tabs>
        <w:ind w:left="1800" w:hanging="360"/>
      </w:pPr>
      <w:rPr>
        <w:rFonts w:hint="default"/>
        <w:b/>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36" w15:restartNumberingAfterBreak="0">
    <w:nsid w:val="63A03406"/>
    <w:multiLevelType w:val="hybridMultilevel"/>
    <w:tmpl w:val="2B6658CA"/>
    <w:lvl w:ilvl="0" w:tplc="E7822CF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32B27"/>
    <w:multiLevelType w:val="hybridMultilevel"/>
    <w:tmpl w:val="B8A4DF76"/>
    <w:lvl w:ilvl="0" w:tplc="E7822CF2">
      <w:start w:val="1"/>
      <w:numFmt w:val="lowerLetter"/>
      <w:lvlText w:val="%1."/>
      <w:lvlJc w:val="left"/>
      <w:pPr>
        <w:ind w:left="720" w:hanging="360"/>
      </w:pPr>
      <w:rPr>
        <w:b/>
        <w:bCs/>
      </w:rPr>
    </w:lvl>
    <w:lvl w:ilvl="1" w:tplc="6A220F3E">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944890"/>
    <w:multiLevelType w:val="hybridMultilevel"/>
    <w:tmpl w:val="15105A30"/>
    <w:lvl w:ilvl="0" w:tplc="DB165A3E">
      <w:start w:val="1"/>
      <w:numFmt w:val="lowerRoman"/>
      <w:lvlText w:val="(%1)"/>
      <w:lvlJc w:val="left"/>
      <w:pPr>
        <w:ind w:left="1800" w:hanging="360"/>
      </w:pPr>
      <w:rPr>
        <w:rFonts w:ascii="Arial" w:eastAsia="Times New Roman" w:hAnsi="Arial" w:cs="Arial"/>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0C2178F"/>
    <w:multiLevelType w:val="hybridMultilevel"/>
    <w:tmpl w:val="50AE7B8E"/>
    <w:lvl w:ilvl="0" w:tplc="A87648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93EE9"/>
    <w:multiLevelType w:val="hybridMultilevel"/>
    <w:tmpl w:val="83F6D8A4"/>
    <w:lvl w:ilvl="0" w:tplc="DB165A3E">
      <w:start w:val="1"/>
      <w:numFmt w:val="lowerRoman"/>
      <w:lvlText w:val="(%1)"/>
      <w:lvlJc w:val="left"/>
      <w:pPr>
        <w:ind w:left="720" w:hanging="360"/>
      </w:pPr>
      <w:rPr>
        <w:rFonts w:ascii="Arial" w:eastAsia="Times New Roman"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54684"/>
    <w:multiLevelType w:val="hybridMultilevel"/>
    <w:tmpl w:val="E620E0E2"/>
    <w:lvl w:ilvl="0" w:tplc="E7822C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50D4F"/>
    <w:multiLevelType w:val="hybridMultilevel"/>
    <w:tmpl w:val="62920ABE"/>
    <w:lvl w:ilvl="0" w:tplc="E7822C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42F38"/>
    <w:multiLevelType w:val="hybridMultilevel"/>
    <w:tmpl w:val="71925126"/>
    <w:lvl w:ilvl="0" w:tplc="E7822CF2">
      <w:start w:val="1"/>
      <w:numFmt w:val="lowerLetter"/>
      <w:lvlText w:val="%1."/>
      <w:lvlJc w:val="left"/>
      <w:pPr>
        <w:ind w:left="-5040" w:hanging="360"/>
      </w:pPr>
      <w:rPr>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0" w:hanging="360"/>
      </w:pPr>
    </w:lvl>
    <w:lvl w:ilvl="8" w:tplc="0409001B" w:tentative="1">
      <w:start w:val="1"/>
      <w:numFmt w:val="lowerRoman"/>
      <w:lvlText w:val="%9."/>
      <w:lvlJc w:val="right"/>
      <w:pPr>
        <w:ind w:left="720" w:hanging="180"/>
      </w:pPr>
    </w:lvl>
  </w:abstractNum>
  <w:abstractNum w:abstractNumId="44" w15:restartNumberingAfterBreak="0">
    <w:nsid w:val="7F681615"/>
    <w:multiLevelType w:val="hybridMultilevel"/>
    <w:tmpl w:val="A8B0F4EA"/>
    <w:lvl w:ilvl="0" w:tplc="DB165A3E">
      <w:start w:val="1"/>
      <w:numFmt w:val="lowerRoman"/>
      <w:lvlText w:val="(%1)"/>
      <w:lvlJc w:val="left"/>
      <w:pPr>
        <w:ind w:left="2160" w:hanging="360"/>
      </w:pPr>
      <w:rPr>
        <w:rFonts w:ascii="Arial" w:eastAsia="Times New Roman" w:hAnsi="Arial" w:cs="Arial"/>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32"/>
  </w:num>
  <w:num w:numId="3">
    <w:abstractNumId w:val="43"/>
  </w:num>
  <w:num w:numId="4">
    <w:abstractNumId w:val="3"/>
  </w:num>
  <w:num w:numId="5">
    <w:abstractNumId w:val="41"/>
  </w:num>
  <w:num w:numId="6">
    <w:abstractNumId w:val="34"/>
  </w:num>
  <w:num w:numId="7">
    <w:abstractNumId w:val="37"/>
  </w:num>
  <w:num w:numId="8">
    <w:abstractNumId w:val="31"/>
  </w:num>
  <w:num w:numId="9">
    <w:abstractNumId w:val="23"/>
  </w:num>
  <w:num w:numId="10">
    <w:abstractNumId w:val="16"/>
  </w:num>
  <w:num w:numId="11">
    <w:abstractNumId w:val="18"/>
  </w:num>
  <w:num w:numId="12">
    <w:abstractNumId w:val="21"/>
  </w:num>
  <w:num w:numId="13">
    <w:abstractNumId w:val="14"/>
  </w:num>
  <w:num w:numId="14">
    <w:abstractNumId w:val="42"/>
  </w:num>
  <w:num w:numId="15">
    <w:abstractNumId w:val="24"/>
  </w:num>
  <w:num w:numId="16">
    <w:abstractNumId w:val="4"/>
  </w:num>
  <w:num w:numId="17">
    <w:abstractNumId w:val="9"/>
  </w:num>
  <w:num w:numId="18">
    <w:abstractNumId w:val="1"/>
  </w:num>
  <w:num w:numId="19">
    <w:abstractNumId w:val="2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9"/>
  </w:num>
  <w:num w:numId="23">
    <w:abstractNumId w:val="0"/>
  </w:num>
  <w:num w:numId="24">
    <w:abstractNumId w:val="38"/>
  </w:num>
  <w:num w:numId="25">
    <w:abstractNumId w:val="11"/>
  </w:num>
  <w:num w:numId="26">
    <w:abstractNumId w:val="44"/>
  </w:num>
  <w:num w:numId="27">
    <w:abstractNumId w:val="27"/>
  </w:num>
  <w:num w:numId="28">
    <w:abstractNumId w:val="33"/>
  </w:num>
  <w:num w:numId="29">
    <w:abstractNumId w:val="29"/>
  </w:num>
  <w:num w:numId="30">
    <w:abstractNumId w:val="7"/>
  </w:num>
  <w:num w:numId="31">
    <w:abstractNumId w:val="30"/>
  </w:num>
  <w:num w:numId="32">
    <w:abstractNumId w:val="6"/>
  </w:num>
  <w:num w:numId="33">
    <w:abstractNumId w:val="28"/>
  </w:num>
  <w:num w:numId="34">
    <w:abstractNumId w:val="19"/>
  </w:num>
  <w:num w:numId="35">
    <w:abstractNumId w:val="12"/>
  </w:num>
  <w:num w:numId="36">
    <w:abstractNumId w:val="35"/>
  </w:num>
  <w:num w:numId="37">
    <w:abstractNumId w:val="10"/>
  </w:num>
  <w:num w:numId="38">
    <w:abstractNumId w:val="17"/>
  </w:num>
  <w:num w:numId="39">
    <w:abstractNumId w:val="26"/>
  </w:num>
  <w:num w:numId="40">
    <w:abstractNumId w:val="15"/>
  </w:num>
  <w:num w:numId="41">
    <w:abstractNumId w:val="13"/>
  </w:num>
  <w:num w:numId="42">
    <w:abstractNumId w:val="40"/>
  </w:num>
  <w:num w:numId="43">
    <w:abstractNumId w:val="2"/>
  </w:num>
  <w:num w:numId="44">
    <w:abstractNumId w:val="36"/>
  </w:num>
  <w:num w:numId="45">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00"/>
  <w:displayHorizontalDrawingGridEvery w:val="2"/>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4C"/>
    <w:rsid w:val="00003450"/>
    <w:rsid w:val="00003C53"/>
    <w:rsid w:val="0000687C"/>
    <w:rsid w:val="00010D50"/>
    <w:rsid w:val="00011D7A"/>
    <w:rsid w:val="0001486E"/>
    <w:rsid w:val="00015FD3"/>
    <w:rsid w:val="00020083"/>
    <w:rsid w:val="000208F1"/>
    <w:rsid w:val="0002367D"/>
    <w:rsid w:val="00024EA2"/>
    <w:rsid w:val="000320FF"/>
    <w:rsid w:val="0003261F"/>
    <w:rsid w:val="00032D2B"/>
    <w:rsid w:val="000342B5"/>
    <w:rsid w:val="0003462B"/>
    <w:rsid w:val="000400BB"/>
    <w:rsid w:val="00042A6A"/>
    <w:rsid w:val="00045DA2"/>
    <w:rsid w:val="000516EE"/>
    <w:rsid w:val="00054605"/>
    <w:rsid w:val="0005575C"/>
    <w:rsid w:val="00055F26"/>
    <w:rsid w:val="00056FB0"/>
    <w:rsid w:val="00060F0C"/>
    <w:rsid w:val="000612B9"/>
    <w:rsid w:val="00062565"/>
    <w:rsid w:val="00064AF5"/>
    <w:rsid w:val="00067971"/>
    <w:rsid w:val="00067B9C"/>
    <w:rsid w:val="000711D6"/>
    <w:rsid w:val="00077326"/>
    <w:rsid w:val="0008149B"/>
    <w:rsid w:val="000868FF"/>
    <w:rsid w:val="0009097C"/>
    <w:rsid w:val="000915CB"/>
    <w:rsid w:val="00092838"/>
    <w:rsid w:val="00092960"/>
    <w:rsid w:val="000A0EE1"/>
    <w:rsid w:val="000A1F8E"/>
    <w:rsid w:val="000A2243"/>
    <w:rsid w:val="000A50CA"/>
    <w:rsid w:val="000A5EEE"/>
    <w:rsid w:val="000A7E25"/>
    <w:rsid w:val="000A7E73"/>
    <w:rsid w:val="000B12E3"/>
    <w:rsid w:val="000B5278"/>
    <w:rsid w:val="000B655A"/>
    <w:rsid w:val="000B6C95"/>
    <w:rsid w:val="000C22E3"/>
    <w:rsid w:val="000C4721"/>
    <w:rsid w:val="000C4F7B"/>
    <w:rsid w:val="000C6650"/>
    <w:rsid w:val="000C6F3C"/>
    <w:rsid w:val="000D5C9F"/>
    <w:rsid w:val="000E7B98"/>
    <w:rsid w:val="000F1630"/>
    <w:rsid w:val="000F19A1"/>
    <w:rsid w:val="001028F0"/>
    <w:rsid w:val="00102FFD"/>
    <w:rsid w:val="00103067"/>
    <w:rsid w:val="0010382B"/>
    <w:rsid w:val="00103C28"/>
    <w:rsid w:val="001052E5"/>
    <w:rsid w:val="001063EB"/>
    <w:rsid w:val="00110280"/>
    <w:rsid w:val="00111118"/>
    <w:rsid w:val="00112793"/>
    <w:rsid w:val="001131DC"/>
    <w:rsid w:val="00114C2E"/>
    <w:rsid w:val="00115B4B"/>
    <w:rsid w:val="001163A7"/>
    <w:rsid w:val="00122C69"/>
    <w:rsid w:val="00123130"/>
    <w:rsid w:val="00125243"/>
    <w:rsid w:val="00131D97"/>
    <w:rsid w:val="00132C2E"/>
    <w:rsid w:val="0014120E"/>
    <w:rsid w:val="00142203"/>
    <w:rsid w:val="00144012"/>
    <w:rsid w:val="00146F78"/>
    <w:rsid w:val="00146FFF"/>
    <w:rsid w:val="0014710F"/>
    <w:rsid w:val="00147C6D"/>
    <w:rsid w:val="00155FF6"/>
    <w:rsid w:val="0016019B"/>
    <w:rsid w:val="001603D4"/>
    <w:rsid w:val="001655DF"/>
    <w:rsid w:val="00167515"/>
    <w:rsid w:val="00167B96"/>
    <w:rsid w:val="00172F35"/>
    <w:rsid w:val="001735FF"/>
    <w:rsid w:val="00174137"/>
    <w:rsid w:val="00174892"/>
    <w:rsid w:val="00182029"/>
    <w:rsid w:val="00183BAF"/>
    <w:rsid w:val="00184350"/>
    <w:rsid w:val="001856F6"/>
    <w:rsid w:val="00192F2C"/>
    <w:rsid w:val="00193F79"/>
    <w:rsid w:val="00196D1B"/>
    <w:rsid w:val="001A0CC9"/>
    <w:rsid w:val="001A11F1"/>
    <w:rsid w:val="001A24A8"/>
    <w:rsid w:val="001A3B50"/>
    <w:rsid w:val="001B1927"/>
    <w:rsid w:val="001B2B7C"/>
    <w:rsid w:val="001B3C4C"/>
    <w:rsid w:val="001B4AFB"/>
    <w:rsid w:val="001B56E5"/>
    <w:rsid w:val="001B7C7E"/>
    <w:rsid w:val="001C04BE"/>
    <w:rsid w:val="001C1B18"/>
    <w:rsid w:val="001C2355"/>
    <w:rsid w:val="001C29A2"/>
    <w:rsid w:val="001C735C"/>
    <w:rsid w:val="001C7B63"/>
    <w:rsid w:val="001D0DB6"/>
    <w:rsid w:val="001D1D5E"/>
    <w:rsid w:val="001D1F15"/>
    <w:rsid w:val="001E008D"/>
    <w:rsid w:val="001E0093"/>
    <w:rsid w:val="001E1582"/>
    <w:rsid w:val="001E17DA"/>
    <w:rsid w:val="001E55EF"/>
    <w:rsid w:val="001F00DE"/>
    <w:rsid w:val="001F0B42"/>
    <w:rsid w:val="001F0DC6"/>
    <w:rsid w:val="001F2B87"/>
    <w:rsid w:val="001F5DDB"/>
    <w:rsid w:val="001F6A3E"/>
    <w:rsid w:val="001F6E9C"/>
    <w:rsid w:val="002010A8"/>
    <w:rsid w:val="0020118F"/>
    <w:rsid w:val="00203489"/>
    <w:rsid w:val="00203ACD"/>
    <w:rsid w:val="0020479B"/>
    <w:rsid w:val="00205518"/>
    <w:rsid w:val="0020754C"/>
    <w:rsid w:val="00207EB4"/>
    <w:rsid w:val="002104DF"/>
    <w:rsid w:val="00212792"/>
    <w:rsid w:val="002129DE"/>
    <w:rsid w:val="00214425"/>
    <w:rsid w:val="00215050"/>
    <w:rsid w:val="002156DF"/>
    <w:rsid w:val="00216490"/>
    <w:rsid w:val="00221457"/>
    <w:rsid w:val="00224234"/>
    <w:rsid w:val="00225DF0"/>
    <w:rsid w:val="00226C15"/>
    <w:rsid w:val="00230063"/>
    <w:rsid w:val="00230AD3"/>
    <w:rsid w:val="002317E6"/>
    <w:rsid w:val="002346FA"/>
    <w:rsid w:val="00234A46"/>
    <w:rsid w:val="00235E89"/>
    <w:rsid w:val="00241486"/>
    <w:rsid w:val="00241DC8"/>
    <w:rsid w:val="00242304"/>
    <w:rsid w:val="002439B0"/>
    <w:rsid w:val="00243CE7"/>
    <w:rsid w:val="00246CDC"/>
    <w:rsid w:val="00247A24"/>
    <w:rsid w:val="00247E3C"/>
    <w:rsid w:val="002507A7"/>
    <w:rsid w:val="00250C87"/>
    <w:rsid w:val="0025350A"/>
    <w:rsid w:val="002540F6"/>
    <w:rsid w:val="002545AD"/>
    <w:rsid w:val="002562BF"/>
    <w:rsid w:val="002571CC"/>
    <w:rsid w:val="0025730F"/>
    <w:rsid w:val="00262DB0"/>
    <w:rsid w:val="00265145"/>
    <w:rsid w:val="00272404"/>
    <w:rsid w:val="002726EA"/>
    <w:rsid w:val="00273970"/>
    <w:rsid w:val="00274A71"/>
    <w:rsid w:val="00276299"/>
    <w:rsid w:val="00276C31"/>
    <w:rsid w:val="002773E6"/>
    <w:rsid w:val="00277B36"/>
    <w:rsid w:val="00277EF3"/>
    <w:rsid w:val="00283E05"/>
    <w:rsid w:val="0028593A"/>
    <w:rsid w:val="00286517"/>
    <w:rsid w:val="00286777"/>
    <w:rsid w:val="00290A76"/>
    <w:rsid w:val="00291F02"/>
    <w:rsid w:val="0029242C"/>
    <w:rsid w:val="002954D9"/>
    <w:rsid w:val="0029730B"/>
    <w:rsid w:val="002A1A5C"/>
    <w:rsid w:val="002A3DF5"/>
    <w:rsid w:val="002A3E85"/>
    <w:rsid w:val="002A3ECD"/>
    <w:rsid w:val="002A4D5A"/>
    <w:rsid w:val="002A6FEB"/>
    <w:rsid w:val="002A7CDC"/>
    <w:rsid w:val="002B1859"/>
    <w:rsid w:val="002B18F5"/>
    <w:rsid w:val="002B4424"/>
    <w:rsid w:val="002B4949"/>
    <w:rsid w:val="002B5CBE"/>
    <w:rsid w:val="002C0E8F"/>
    <w:rsid w:val="002C18CD"/>
    <w:rsid w:val="002C1B40"/>
    <w:rsid w:val="002C2D87"/>
    <w:rsid w:val="002C434F"/>
    <w:rsid w:val="002C6DF8"/>
    <w:rsid w:val="002D6D34"/>
    <w:rsid w:val="002D72B3"/>
    <w:rsid w:val="002E1704"/>
    <w:rsid w:val="002F082D"/>
    <w:rsid w:val="002F20FD"/>
    <w:rsid w:val="0030412D"/>
    <w:rsid w:val="003061A9"/>
    <w:rsid w:val="003079B9"/>
    <w:rsid w:val="00311BE3"/>
    <w:rsid w:val="00314515"/>
    <w:rsid w:val="00322836"/>
    <w:rsid w:val="00324F76"/>
    <w:rsid w:val="00326933"/>
    <w:rsid w:val="00332941"/>
    <w:rsid w:val="00341CC6"/>
    <w:rsid w:val="00343A67"/>
    <w:rsid w:val="00343FEF"/>
    <w:rsid w:val="00344327"/>
    <w:rsid w:val="0034574B"/>
    <w:rsid w:val="00346140"/>
    <w:rsid w:val="00346632"/>
    <w:rsid w:val="0034719F"/>
    <w:rsid w:val="00347F33"/>
    <w:rsid w:val="003520B5"/>
    <w:rsid w:val="00353F2C"/>
    <w:rsid w:val="00356E32"/>
    <w:rsid w:val="0036193A"/>
    <w:rsid w:val="0036265F"/>
    <w:rsid w:val="003641BB"/>
    <w:rsid w:val="00364633"/>
    <w:rsid w:val="00364815"/>
    <w:rsid w:val="00364C5F"/>
    <w:rsid w:val="00370DB2"/>
    <w:rsid w:val="003712DB"/>
    <w:rsid w:val="00374FB7"/>
    <w:rsid w:val="0038489B"/>
    <w:rsid w:val="003853C7"/>
    <w:rsid w:val="003936E0"/>
    <w:rsid w:val="00395BA0"/>
    <w:rsid w:val="003A0061"/>
    <w:rsid w:val="003A1BC4"/>
    <w:rsid w:val="003A2D17"/>
    <w:rsid w:val="003A5A1D"/>
    <w:rsid w:val="003A5F23"/>
    <w:rsid w:val="003B0C55"/>
    <w:rsid w:val="003B2F51"/>
    <w:rsid w:val="003B349F"/>
    <w:rsid w:val="003B72E9"/>
    <w:rsid w:val="003C0165"/>
    <w:rsid w:val="003C6552"/>
    <w:rsid w:val="003C6A2F"/>
    <w:rsid w:val="003D092C"/>
    <w:rsid w:val="003D1759"/>
    <w:rsid w:val="003D3DDF"/>
    <w:rsid w:val="003D47B1"/>
    <w:rsid w:val="003D7BAB"/>
    <w:rsid w:val="003E0218"/>
    <w:rsid w:val="003E15A5"/>
    <w:rsid w:val="003E2456"/>
    <w:rsid w:val="003E2F60"/>
    <w:rsid w:val="003E5A5D"/>
    <w:rsid w:val="003E61E7"/>
    <w:rsid w:val="003E6D50"/>
    <w:rsid w:val="003F0099"/>
    <w:rsid w:val="003F1840"/>
    <w:rsid w:val="003F4304"/>
    <w:rsid w:val="003F70E5"/>
    <w:rsid w:val="00400561"/>
    <w:rsid w:val="00400720"/>
    <w:rsid w:val="0040297A"/>
    <w:rsid w:val="00404D1D"/>
    <w:rsid w:val="0040540E"/>
    <w:rsid w:val="00405CB6"/>
    <w:rsid w:val="00405F0A"/>
    <w:rsid w:val="004064C6"/>
    <w:rsid w:val="0041056C"/>
    <w:rsid w:val="00411808"/>
    <w:rsid w:val="00413BD9"/>
    <w:rsid w:val="00415FAF"/>
    <w:rsid w:val="00420B95"/>
    <w:rsid w:val="00420D48"/>
    <w:rsid w:val="00421F06"/>
    <w:rsid w:val="004225EE"/>
    <w:rsid w:val="0042379C"/>
    <w:rsid w:val="00424CF4"/>
    <w:rsid w:val="0042643C"/>
    <w:rsid w:val="00427097"/>
    <w:rsid w:val="00430FA6"/>
    <w:rsid w:val="00432A14"/>
    <w:rsid w:val="00433C92"/>
    <w:rsid w:val="004358E9"/>
    <w:rsid w:val="0043682E"/>
    <w:rsid w:val="00442C53"/>
    <w:rsid w:val="00446A8A"/>
    <w:rsid w:val="00446E10"/>
    <w:rsid w:val="00452755"/>
    <w:rsid w:val="00455E9E"/>
    <w:rsid w:val="00457F69"/>
    <w:rsid w:val="00460AA4"/>
    <w:rsid w:val="00462024"/>
    <w:rsid w:val="00463809"/>
    <w:rsid w:val="0046727C"/>
    <w:rsid w:val="004674BE"/>
    <w:rsid w:val="004725F1"/>
    <w:rsid w:val="00472C14"/>
    <w:rsid w:val="0047506A"/>
    <w:rsid w:val="0047766F"/>
    <w:rsid w:val="00477926"/>
    <w:rsid w:val="004807D2"/>
    <w:rsid w:val="004808D1"/>
    <w:rsid w:val="0048090B"/>
    <w:rsid w:val="0048169E"/>
    <w:rsid w:val="00482494"/>
    <w:rsid w:val="00482CE7"/>
    <w:rsid w:val="004904D4"/>
    <w:rsid w:val="00492D74"/>
    <w:rsid w:val="00494540"/>
    <w:rsid w:val="004955B5"/>
    <w:rsid w:val="00496529"/>
    <w:rsid w:val="004A41FE"/>
    <w:rsid w:val="004B0B70"/>
    <w:rsid w:val="004B5C13"/>
    <w:rsid w:val="004B5DD8"/>
    <w:rsid w:val="004B63F8"/>
    <w:rsid w:val="004B731F"/>
    <w:rsid w:val="004B76DE"/>
    <w:rsid w:val="004C15B7"/>
    <w:rsid w:val="004C3D93"/>
    <w:rsid w:val="004C706D"/>
    <w:rsid w:val="004D082A"/>
    <w:rsid w:val="004D491E"/>
    <w:rsid w:val="004D537E"/>
    <w:rsid w:val="004D795C"/>
    <w:rsid w:val="004E04B2"/>
    <w:rsid w:val="004E0BA1"/>
    <w:rsid w:val="004E1E87"/>
    <w:rsid w:val="004E3004"/>
    <w:rsid w:val="004E586D"/>
    <w:rsid w:val="004E6E4B"/>
    <w:rsid w:val="004E7310"/>
    <w:rsid w:val="004E7B13"/>
    <w:rsid w:val="004F0B7D"/>
    <w:rsid w:val="004F5CFC"/>
    <w:rsid w:val="00502DEC"/>
    <w:rsid w:val="0050477F"/>
    <w:rsid w:val="005047BB"/>
    <w:rsid w:val="005110A0"/>
    <w:rsid w:val="005131C9"/>
    <w:rsid w:val="00513309"/>
    <w:rsid w:val="0051417F"/>
    <w:rsid w:val="005161E7"/>
    <w:rsid w:val="00516B8B"/>
    <w:rsid w:val="00517577"/>
    <w:rsid w:val="0052040D"/>
    <w:rsid w:val="00520836"/>
    <w:rsid w:val="005239F7"/>
    <w:rsid w:val="0052470D"/>
    <w:rsid w:val="005261ED"/>
    <w:rsid w:val="00527165"/>
    <w:rsid w:val="00527B6E"/>
    <w:rsid w:val="0053028B"/>
    <w:rsid w:val="005337FD"/>
    <w:rsid w:val="0053394E"/>
    <w:rsid w:val="00537B49"/>
    <w:rsid w:val="0054487C"/>
    <w:rsid w:val="005476CA"/>
    <w:rsid w:val="0054770F"/>
    <w:rsid w:val="005507F5"/>
    <w:rsid w:val="00552AA4"/>
    <w:rsid w:val="0055520C"/>
    <w:rsid w:val="00557808"/>
    <w:rsid w:val="00561C56"/>
    <w:rsid w:val="00561DD7"/>
    <w:rsid w:val="005620FE"/>
    <w:rsid w:val="0056659A"/>
    <w:rsid w:val="00566BE1"/>
    <w:rsid w:val="00566D65"/>
    <w:rsid w:val="00575AA4"/>
    <w:rsid w:val="0058163E"/>
    <w:rsid w:val="005822F1"/>
    <w:rsid w:val="00585E2C"/>
    <w:rsid w:val="005900E9"/>
    <w:rsid w:val="0059342A"/>
    <w:rsid w:val="005966DB"/>
    <w:rsid w:val="005975CE"/>
    <w:rsid w:val="005A017F"/>
    <w:rsid w:val="005A1DC5"/>
    <w:rsid w:val="005A37E5"/>
    <w:rsid w:val="005A4F9A"/>
    <w:rsid w:val="005A5F20"/>
    <w:rsid w:val="005B16F9"/>
    <w:rsid w:val="005B209C"/>
    <w:rsid w:val="005B324F"/>
    <w:rsid w:val="005B5C73"/>
    <w:rsid w:val="005C07AD"/>
    <w:rsid w:val="005C0F82"/>
    <w:rsid w:val="005C2950"/>
    <w:rsid w:val="005C3604"/>
    <w:rsid w:val="005C596F"/>
    <w:rsid w:val="005C5F14"/>
    <w:rsid w:val="005C6EEF"/>
    <w:rsid w:val="005D019D"/>
    <w:rsid w:val="005D0AB5"/>
    <w:rsid w:val="005D266F"/>
    <w:rsid w:val="005D3CDB"/>
    <w:rsid w:val="005D3E3C"/>
    <w:rsid w:val="005D4D58"/>
    <w:rsid w:val="005D4E04"/>
    <w:rsid w:val="005D551B"/>
    <w:rsid w:val="005D584C"/>
    <w:rsid w:val="005D5E85"/>
    <w:rsid w:val="005D6885"/>
    <w:rsid w:val="005D79C1"/>
    <w:rsid w:val="005E1653"/>
    <w:rsid w:val="005E24AC"/>
    <w:rsid w:val="005E311E"/>
    <w:rsid w:val="005E6C2E"/>
    <w:rsid w:val="005E7100"/>
    <w:rsid w:val="005E7183"/>
    <w:rsid w:val="005E772A"/>
    <w:rsid w:val="005F0294"/>
    <w:rsid w:val="005F5884"/>
    <w:rsid w:val="005F6289"/>
    <w:rsid w:val="005F65F5"/>
    <w:rsid w:val="005F7BBC"/>
    <w:rsid w:val="00600A64"/>
    <w:rsid w:val="00601969"/>
    <w:rsid w:val="00605338"/>
    <w:rsid w:val="0061311E"/>
    <w:rsid w:val="00613DBE"/>
    <w:rsid w:val="00615F8B"/>
    <w:rsid w:val="00616B77"/>
    <w:rsid w:val="006170FF"/>
    <w:rsid w:val="00617BB7"/>
    <w:rsid w:val="006210B4"/>
    <w:rsid w:val="00623CEB"/>
    <w:rsid w:val="00624D7A"/>
    <w:rsid w:val="00625A74"/>
    <w:rsid w:val="00633D94"/>
    <w:rsid w:val="00634D5D"/>
    <w:rsid w:val="00636EC0"/>
    <w:rsid w:val="00636ED6"/>
    <w:rsid w:val="00637820"/>
    <w:rsid w:val="00643756"/>
    <w:rsid w:val="00644156"/>
    <w:rsid w:val="00644383"/>
    <w:rsid w:val="006443E9"/>
    <w:rsid w:val="0064476E"/>
    <w:rsid w:val="00646954"/>
    <w:rsid w:val="006504C3"/>
    <w:rsid w:val="0065127A"/>
    <w:rsid w:val="0065203D"/>
    <w:rsid w:val="0065355D"/>
    <w:rsid w:val="0065614C"/>
    <w:rsid w:val="006572E3"/>
    <w:rsid w:val="00661A89"/>
    <w:rsid w:val="006634C1"/>
    <w:rsid w:val="00670E97"/>
    <w:rsid w:val="00671D30"/>
    <w:rsid w:val="00675173"/>
    <w:rsid w:val="00675355"/>
    <w:rsid w:val="00677BCF"/>
    <w:rsid w:val="00677F89"/>
    <w:rsid w:val="00681B5B"/>
    <w:rsid w:val="006835B3"/>
    <w:rsid w:val="006839B5"/>
    <w:rsid w:val="00685941"/>
    <w:rsid w:val="006903E4"/>
    <w:rsid w:val="00690AF1"/>
    <w:rsid w:val="006917A6"/>
    <w:rsid w:val="00691F00"/>
    <w:rsid w:val="00693E86"/>
    <w:rsid w:val="00696614"/>
    <w:rsid w:val="006974DE"/>
    <w:rsid w:val="00697906"/>
    <w:rsid w:val="00697AC9"/>
    <w:rsid w:val="00697B05"/>
    <w:rsid w:val="006A005A"/>
    <w:rsid w:val="006A0599"/>
    <w:rsid w:val="006A0AF1"/>
    <w:rsid w:val="006A2C66"/>
    <w:rsid w:val="006A54D5"/>
    <w:rsid w:val="006A6676"/>
    <w:rsid w:val="006A7295"/>
    <w:rsid w:val="006B03BB"/>
    <w:rsid w:val="006B1672"/>
    <w:rsid w:val="006B1B4A"/>
    <w:rsid w:val="006B3CD1"/>
    <w:rsid w:val="006B6221"/>
    <w:rsid w:val="006B6FDB"/>
    <w:rsid w:val="006C0123"/>
    <w:rsid w:val="006C1374"/>
    <w:rsid w:val="006C249C"/>
    <w:rsid w:val="006C29F5"/>
    <w:rsid w:val="006C413F"/>
    <w:rsid w:val="006C569B"/>
    <w:rsid w:val="006C59C3"/>
    <w:rsid w:val="006C7B5B"/>
    <w:rsid w:val="006D1CCB"/>
    <w:rsid w:val="006D2D13"/>
    <w:rsid w:val="006D4FEE"/>
    <w:rsid w:val="006D746E"/>
    <w:rsid w:val="006E07B7"/>
    <w:rsid w:val="006E0C03"/>
    <w:rsid w:val="006F0090"/>
    <w:rsid w:val="006F3083"/>
    <w:rsid w:val="006F74E4"/>
    <w:rsid w:val="007006E8"/>
    <w:rsid w:val="00700E7C"/>
    <w:rsid w:val="00702578"/>
    <w:rsid w:val="00702BCE"/>
    <w:rsid w:val="00705A6F"/>
    <w:rsid w:val="0071171E"/>
    <w:rsid w:val="007125E9"/>
    <w:rsid w:val="00716109"/>
    <w:rsid w:val="00721797"/>
    <w:rsid w:val="007241E9"/>
    <w:rsid w:val="007251F7"/>
    <w:rsid w:val="00731298"/>
    <w:rsid w:val="00732093"/>
    <w:rsid w:val="007322C9"/>
    <w:rsid w:val="007323FF"/>
    <w:rsid w:val="00733862"/>
    <w:rsid w:val="00735B46"/>
    <w:rsid w:val="00736F50"/>
    <w:rsid w:val="00740C32"/>
    <w:rsid w:val="00740F3F"/>
    <w:rsid w:val="007442B7"/>
    <w:rsid w:val="00750ADD"/>
    <w:rsid w:val="00753CD4"/>
    <w:rsid w:val="00754180"/>
    <w:rsid w:val="00755A7A"/>
    <w:rsid w:val="00755E6C"/>
    <w:rsid w:val="00760F7E"/>
    <w:rsid w:val="00760F85"/>
    <w:rsid w:val="0076215E"/>
    <w:rsid w:val="007669E5"/>
    <w:rsid w:val="007729DE"/>
    <w:rsid w:val="00772CD2"/>
    <w:rsid w:val="00773910"/>
    <w:rsid w:val="00773930"/>
    <w:rsid w:val="00777F03"/>
    <w:rsid w:val="00781FA8"/>
    <w:rsid w:val="00783166"/>
    <w:rsid w:val="007851E7"/>
    <w:rsid w:val="00785719"/>
    <w:rsid w:val="00795C61"/>
    <w:rsid w:val="007A0D5D"/>
    <w:rsid w:val="007A1C61"/>
    <w:rsid w:val="007A365D"/>
    <w:rsid w:val="007A599B"/>
    <w:rsid w:val="007B48A3"/>
    <w:rsid w:val="007C06D4"/>
    <w:rsid w:val="007C3092"/>
    <w:rsid w:val="007C34EB"/>
    <w:rsid w:val="007C36D9"/>
    <w:rsid w:val="007C3D06"/>
    <w:rsid w:val="007D5B78"/>
    <w:rsid w:val="007D5FB6"/>
    <w:rsid w:val="007E5293"/>
    <w:rsid w:val="007E5A4F"/>
    <w:rsid w:val="007E6A37"/>
    <w:rsid w:val="007E76C0"/>
    <w:rsid w:val="007F1330"/>
    <w:rsid w:val="007F7CA6"/>
    <w:rsid w:val="00800DD3"/>
    <w:rsid w:val="00801AB6"/>
    <w:rsid w:val="00801F34"/>
    <w:rsid w:val="00804796"/>
    <w:rsid w:val="00804D7A"/>
    <w:rsid w:val="0080543C"/>
    <w:rsid w:val="00807816"/>
    <w:rsid w:val="00813E2D"/>
    <w:rsid w:val="00815EF1"/>
    <w:rsid w:val="008174D3"/>
    <w:rsid w:val="00817A49"/>
    <w:rsid w:val="008261FA"/>
    <w:rsid w:val="00827AE3"/>
    <w:rsid w:val="00831462"/>
    <w:rsid w:val="008315FE"/>
    <w:rsid w:val="00834224"/>
    <w:rsid w:val="0083645F"/>
    <w:rsid w:val="00840052"/>
    <w:rsid w:val="00840469"/>
    <w:rsid w:val="00841448"/>
    <w:rsid w:val="00844343"/>
    <w:rsid w:val="00845B7A"/>
    <w:rsid w:val="00852EB1"/>
    <w:rsid w:val="008546DB"/>
    <w:rsid w:val="0085632A"/>
    <w:rsid w:val="008649F8"/>
    <w:rsid w:val="00865CE7"/>
    <w:rsid w:val="00875CD0"/>
    <w:rsid w:val="00876391"/>
    <w:rsid w:val="00876D3D"/>
    <w:rsid w:val="00876F57"/>
    <w:rsid w:val="00877DC1"/>
    <w:rsid w:val="00880A4F"/>
    <w:rsid w:val="00880CBF"/>
    <w:rsid w:val="00885820"/>
    <w:rsid w:val="008879E1"/>
    <w:rsid w:val="008915D7"/>
    <w:rsid w:val="008A0360"/>
    <w:rsid w:val="008B1BBB"/>
    <w:rsid w:val="008B2FA3"/>
    <w:rsid w:val="008C17D4"/>
    <w:rsid w:val="008C2F55"/>
    <w:rsid w:val="008C369D"/>
    <w:rsid w:val="008C4A5B"/>
    <w:rsid w:val="008C5725"/>
    <w:rsid w:val="008C67D9"/>
    <w:rsid w:val="008D0995"/>
    <w:rsid w:val="008D1EA6"/>
    <w:rsid w:val="008E032F"/>
    <w:rsid w:val="008E3029"/>
    <w:rsid w:val="008E4245"/>
    <w:rsid w:val="008E5F1E"/>
    <w:rsid w:val="008F124F"/>
    <w:rsid w:val="008F309B"/>
    <w:rsid w:val="008F6202"/>
    <w:rsid w:val="008F6947"/>
    <w:rsid w:val="008F6A6A"/>
    <w:rsid w:val="008F6D8E"/>
    <w:rsid w:val="008F71CA"/>
    <w:rsid w:val="00902F36"/>
    <w:rsid w:val="00903727"/>
    <w:rsid w:val="00903C7A"/>
    <w:rsid w:val="00903EDB"/>
    <w:rsid w:val="00904108"/>
    <w:rsid w:val="009110D5"/>
    <w:rsid w:val="00913265"/>
    <w:rsid w:val="00913A0A"/>
    <w:rsid w:val="00914FC3"/>
    <w:rsid w:val="00916A73"/>
    <w:rsid w:val="00921332"/>
    <w:rsid w:val="009306DA"/>
    <w:rsid w:val="00932DC2"/>
    <w:rsid w:val="00932F3E"/>
    <w:rsid w:val="00933E4B"/>
    <w:rsid w:val="00934A92"/>
    <w:rsid w:val="0093511B"/>
    <w:rsid w:val="0093527C"/>
    <w:rsid w:val="009353D6"/>
    <w:rsid w:val="00936114"/>
    <w:rsid w:val="00937782"/>
    <w:rsid w:val="00937ED2"/>
    <w:rsid w:val="00941FE0"/>
    <w:rsid w:val="009429B7"/>
    <w:rsid w:val="00945C40"/>
    <w:rsid w:val="009464DD"/>
    <w:rsid w:val="0094667B"/>
    <w:rsid w:val="00947828"/>
    <w:rsid w:val="009503D6"/>
    <w:rsid w:val="0095164D"/>
    <w:rsid w:val="00952CD3"/>
    <w:rsid w:val="00952DD3"/>
    <w:rsid w:val="00954198"/>
    <w:rsid w:val="00955B9D"/>
    <w:rsid w:val="00956BB9"/>
    <w:rsid w:val="009577D6"/>
    <w:rsid w:val="00974D19"/>
    <w:rsid w:val="0098128A"/>
    <w:rsid w:val="009847AA"/>
    <w:rsid w:val="0098507A"/>
    <w:rsid w:val="009869ED"/>
    <w:rsid w:val="009900B2"/>
    <w:rsid w:val="009918CF"/>
    <w:rsid w:val="009925B9"/>
    <w:rsid w:val="009937EE"/>
    <w:rsid w:val="00994632"/>
    <w:rsid w:val="009961E7"/>
    <w:rsid w:val="00996D6D"/>
    <w:rsid w:val="009A2678"/>
    <w:rsid w:val="009A3A27"/>
    <w:rsid w:val="009A3DC3"/>
    <w:rsid w:val="009A3FE0"/>
    <w:rsid w:val="009B4947"/>
    <w:rsid w:val="009C1AB8"/>
    <w:rsid w:val="009C272E"/>
    <w:rsid w:val="009C2897"/>
    <w:rsid w:val="009C2F8A"/>
    <w:rsid w:val="009C301A"/>
    <w:rsid w:val="009C3833"/>
    <w:rsid w:val="009C4E5B"/>
    <w:rsid w:val="009C5D2E"/>
    <w:rsid w:val="009D0200"/>
    <w:rsid w:val="009D175B"/>
    <w:rsid w:val="009D7603"/>
    <w:rsid w:val="009E69A5"/>
    <w:rsid w:val="009E6AAD"/>
    <w:rsid w:val="009F2D49"/>
    <w:rsid w:val="009F30C7"/>
    <w:rsid w:val="009F6C6D"/>
    <w:rsid w:val="00A00C03"/>
    <w:rsid w:val="00A012EF"/>
    <w:rsid w:val="00A04489"/>
    <w:rsid w:val="00A04C57"/>
    <w:rsid w:val="00A051AA"/>
    <w:rsid w:val="00A14560"/>
    <w:rsid w:val="00A148F5"/>
    <w:rsid w:val="00A21837"/>
    <w:rsid w:val="00A226AB"/>
    <w:rsid w:val="00A25219"/>
    <w:rsid w:val="00A2550D"/>
    <w:rsid w:val="00A261C6"/>
    <w:rsid w:val="00A30731"/>
    <w:rsid w:val="00A31660"/>
    <w:rsid w:val="00A323BE"/>
    <w:rsid w:val="00A453A4"/>
    <w:rsid w:val="00A456A9"/>
    <w:rsid w:val="00A45EF0"/>
    <w:rsid w:val="00A46A63"/>
    <w:rsid w:val="00A47CDB"/>
    <w:rsid w:val="00A50540"/>
    <w:rsid w:val="00A5099E"/>
    <w:rsid w:val="00A53B7E"/>
    <w:rsid w:val="00A55301"/>
    <w:rsid w:val="00A641FC"/>
    <w:rsid w:val="00A64783"/>
    <w:rsid w:val="00A6674E"/>
    <w:rsid w:val="00A7060C"/>
    <w:rsid w:val="00A7231D"/>
    <w:rsid w:val="00A75AB3"/>
    <w:rsid w:val="00A83162"/>
    <w:rsid w:val="00A90488"/>
    <w:rsid w:val="00A9162A"/>
    <w:rsid w:val="00A945F5"/>
    <w:rsid w:val="00A94E52"/>
    <w:rsid w:val="00AA5FB6"/>
    <w:rsid w:val="00AA620C"/>
    <w:rsid w:val="00AA73C4"/>
    <w:rsid w:val="00AB0DAB"/>
    <w:rsid w:val="00AB1C74"/>
    <w:rsid w:val="00AB2656"/>
    <w:rsid w:val="00AB2AAD"/>
    <w:rsid w:val="00AB7477"/>
    <w:rsid w:val="00AB7CA0"/>
    <w:rsid w:val="00AC1894"/>
    <w:rsid w:val="00AC1DDD"/>
    <w:rsid w:val="00AC382C"/>
    <w:rsid w:val="00AD05E5"/>
    <w:rsid w:val="00AD2A41"/>
    <w:rsid w:val="00AD3257"/>
    <w:rsid w:val="00AD3833"/>
    <w:rsid w:val="00AD3C1E"/>
    <w:rsid w:val="00AD465A"/>
    <w:rsid w:val="00AD6B77"/>
    <w:rsid w:val="00AD6CDC"/>
    <w:rsid w:val="00AE332A"/>
    <w:rsid w:val="00AE5E05"/>
    <w:rsid w:val="00AE6366"/>
    <w:rsid w:val="00AE6939"/>
    <w:rsid w:val="00AE6A9E"/>
    <w:rsid w:val="00AF3CBB"/>
    <w:rsid w:val="00AF3EF4"/>
    <w:rsid w:val="00AF5579"/>
    <w:rsid w:val="00B00479"/>
    <w:rsid w:val="00B004F2"/>
    <w:rsid w:val="00B01AC1"/>
    <w:rsid w:val="00B03843"/>
    <w:rsid w:val="00B06B72"/>
    <w:rsid w:val="00B07255"/>
    <w:rsid w:val="00B15749"/>
    <w:rsid w:val="00B2034C"/>
    <w:rsid w:val="00B22B32"/>
    <w:rsid w:val="00B32A1A"/>
    <w:rsid w:val="00B33B52"/>
    <w:rsid w:val="00B35167"/>
    <w:rsid w:val="00B35AF8"/>
    <w:rsid w:val="00B36531"/>
    <w:rsid w:val="00B42515"/>
    <w:rsid w:val="00B42F5C"/>
    <w:rsid w:val="00B43F5C"/>
    <w:rsid w:val="00B45B94"/>
    <w:rsid w:val="00B4729D"/>
    <w:rsid w:val="00B54749"/>
    <w:rsid w:val="00B55A1A"/>
    <w:rsid w:val="00B56BD6"/>
    <w:rsid w:val="00B56DD3"/>
    <w:rsid w:val="00B5705D"/>
    <w:rsid w:val="00B61F19"/>
    <w:rsid w:val="00B643B0"/>
    <w:rsid w:val="00B65AED"/>
    <w:rsid w:val="00B665D9"/>
    <w:rsid w:val="00B66C09"/>
    <w:rsid w:val="00B705BC"/>
    <w:rsid w:val="00B711A9"/>
    <w:rsid w:val="00B712A3"/>
    <w:rsid w:val="00B73869"/>
    <w:rsid w:val="00B73980"/>
    <w:rsid w:val="00B7546D"/>
    <w:rsid w:val="00B77014"/>
    <w:rsid w:val="00B77677"/>
    <w:rsid w:val="00B80494"/>
    <w:rsid w:val="00B81CE1"/>
    <w:rsid w:val="00B825DA"/>
    <w:rsid w:val="00B90E19"/>
    <w:rsid w:val="00B91A02"/>
    <w:rsid w:val="00BA4306"/>
    <w:rsid w:val="00BA4CBF"/>
    <w:rsid w:val="00BA5611"/>
    <w:rsid w:val="00BA5E79"/>
    <w:rsid w:val="00BB20DE"/>
    <w:rsid w:val="00BB2E8F"/>
    <w:rsid w:val="00BB3F1D"/>
    <w:rsid w:val="00BB74E3"/>
    <w:rsid w:val="00BC15DD"/>
    <w:rsid w:val="00BC4233"/>
    <w:rsid w:val="00BC5D74"/>
    <w:rsid w:val="00BC6D5C"/>
    <w:rsid w:val="00BD0971"/>
    <w:rsid w:val="00BD115A"/>
    <w:rsid w:val="00BD173A"/>
    <w:rsid w:val="00BD1B23"/>
    <w:rsid w:val="00BD262F"/>
    <w:rsid w:val="00BD409C"/>
    <w:rsid w:val="00BD48B8"/>
    <w:rsid w:val="00BD7DF7"/>
    <w:rsid w:val="00BE02BA"/>
    <w:rsid w:val="00BE1126"/>
    <w:rsid w:val="00BE2E5B"/>
    <w:rsid w:val="00BE32F9"/>
    <w:rsid w:val="00BE4AFA"/>
    <w:rsid w:val="00BE5B7C"/>
    <w:rsid w:val="00BE6991"/>
    <w:rsid w:val="00BF3673"/>
    <w:rsid w:val="00C01230"/>
    <w:rsid w:val="00C02894"/>
    <w:rsid w:val="00C02991"/>
    <w:rsid w:val="00C0301E"/>
    <w:rsid w:val="00C04CF6"/>
    <w:rsid w:val="00C04FE8"/>
    <w:rsid w:val="00C11E76"/>
    <w:rsid w:val="00C13E73"/>
    <w:rsid w:val="00C1590D"/>
    <w:rsid w:val="00C17F9E"/>
    <w:rsid w:val="00C2197B"/>
    <w:rsid w:val="00C246FA"/>
    <w:rsid w:val="00C24AF4"/>
    <w:rsid w:val="00C30A03"/>
    <w:rsid w:val="00C3166A"/>
    <w:rsid w:val="00C32E6D"/>
    <w:rsid w:val="00C359C8"/>
    <w:rsid w:val="00C3778B"/>
    <w:rsid w:val="00C435AB"/>
    <w:rsid w:val="00C50C31"/>
    <w:rsid w:val="00C51571"/>
    <w:rsid w:val="00C522B7"/>
    <w:rsid w:val="00C57EEA"/>
    <w:rsid w:val="00C60EF7"/>
    <w:rsid w:val="00C64F7F"/>
    <w:rsid w:val="00C65630"/>
    <w:rsid w:val="00C66ADA"/>
    <w:rsid w:val="00C70234"/>
    <w:rsid w:val="00C7502C"/>
    <w:rsid w:val="00C75283"/>
    <w:rsid w:val="00C801AB"/>
    <w:rsid w:val="00C80F6A"/>
    <w:rsid w:val="00C84289"/>
    <w:rsid w:val="00C86598"/>
    <w:rsid w:val="00C874E6"/>
    <w:rsid w:val="00C8797A"/>
    <w:rsid w:val="00C90B37"/>
    <w:rsid w:val="00C90CEC"/>
    <w:rsid w:val="00C91264"/>
    <w:rsid w:val="00C924DA"/>
    <w:rsid w:val="00C92B4D"/>
    <w:rsid w:val="00C945C3"/>
    <w:rsid w:val="00C94F57"/>
    <w:rsid w:val="00C972FB"/>
    <w:rsid w:val="00C9747F"/>
    <w:rsid w:val="00C97E4A"/>
    <w:rsid w:val="00C97E9D"/>
    <w:rsid w:val="00CA02CA"/>
    <w:rsid w:val="00CA1467"/>
    <w:rsid w:val="00CA1D4F"/>
    <w:rsid w:val="00CA2388"/>
    <w:rsid w:val="00CA31AF"/>
    <w:rsid w:val="00CA6CAA"/>
    <w:rsid w:val="00CA772F"/>
    <w:rsid w:val="00CA79E9"/>
    <w:rsid w:val="00CB0326"/>
    <w:rsid w:val="00CB0AEA"/>
    <w:rsid w:val="00CB3B34"/>
    <w:rsid w:val="00CB406A"/>
    <w:rsid w:val="00CB7DF1"/>
    <w:rsid w:val="00CC008C"/>
    <w:rsid w:val="00CC20DF"/>
    <w:rsid w:val="00CC37DF"/>
    <w:rsid w:val="00CC448D"/>
    <w:rsid w:val="00CC544E"/>
    <w:rsid w:val="00CD022F"/>
    <w:rsid w:val="00CD24C8"/>
    <w:rsid w:val="00CD63F4"/>
    <w:rsid w:val="00CD6E61"/>
    <w:rsid w:val="00CE0940"/>
    <w:rsid w:val="00CE09D3"/>
    <w:rsid w:val="00CE1A12"/>
    <w:rsid w:val="00CE1C34"/>
    <w:rsid w:val="00CF0971"/>
    <w:rsid w:val="00CF30E1"/>
    <w:rsid w:val="00CF32F9"/>
    <w:rsid w:val="00CF6E9B"/>
    <w:rsid w:val="00D00FFD"/>
    <w:rsid w:val="00D04136"/>
    <w:rsid w:val="00D05F52"/>
    <w:rsid w:val="00D077E3"/>
    <w:rsid w:val="00D07FB0"/>
    <w:rsid w:val="00D10372"/>
    <w:rsid w:val="00D119F1"/>
    <w:rsid w:val="00D1224A"/>
    <w:rsid w:val="00D125B6"/>
    <w:rsid w:val="00D1388D"/>
    <w:rsid w:val="00D13C44"/>
    <w:rsid w:val="00D13D55"/>
    <w:rsid w:val="00D141FB"/>
    <w:rsid w:val="00D17B58"/>
    <w:rsid w:val="00D23509"/>
    <w:rsid w:val="00D237B3"/>
    <w:rsid w:val="00D23841"/>
    <w:rsid w:val="00D24469"/>
    <w:rsid w:val="00D24FE1"/>
    <w:rsid w:val="00D31B0B"/>
    <w:rsid w:val="00D32613"/>
    <w:rsid w:val="00D3442C"/>
    <w:rsid w:val="00D34AE1"/>
    <w:rsid w:val="00D34BF7"/>
    <w:rsid w:val="00D4035D"/>
    <w:rsid w:val="00D405F8"/>
    <w:rsid w:val="00D437A7"/>
    <w:rsid w:val="00D44F6B"/>
    <w:rsid w:val="00D50820"/>
    <w:rsid w:val="00D51E33"/>
    <w:rsid w:val="00D52275"/>
    <w:rsid w:val="00D62985"/>
    <w:rsid w:val="00D6308D"/>
    <w:rsid w:val="00D63A6A"/>
    <w:rsid w:val="00D64A75"/>
    <w:rsid w:val="00D6644C"/>
    <w:rsid w:val="00D6650B"/>
    <w:rsid w:val="00D67CFE"/>
    <w:rsid w:val="00D70E70"/>
    <w:rsid w:val="00D70F36"/>
    <w:rsid w:val="00D7153F"/>
    <w:rsid w:val="00D71D4A"/>
    <w:rsid w:val="00D737B7"/>
    <w:rsid w:val="00D7675D"/>
    <w:rsid w:val="00D84C2E"/>
    <w:rsid w:val="00D85945"/>
    <w:rsid w:val="00D85CC6"/>
    <w:rsid w:val="00D91B4B"/>
    <w:rsid w:val="00D964CF"/>
    <w:rsid w:val="00DA254B"/>
    <w:rsid w:val="00DA2DAE"/>
    <w:rsid w:val="00DA312A"/>
    <w:rsid w:val="00DA6CA3"/>
    <w:rsid w:val="00DA748F"/>
    <w:rsid w:val="00DB0A70"/>
    <w:rsid w:val="00DB0AA2"/>
    <w:rsid w:val="00DB3640"/>
    <w:rsid w:val="00DB777E"/>
    <w:rsid w:val="00DC1E17"/>
    <w:rsid w:val="00DC2E8D"/>
    <w:rsid w:val="00DC3D61"/>
    <w:rsid w:val="00DE0C92"/>
    <w:rsid w:val="00DE36F5"/>
    <w:rsid w:val="00DE48A8"/>
    <w:rsid w:val="00DE6704"/>
    <w:rsid w:val="00DF0300"/>
    <w:rsid w:val="00DF3356"/>
    <w:rsid w:val="00DF3753"/>
    <w:rsid w:val="00DF6500"/>
    <w:rsid w:val="00DF6DCA"/>
    <w:rsid w:val="00E00AFB"/>
    <w:rsid w:val="00E0430E"/>
    <w:rsid w:val="00E04543"/>
    <w:rsid w:val="00E05767"/>
    <w:rsid w:val="00E11635"/>
    <w:rsid w:val="00E1415C"/>
    <w:rsid w:val="00E14CE1"/>
    <w:rsid w:val="00E15F74"/>
    <w:rsid w:val="00E1761D"/>
    <w:rsid w:val="00E2004F"/>
    <w:rsid w:val="00E2267D"/>
    <w:rsid w:val="00E23AAF"/>
    <w:rsid w:val="00E2683B"/>
    <w:rsid w:val="00E2738D"/>
    <w:rsid w:val="00E27658"/>
    <w:rsid w:val="00E327E3"/>
    <w:rsid w:val="00E33DE7"/>
    <w:rsid w:val="00E34E1A"/>
    <w:rsid w:val="00E363AC"/>
    <w:rsid w:val="00E43E1F"/>
    <w:rsid w:val="00E45654"/>
    <w:rsid w:val="00E469A0"/>
    <w:rsid w:val="00E4726F"/>
    <w:rsid w:val="00E50073"/>
    <w:rsid w:val="00E5379B"/>
    <w:rsid w:val="00E53C46"/>
    <w:rsid w:val="00E56751"/>
    <w:rsid w:val="00E56C0D"/>
    <w:rsid w:val="00E571B9"/>
    <w:rsid w:val="00E612A6"/>
    <w:rsid w:val="00E64005"/>
    <w:rsid w:val="00E671A0"/>
    <w:rsid w:val="00E73E3A"/>
    <w:rsid w:val="00E74D31"/>
    <w:rsid w:val="00E75208"/>
    <w:rsid w:val="00E76AA1"/>
    <w:rsid w:val="00E76E34"/>
    <w:rsid w:val="00E80BA8"/>
    <w:rsid w:val="00E8107B"/>
    <w:rsid w:val="00E81A94"/>
    <w:rsid w:val="00E85653"/>
    <w:rsid w:val="00E9106E"/>
    <w:rsid w:val="00E92D36"/>
    <w:rsid w:val="00E9320D"/>
    <w:rsid w:val="00E933FE"/>
    <w:rsid w:val="00E93DB6"/>
    <w:rsid w:val="00E93EF2"/>
    <w:rsid w:val="00E95E51"/>
    <w:rsid w:val="00E9653E"/>
    <w:rsid w:val="00E96A3F"/>
    <w:rsid w:val="00EA0F6E"/>
    <w:rsid w:val="00EA414B"/>
    <w:rsid w:val="00EA5437"/>
    <w:rsid w:val="00EA6068"/>
    <w:rsid w:val="00EA6368"/>
    <w:rsid w:val="00EA6374"/>
    <w:rsid w:val="00EA6642"/>
    <w:rsid w:val="00EB429F"/>
    <w:rsid w:val="00EC13C0"/>
    <w:rsid w:val="00EC3018"/>
    <w:rsid w:val="00EC3DEC"/>
    <w:rsid w:val="00EC3FCB"/>
    <w:rsid w:val="00ED0AB1"/>
    <w:rsid w:val="00ED1CBC"/>
    <w:rsid w:val="00ED51E2"/>
    <w:rsid w:val="00ED6468"/>
    <w:rsid w:val="00ED7745"/>
    <w:rsid w:val="00EE3218"/>
    <w:rsid w:val="00EF55FB"/>
    <w:rsid w:val="00EF648B"/>
    <w:rsid w:val="00EF6AE9"/>
    <w:rsid w:val="00F0097B"/>
    <w:rsid w:val="00F03149"/>
    <w:rsid w:val="00F05E9B"/>
    <w:rsid w:val="00F104C0"/>
    <w:rsid w:val="00F125FF"/>
    <w:rsid w:val="00F13A03"/>
    <w:rsid w:val="00F17AEC"/>
    <w:rsid w:val="00F24AAA"/>
    <w:rsid w:val="00F27787"/>
    <w:rsid w:val="00F348AD"/>
    <w:rsid w:val="00F35702"/>
    <w:rsid w:val="00F375FB"/>
    <w:rsid w:val="00F408EB"/>
    <w:rsid w:val="00F411D2"/>
    <w:rsid w:val="00F420E3"/>
    <w:rsid w:val="00F44687"/>
    <w:rsid w:val="00F44F4D"/>
    <w:rsid w:val="00F47595"/>
    <w:rsid w:val="00F517A8"/>
    <w:rsid w:val="00F5564F"/>
    <w:rsid w:val="00F55E99"/>
    <w:rsid w:val="00F55F88"/>
    <w:rsid w:val="00F60446"/>
    <w:rsid w:val="00F61C2B"/>
    <w:rsid w:val="00F64926"/>
    <w:rsid w:val="00F66AD6"/>
    <w:rsid w:val="00F73EBC"/>
    <w:rsid w:val="00F7420A"/>
    <w:rsid w:val="00F74791"/>
    <w:rsid w:val="00F75999"/>
    <w:rsid w:val="00F81172"/>
    <w:rsid w:val="00F84389"/>
    <w:rsid w:val="00F843B5"/>
    <w:rsid w:val="00F91F52"/>
    <w:rsid w:val="00F94BEE"/>
    <w:rsid w:val="00FA3013"/>
    <w:rsid w:val="00FB26B2"/>
    <w:rsid w:val="00FB4A14"/>
    <w:rsid w:val="00FB4B52"/>
    <w:rsid w:val="00FC1784"/>
    <w:rsid w:val="00FC32CA"/>
    <w:rsid w:val="00FC3876"/>
    <w:rsid w:val="00FC61AA"/>
    <w:rsid w:val="00FC65B4"/>
    <w:rsid w:val="00FD1898"/>
    <w:rsid w:val="00FD28C3"/>
    <w:rsid w:val="00FD573E"/>
    <w:rsid w:val="00FD5EBB"/>
    <w:rsid w:val="00FD64BA"/>
    <w:rsid w:val="00FE1811"/>
    <w:rsid w:val="00FE27D3"/>
    <w:rsid w:val="00FE47C5"/>
    <w:rsid w:val="00FE70FE"/>
    <w:rsid w:val="00FF442D"/>
    <w:rsid w:val="00FF566B"/>
    <w:rsid w:val="00FF753D"/>
    <w:rsid w:val="00FF76DA"/>
    <w:rsid w:val="00FF7C5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9785705"/>
  <w15:docId w15:val="{F59E02AC-D9D8-4320-B895-E2CBE33CD44C}"/>
  <w:documentProtection w:edit="forms" w:enforcement="true" w:cryptProviderType="rsaFull" w:cryptAlgorithmClass="hash" w:cryptAlgorithmType="typeAny" w:cryptAlgorithmSid="4" w:cryptSpinCount="50000" w:hash="Ko8/c1fWeMgb+w6hr+n4SKJqDig=" w:salt="vEFm2IbI4TdREEB548dp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cs-CZ" w:eastAsia="cs-CZ" w:bidi="cs-CZ"/>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7E73"/>
    <w:pPr>
      <w:spacing w:before="120"/>
      <w:jc w:val="both"/>
    </w:pPr>
    <w:rPr>
      <w:color w:val="000000"/>
    </w:rPr>
  </w:style>
  <w:style w:type="paragraph" w:styleId="Heading1">
    <w:name w:val="heading 1"/>
    <w:basedOn w:val="Normal"/>
    <w:next w:val="Normal"/>
    <w:link w:val="Heading1Char"/>
    <w:uiPriority w:val="9"/>
    <w:qFormat/>
    <w:rsid w:val="005620FE"/>
    <w:pPr>
      <w:keepNext/>
      <w:spacing w:before="240"/>
      <w:jc w:val="left"/>
      <w:outlineLvl w:val="0"/>
    </w:pPr>
    <w:rPr>
      <w:b/>
      <w:bCs/>
      <w:i/>
      <w:iCs/>
      <w:color w:val="auto"/>
      <w:sz w:val="24"/>
      <w:szCs w:val="24"/>
    </w:rPr>
  </w:style>
  <w:style w:type="paragraph" w:styleId="Heading9">
    <w:name w:val="heading 9"/>
    <w:basedOn w:val="Normal"/>
    <w:next w:val="Normal"/>
    <w:link w:val="Heading9Char"/>
    <w:uiPriority w:val="9"/>
    <w:semiHidden/>
    <w:unhideWhenUsed/>
    <w:qFormat/>
    <w:rsid w:val="0047766F"/>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44C"/>
    <w:pPr>
      <w:tabs>
        <w:tab w:val="center" w:pos="4680"/>
        <w:tab w:val="right" w:pos="9360"/>
      </w:tabs>
      <w:spacing w:before="0"/>
    </w:pPr>
  </w:style>
  <w:style w:type="character" w:customStyle="1" w:styleId="HeaderChar">
    <w:name w:val="Header Char"/>
    <w:basedOn w:val="DefaultParagraphFont"/>
    <w:link w:val="Header"/>
    <w:uiPriority w:val="99"/>
    <w:rsid w:val="00D6644C"/>
  </w:style>
  <w:style w:type="paragraph" w:styleId="Footer">
    <w:name w:val="footer"/>
    <w:basedOn w:val="Normal"/>
    <w:link w:val="FooterChar"/>
    <w:uiPriority w:val="99"/>
    <w:unhideWhenUsed/>
    <w:rsid w:val="00D6644C"/>
    <w:pPr>
      <w:tabs>
        <w:tab w:val="center" w:pos="4680"/>
        <w:tab w:val="right" w:pos="9360"/>
      </w:tabs>
      <w:spacing w:before="0"/>
    </w:pPr>
  </w:style>
  <w:style w:type="character" w:customStyle="1" w:styleId="FooterChar">
    <w:name w:val="Footer Char"/>
    <w:basedOn w:val="DefaultParagraphFont"/>
    <w:link w:val="Footer"/>
    <w:uiPriority w:val="99"/>
    <w:rsid w:val="00D6644C"/>
  </w:style>
  <w:style w:type="table" w:styleId="TableGrid">
    <w:name w:val="Table Grid"/>
    <w:basedOn w:val="TableNormal"/>
    <w:uiPriority w:val="59"/>
    <w:rsid w:val="00D664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620FE"/>
    <w:rPr>
      <w:b/>
      <w:bCs/>
      <w:i/>
      <w:iCs/>
      <w:sz w:val="24"/>
      <w:szCs w:val="24"/>
    </w:rPr>
  </w:style>
  <w:style w:type="character" w:styleId="Hyperlink">
    <w:name w:val="Hyperlink"/>
    <w:uiPriority w:val="99"/>
    <w:unhideWhenUsed/>
    <w:rsid w:val="00067B9C"/>
    <w:rPr>
      <w:color w:val="0000FF"/>
      <w:u w:val="single"/>
    </w:rPr>
  </w:style>
  <w:style w:type="paragraph" w:styleId="TOC1">
    <w:name w:val="toc 1"/>
    <w:basedOn w:val="Normal"/>
    <w:next w:val="Normal"/>
    <w:autoRedefine/>
    <w:uiPriority w:val="39"/>
    <w:unhideWhenUsed/>
    <w:rsid w:val="00A456A9"/>
    <w:pPr>
      <w:tabs>
        <w:tab w:val="left" w:pos="450"/>
        <w:tab w:val="right" w:leader="dot" w:pos="9017"/>
      </w:tabs>
      <w:spacing w:before="0"/>
    </w:pPr>
  </w:style>
  <w:style w:type="paragraph" w:styleId="ListParagraph">
    <w:name w:val="List Paragraph"/>
    <w:basedOn w:val="Normal"/>
    <w:link w:val="ListParagraphChar"/>
    <w:uiPriority w:val="34"/>
    <w:qFormat/>
    <w:rsid w:val="007D5FB6"/>
    <w:pPr>
      <w:ind w:left="720"/>
      <w:contextualSpacing/>
    </w:pPr>
  </w:style>
  <w:style w:type="paragraph" w:styleId="BalloonText">
    <w:name w:val="Balloon Text"/>
    <w:basedOn w:val="Normal"/>
    <w:link w:val="BalloonTextChar"/>
    <w:uiPriority w:val="99"/>
    <w:semiHidden/>
    <w:unhideWhenUsed/>
    <w:rsid w:val="00537B49"/>
    <w:pPr>
      <w:spacing w:before="0"/>
    </w:pPr>
    <w:rPr>
      <w:rFonts w:ascii="Tahoma" w:hAnsi="Tahoma" w:cs="Times New Roman"/>
      <w:color w:val="auto"/>
      <w:sz w:val="16"/>
      <w:szCs w:val="16"/>
    </w:rPr>
  </w:style>
  <w:style w:type="character" w:customStyle="1" w:styleId="BalloonTextChar">
    <w:name w:val="Balloon Text Char"/>
    <w:link w:val="BalloonText"/>
    <w:uiPriority w:val="99"/>
    <w:semiHidden/>
    <w:rsid w:val="00537B49"/>
    <w:rPr>
      <w:rFonts w:ascii="Tahoma" w:hAnsi="Tahoma" w:cs="Tahoma"/>
      <w:sz w:val="16"/>
      <w:szCs w:val="16"/>
    </w:rPr>
  </w:style>
  <w:style w:type="character" w:styleId="CommentReference">
    <w:name w:val="annotation reference"/>
    <w:unhideWhenUsed/>
    <w:rsid w:val="001E1582"/>
    <w:rPr>
      <w:sz w:val="16"/>
      <w:szCs w:val="16"/>
    </w:rPr>
  </w:style>
  <w:style w:type="paragraph" w:styleId="CommentText">
    <w:name w:val="annotation text"/>
    <w:basedOn w:val="Normal"/>
    <w:link w:val="CommentTextChar"/>
    <w:unhideWhenUsed/>
    <w:rsid w:val="001E1582"/>
  </w:style>
  <w:style w:type="character" w:customStyle="1" w:styleId="CommentTextChar">
    <w:name w:val="Comment Text Char"/>
    <w:basedOn w:val="DefaultParagraphFont"/>
    <w:link w:val="CommentText"/>
    <w:rsid w:val="001E1582"/>
  </w:style>
  <w:style w:type="paragraph" w:styleId="CommentSubject">
    <w:name w:val="annotation subject"/>
    <w:basedOn w:val="CommentText"/>
    <w:next w:val="CommentText"/>
    <w:link w:val="CommentSubjectChar"/>
    <w:uiPriority w:val="99"/>
    <w:semiHidden/>
    <w:unhideWhenUsed/>
    <w:rsid w:val="001E1582"/>
    <w:rPr>
      <w:rFonts w:cs="Times New Roman"/>
      <w:b/>
      <w:bCs/>
      <w:color w:val="auto"/>
    </w:rPr>
  </w:style>
  <w:style w:type="character" w:customStyle="1" w:styleId="CommentSubjectChar">
    <w:name w:val="Comment Subject Char"/>
    <w:link w:val="CommentSubject"/>
    <w:uiPriority w:val="99"/>
    <w:semiHidden/>
    <w:rsid w:val="001E1582"/>
    <w:rPr>
      <w:b/>
      <w:bCs/>
    </w:rPr>
  </w:style>
  <w:style w:type="paragraph" w:styleId="Revision">
    <w:name w:val="Revision"/>
    <w:hidden/>
    <w:uiPriority w:val="99"/>
    <w:semiHidden/>
    <w:rsid w:val="006839B5"/>
    <w:rPr>
      <w:color w:val="000000"/>
    </w:rPr>
  </w:style>
  <w:style w:type="character" w:styleId="Strong">
    <w:name w:val="Strong"/>
    <w:qFormat/>
    <w:rsid w:val="00103067"/>
    <w:rPr>
      <w:b/>
      <w:bCs/>
    </w:rPr>
  </w:style>
  <w:style w:type="character" w:customStyle="1" w:styleId="Heading9Char">
    <w:name w:val="Heading 9 Char"/>
    <w:link w:val="Heading9"/>
    <w:uiPriority w:val="9"/>
    <w:semiHidden/>
    <w:rsid w:val="0047766F"/>
    <w:rPr>
      <w:rFonts w:ascii="Cambria" w:eastAsia="Times New Roman" w:hAnsi="Cambria" w:cs="Times New Roman"/>
      <w:color w:val="000000"/>
      <w:sz w:val="22"/>
      <w:szCs w:val="22"/>
    </w:rPr>
  </w:style>
  <w:style w:type="paragraph" w:customStyle="1" w:styleId="normal1">
    <w:name w:val="normal1"/>
    <w:basedOn w:val="Normal"/>
    <w:rsid w:val="00937782"/>
    <w:pPr>
      <w:spacing w:before="0"/>
      <w:jc w:val="left"/>
    </w:pPr>
    <w:rPr>
      <w:rFonts w:ascii="Times New Roman" w:eastAsia="Times New Roman" w:hAnsi="Times New Roman" w:cs="Times New Roman"/>
      <w:color w:val="auto"/>
    </w:rPr>
  </w:style>
  <w:style w:type="character" w:styleId="FollowedHyperlink">
    <w:name w:val="FollowedHyperlink"/>
    <w:basedOn w:val="DefaultParagraphFont"/>
    <w:uiPriority w:val="99"/>
    <w:semiHidden/>
    <w:unhideWhenUsed/>
    <w:rsid w:val="00EF648B"/>
    <w:rPr>
      <w:color w:val="800080" w:themeColor="followedHyperlink"/>
      <w:u w:val="single"/>
    </w:rPr>
  </w:style>
  <w:style w:type="character" w:customStyle="1" w:styleId="ListParagraphChar">
    <w:name w:val="List Paragraph Char"/>
    <w:basedOn w:val="DefaultParagraphFont"/>
    <w:link w:val="ListParagraph"/>
    <w:uiPriority w:val="34"/>
    <w:rsid w:val="00840469"/>
    <w:rPr>
      <w:color w:val="000000"/>
    </w:rPr>
  </w:style>
  <w:style w:type="character" w:customStyle="1" w:styleId="LogoportMarkup">
    <w:name w:val="LogoportMarkup"/>
    <w:basedOn w:val="DefaultParagraphFont"/>
    <w:rsid w:val="00274A71"/>
    <w:rPr>
      <w:rFonts w:ascii="Courier New" w:hAnsi="Courier New" w:cs="Courier New"/>
      <w:b w:val="0"/>
      <w:i w:val="0"/>
      <w:color w:val="FF0000"/>
      <w:sz w:val="18"/>
      <w:szCs w:val="36"/>
    </w:rPr>
  </w:style>
  <w:style w:type="character" w:customStyle="1" w:styleId="LogoportDoNotTranslate">
    <w:name w:val="LogoportDoNotTranslate"/>
    <w:basedOn w:val="DefaultParagraphFont"/>
    <w:rsid w:val="00274A71"/>
    <w:rPr>
      <w:rFonts w:ascii="Courier New" w:hAnsi="Courier New" w:cs="Courier New"/>
      <w:b w:val="0"/>
      <w:i w:val="0"/>
      <w:color w:val="808080"/>
      <w:sz w:val="1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3333">
      <w:bodyDiv w:val="1"/>
      <w:marLeft w:val="0"/>
      <w:marRight w:val="0"/>
      <w:marTop w:val="0"/>
      <w:marBottom w:val="0"/>
      <w:divBdr>
        <w:top w:val="none" w:sz="0" w:space="0" w:color="auto"/>
        <w:left w:val="none" w:sz="0" w:space="0" w:color="auto"/>
        <w:bottom w:val="none" w:sz="0" w:space="0" w:color="auto"/>
        <w:right w:val="none" w:sz="0" w:space="0" w:color="auto"/>
      </w:divBdr>
    </w:div>
    <w:div w:id="320692725">
      <w:bodyDiv w:val="1"/>
      <w:marLeft w:val="0"/>
      <w:marRight w:val="0"/>
      <w:marTop w:val="0"/>
      <w:marBottom w:val="0"/>
      <w:divBdr>
        <w:top w:val="none" w:sz="0" w:space="0" w:color="auto"/>
        <w:left w:val="none" w:sz="0" w:space="0" w:color="auto"/>
        <w:bottom w:val="none" w:sz="0" w:space="0" w:color="auto"/>
        <w:right w:val="none" w:sz="0" w:space="0" w:color="auto"/>
      </w:divBdr>
    </w:div>
    <w:div w:id="603421213">
      <w:bodyDiv w:val="1"/>
      <w:marLeft w:val="0"/>
      <w:marRight w:val="0"/>
      <w:marTop w:val="0"/>
      <w:marBottom w:val="0"/>
      <w:divBdr>
        <w:top w:val="none" w:sz="0" w:space="0" w:color="auto"/>
        <w:left w:val="none" w:sz="0" w:space="0" w:color="auto"/>
        <w:bottom w:val="none" w:sz="0" w:space="0" w:color="auto"/>
        <w:right w:val="none" w:sz="0" w:space="0" w:color="auto"/>
      </w:divBdr>
      <w:divsChild>
        <w:div w:id="1360542348">
          <w:marLeft w:val="0"/>
          <w:marRight w:val="0"/>
          <w:marTop w:val="0"/>
          <w:marBottom w:val="0"/>
          <w:divBdr>
            <w:top w:val="none" w:sz="0" w:space="0" w:color="auto"/>
            <w:left w:val="none" w:sz="0" w:space="0" w:color="auto"/>
            <w:bottom w:val="none" w:sz="0" w:space="0" w:color="auto"/>
            <w:right w:val="none" w:sz="0" w:space="0" w:color="auto"/>
          </w:divBdr>
          <w:divsChild>
            <w:div w:id="1208951345">
              <w:marLeft w:val="0"/>
              <w:marRight w:val="0"/>
              <w:marTop w:val="0"/>
              <w:marBottom w:val="0"/>
              <w:divBdr>
                <w:top w:val="none" w:sz="0" w:space="0" w:color="auto"/>
                <w:left w:val="none" w:sz="0" w:space="0" w:color="auto"/>
                <w:bottom w:val="none" w:sz="0" w:space="0" w:color="auto"/>
                <w:right w:val="none" w:sz="0" w:space="0" w:color="auto"/>
              </w:divBdr>
              <w:divsChild>
                <w:div w:id="145512276">
                  <w:marLeft w:val="0"/>
                  <w:marRight w:val="0"/>
                  <w:marTop w:val="0"/>
                  <w:marBottom w:val="0"/>
                  <w:divBdr>
                    <w:top w:val="none" w:sz="0" w:space="0" w:color="auto"/>
                    <w:left w:val="none" w:sz="0" w:space="0" w:color="auto"/>
                    <w:bottom w:val="none" w:sz="0" w:space="0" w:color="auto"/>
                    <w:right w:val="none" w:sz="0" w:space="0" w:color="auto"/>
                  </w:divBdr>
                  <w:divsChild>
                    <w:div w:id="592134142">
                      <w:marLeft w:val="0"/>
                      <w:marRight w:val="0"/>
                      <w:marTop w:val="0"/>
                      <w:marBottom w:val="0"/>
                      <w:divBdr>
                        <w:top w:val="none" w:sz="0" w:space="0" w:color="auto"/>
                        <w:left w:val="none" w:sz="0" w:space="0" w:color="auto"/>
                        <w:bottom w:val="none" w:sz="0" w:space="0" w:color="auto"/>
                        <w:right w:val="none" w:sz="0" w:space="0" w:color="auto"/>
                      </w:divBdr>
                      <w:divsChild>
                        <w:div w:id="1270163820">
                          <w:marLeft w:val="0"/>
                          <w:marRight w:val="0"/>
                          <w:marTop w:val="0"/>
                          <w:marBottom w:val="0"/>
                          <w:divBdr>
                            <w:top w:val="none" w:sz="0" w:space="0" w:color="auto"/>
                            <w:left w:val="none" w:sz="0" w:space="0" w:color="auto"/>
                            <w:bottom w:val="none" w:sz="0" w:space="0" w:color="auto"/>
                            <w:right w:val="none" w:sz="0" w:space="0" w:color="auto"/>
                          </w:divBdr>
                          <w:divsChild>
                            <w:div w:id="1647514437">
                              <w:marLeft w:val="1350"/>
                              <w:marRight w:val="0"/>
                              <w:marTop w:val="0"/>
                              <w:marBottom w:val="0"/>
                              <w:divBdr>
                                <w:top w:val="none" w:sz="0" w:space="0" w:color="auto"/>
                                <w:left w:val="none" w:sz="0" w:space="0" w:color="auto"/>
                                <w:bottom w:val="none" w:sz="0" w:space="0" w:color="auto"/>
                                <w:right w:val="none" w:sz="0" w:space="0" w:color="auto"/>
                              </w:divBdr>
                              <w:divsChild>
                                <w:div w:id="146823624">
                                  <w:marLeft w:val="0"/>
                                  <w:marRight w:val="0"/>
                                  <w:marTop w:val="0"/>
                                  <w:marBottom w:val="0"/>
                                  <w:divBdr>
                                    <w:top w:val="none" w:sz="0" w:space="0" w:color="auto"/>
                                    <w:left w:val="none" w:sz="0" w:space="0" w:color="auto"/>
                                    <w:bottom w:val="none" w:sz="0" w:space="0" w:color="auto"/>
                                    <w:right w:val="none" w:sz="0" w:space="0" w:color="auto"/>
                                  </w:divBdr>
                                  <w:divsChild>
                                    <w:div w:id="543643244">
                                      <w:marLeft w:val="0"/>
                                      <w:marRight w:val="0"/>
                                      <w:marTop w:val="0"/>
                                      <w:marBottom w:val="0"/>
                                      <w:divBdr>
                                        <w:top w:val="none" w:sz="0" w:space="0" w:color="auto"/>
                                        <w:left w:val="none" w:sz="0" w:space="0" w:color="auto"/>
                                        <w:bottom w:val="none" w:sz="0" w:space="0" w:color="auto"/>
                                        <w:right w:val="none" w:sz="0" w:space="0" w:color="auto"/>
                                      </w:divBdr>
                                      <w:divsChild>
                                        <w:div w:id="720593237">
                                          <w:marLeft w:val="0"/>
                                          <w:marRight w:val="0"/>
                                          <w:marTop w:val="0"/>
                                          <w:marBottom w:val="120"/>
                                          <w:divBdr>
                                            <w:top w:val="none" w:sz="0" w:space="0" w:color="auto"/>
                                            <w:left w:val="none" w:sz="0" w:space="0" w:color="auto"/>
                                            <w:bottom w:val="none" w:sz="0" w:space="0" w:color="auto"/>
                                            <w:right w:val="none" w:sz="0" w:space="0" w:color="auto"/>
                                          </w:divBdr>
                                          <w:divsChild>
                                            <w:div w:id="2485401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471163">
      <w:bodyDiv w:val="1"/>
      <w:marLeft w:val="0"/>
      <w:marRight w:val="0"/>
      <w:marTop w:val="0"/>
      <w:marBottom w:val="0"/>
      <w:divBdr>
        <w:top w:val="none" w:sz="0" w:space="0" w:color="auto"/>
        <w:left w:val="none" w:sz="0" w:space="0" w:color="auto"/>
        <w:bottom w:val="none" w:sz="0" w:space="0" w:color="auto"/>
        <w:right w:val="none" w:sz="0" w:space="0" w:color="auto"/>
      </w:divBdr>
    </w:div>
    <w:div w:id="912277094">
      <w:bodyDiv w:val="1"/>
      <w:marLeft w:val="0"/>
      <w:marRight w:val="0"/>
      <w:marTop w:val="0"/>
      <w:marBottom w:val="0"/>
      <w:divBdr>
        <w:top w:val="none" w:sz="0" w:space="0" w:color="auto"/>
        <w:left w:val="none" w:sz="0" w:space="0" w:color="auto"/>
        <w:bottom w:val="none" w:sz="0" w:space="0" w:color="auto"/>
        <w:right w:val="none" w:sz="0" w:space="0" w:color="auto"/>
      </w:divBdr>
    </w:div>
    <w:div w:id="951206405">
      <w:bodyDiv w:val="1"/>
      <w:marLeft w:val="0"/>
      <w:marRight w:val="0"/>
      <w:marTop w:val="0"/>
      <w:marBottom w:val="0"/>
      <w:divBdr>
        <w:top w:val="none" w:sz="0" w:space="0" w:color="auto"/>
        <w:left w:val="none" w:sz="0" w:space="0" w:color="auto"/>
        <w:bottom w:val="none" w:sz="0" w:space="0" w:color="auto"/>
        <w:right w:val="none" w:sz="0" w:space="0" w:color="auto"/>
      </w:divBdr>
    </w:div>
    <w:div w:id="1059016928">
      <w:bodyDiv w:val="1"/>
      <w:marLeft w:val="0"/>
      <w:marRight w:val="0"/>
      <w:marTop w:val="0"/>
      <w:marBottom w:val="0"/>
      <w:divBdr>
        <w:top w:val="none" w:sz="0" w:space="0" w:color="auto"/>
        <w:left w:val="none" w:sz="0" w:space="0" w:color="auto"/>
        <w:bottom w:val="none" w:sz="0" w:space="0" w:color="auto"/>
        <w:right w:val="none" w:sz="0" w:space="0" w:color="auto"/>
      </w:divBdr>
    </w:div>
    <w:div w:id="1076822109">
      <w:bodyDiv w:val="1"/>
      <w:marLeft w:val="0"/>
      <w:marRight w:val="0"/>
      <w:marTop w:val="0"/>
      <w:marBottom w:val="0"/>
      <w:divBdr>
        <w:top w:val="none" w:sz="0" w:space="0" w:color="auto"/>
        <w:left w:val="none" w:sz="0" w:space="0" w:color="auto"/>
        <w:bottom w:val="none" w:sz="0" w:space="0" w:color="auto"/>
        <w:right w:val="none" w:sz="0" w:space="0" w:color="auto"/>
      </w:divBdr>
    </w:div>
    <w:div w:id="1130783124">
      <w:bodyDiv w:val="1"/>
      <w:marLeft w:val="0"/>
      <w:marRight w:val="0"/>
      <w:marTop w:val="0"/>
      <w:marBottom w:val="0"/>
      <w:divBdr>
        <w:top w:val="none" w:sz="0" w:space="0" w:color="auto"/>
        <w:left w:val="none" w:sz="0" w:space="0" w:color="auto"/>
        <w:bottom w:val="none" w:sz="0" w:space="0" w:color="auto"/>
        <w:right w:val="none" w:sz="0" w:space="0" w:color="auto"/>
      </w:divBdr>
    </w:div>
    <w:div w:id="1574240370">
      <w:bodyDiv w:val="1"/>
      <w:marLeft w:val="0"/>
      <w:marRight w:val="0"/>
      <w:marTop w:val="0"/>
      <w:marBottom w:val="0"/>
      <w:divBdr>
        <w:top w:val="none" w:sz="0" w:space="0" w:color="auto"/>
        <w:left w:val="none" w:sz="0" w:space="0" w:color="auto"/>
        <w:bottom w:val="none" w:sz="0" w:space="0" w:color="auto"/>
        <w:right w:val="none" w:sz="0" w:space="0" w:color="auto"/>
      </w:divBdr>
    </w:div>
    <w:div w:id="1855918842">
      <w:bodyDiv w:val="1"/>
      <w:marLeft w:val="0"/>
      <w:marRight w:val="0"/>
      <w:marTop w:val="0"/>
      <w:marBottom w:val="0"/>
      <w:divBdr>
        <w:top w:val="none" w:sz="0" w:space="0" w:color="auto"/>
        <w:left w:val="none" w:sz="0" w:space="0" w:color="auto"/>
        <w:bottom w:val="none" w:sz="0" w:space="0" w:color="auto"/>
        <w:right w:val="none" w:sz="0" w:space="0" w:color="auto"/>
      </w:divBdr>
    </w:div>
    <w:div w:id="1879513793">
      <w:bodyDiv w:val="1"/>
      <w:marLeft w:val="0"/>
      <w:marRight w:val="0"/>
      <w:marTop w:val="0"/>
      <w:marBottom w:val="0"/>
      <w:divBdr>
        <w:top w:val="none" w:sz="0" w:space="0" w:color="auto"/>
        <w:left w:val="none" w:sz="0" w:space="0" w:color="auto"/>
        <w:bottom w:val="none" w:sz="0" w:space="0" w:color="auto"/>
        <w:right w:val="none" w:sz="0" w:space="0" w:color="auto"/>
      </w:divBdr>
    </w:div>
    <w:div w:id="1995716437">
      <w:bodyDiv w:val="1"/>
      <w:marLeft w:val="0"/>
      <w:marRight w:val="0"/>
      <w:marTop w:val="0"/>
      <w:marBottom w:val="0"/>
      <w:divBdr>
        <w:top w:val="none" w:sz="0" w:space="0" w:color="auto"/>
        <w:left w:val="none" w:sz="0" w:space="0" w:color="auto"/>
        <w:bottom w:val="none" w:sz="0" w:space="0" w:color="auto"/>
        <w:right w:val="none" w:sz="0" w:space="0" w:color="auto"/>
      </w:divBdr>
    </w:div>
    <w:div w:id="21409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icrosoft.com/licensing/contrac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microsoft.com/licensing/contrac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52D865D0CB4498EEC55A294A1530F" ma:contentTypeVersion="12" ma:contentTypeDescription="Create a new document." ma:contentTypeScope="" ma:versionID="d5ee21ff0920ca6788ca0b60ae3711b2">
  <xsd:schema xmlns:xsd="http://www.w3.org/2001/XMLSchema" xmlns:xs="http://www.w3.org/2001/XMLSchema" xmlns:p="http://schemas.microsoft.com/office/2006/metadata/properties" xmlns:ns2="230e9df3-be65-4c73-a93b-d1236ebd677e" xmlns:ns3="cb40a819-c2c9-4d15-af53-9c1dd3c293b5" xmlns:ns4="c4794c23-d227-4666-a8d0-747ccd3f81a3" targetNamespace="http://schemas.microsoft.com/office/2006/metadata/properties" ma:root="true" ma:fieldsID="45390b6eb0b9cb8a9d836fc466698aa9" ns2:_="" ns3:_="" ns4:_="">
    <xsd:import namespace="230e9df3-be65-4c73-a93b-d1236ebd677e"/>
    <xsd:import namespace="cb40a819-c2c9-4d15-af53-9c1dd3c293b5"/>
    <xsd:import namespace="c4794c23-d227-4666-a8d0-747ccd3f81a3"/>
    <xsd:element name="properties">
      <xsd:complexType>
        <xsd:sequence>
          <xsd:element name="documentManagement">
            <xsd:complexType>
              <xsd:all>
                <xsd:element ref="ns2:l46dced6587843b1901ea2be625ffc24" minOccurs="0"/>
                <xsd:element ref="ns2:TaxCatchAll" minOccurs="0"/>
                <xsd:element ref="ns2:pf408e84c90b463c88d98a4ca8fa4a76" minOccurs="0"/>
                <xsd:element ref="ns2:g1de90bf09944605b5395c5ca240cb6c"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l46dced6587843b1901ea2be625ffc24" ma:index="3" nillable="true" ma:taxonomy="true" ma:internalName="l46dced6587843b1901ea2be625ffc24" ma:taxonomyFieldName="LCA_x0020_Fiscal_x0020_Year" ma:displayName="LCA Fiscal Year" ma:default="17;#Fiscal Year 2016|3a14a61a-c35e-44de-8ad5-95b6c87d55bf" ma:fieldId="{546dced6-5878-43b1-901e-a2be625ffc24}" ma:sspId="e385fb40-52d4-4fae-9c5b-3e8ff8a5878e" ma:termSetId="1ff17673-2e33-487a-8972-141f162c1e69" ma:anchorId="a9740f40-517f-4b4b-8cda-c688f2faebb0" ma:open="false" ma:isKeyword="false">
      <xsd:complexType>
        <xsd:sequence>
          <xsd:element ref="pc:Terms" minOccurs="0" maxOccurs="1"/>
        </xsd:sequence>
      </xsd:complexType>
    </xsd:element>
    <xsd:element name="TaxCatchAll" ma:index="4" nillable="true" ma:displayName="Taxonomy Catch All Column" ma:description="" ma:hidden="true" ma:list="{dbc7eb37-e4d9-4000-abdf-c1582428097b}" ma:internalName="TaxCatchAll" ma:showField="CatchAllData" ma:web="c4794c23-d227-4666-a8d0-747ccd3f81a3">
      <xsd:complexType>
        <xsd:complexContent>
          <xsd:extension base="dms:MultiChoiceLookup">
            <xsd:sequence>
              <xsd:element name="Value" type="dms:Lookup" maxOccurs="unbounded" minOccurs="0" nillable="true"/>
            </xsd:sequence>
          </xsd:extension>
        </xsd:complexContent>
      </xsd:complexType>
    </xsd:element>
    <xsd:element name="pf408e84c90b463c88d98a4ca8fa4a76" ma:index="6" nillable="true" ma:taxonomy="true" ma:internalName="pf408e84c90b463c88d98a4ca8fa4a76" ma:taxonomyFieldName="lcapracticegroup" ma:displayName="LCA Practice Group" ma:readOnly="false" ma:default="12;#Worldwide Sales Group (LCA)|1d16be35-564c-4ad3-8159-4e0ae4cdba01" ma:fieldId="{9f408e84-c90b-463c-88d9-8a4ca8fa4a76}" ma:sspId="e385fb40-52d4-4fae-9c5b-3e8ff8a5878e" ma:termSetId="dad97345-7d30-4e98-8710-86d8b6a8f016" ma:anchorId="00000000-0000-0000-0000-000000000000" ma:open="false" ma:isKeyword="false">
      <xsd:complexType>
        <xsd:sequence>
          <xsd:element ref="pc:Terms" minOccurs="0" maxOccurs="1"/>
        </xsd:sequence>
      </xsd:complexType>
    </xsd:element>
    <xsd:element name="g1de90bf09944605b5395c5ca240cb6c" ma:index="8" nillable="true" ma:taxonomy="true" ma:internalName="g1de90bf09944605b5395c5ca240cb6c" ma:taxonomyFieldName="lcaregion" ma:displayName="LCA Region" ma:readOnly="false" ma:default="9;#United States Area|ea9d7a8d-1619-469c-b0a4-ef1cd3c07355" ma:fieldId="{01de90bf-0994-4605-b539-5c5ca240cb6c}" ma:sspId="e385fb40-52d4-4fae-9c5b-3e8ff8a5878e" ma:termSetId="0783b91d-a0ba-4884-b8b9-b67dfb3381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40a819-c2c9-4d15-af53-9c1dd3c293b5"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794c23-d227-4666-a8d0-747ccd3f81a3" elementFormDefault="qualified">
    <xsd:import namespace="http://schemas.microsoft.com/office/2006/documentManagement/types"/>
    <xsd:import namespace="http://schemas.microsoft.com/office/infopath/2007/PartnerControls"/>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40a819-c2c9-4d15-af53-9c1dd3c293b5">
      <UserInfo>
        <DisplayName>Andy Christensen (CELA)</DisplayName>
        <AccountId>185</AccountId>
        <AccountType/>
      </UserInfo>
    </SharedWithUsers>
    <pf408e84c90b463c88d98a4ca8fa4a76 xmlns="230e9df3-be65-4c73-a93b-d1236ebd677e">
      <Terms xmlns="http://schemas.microsoft.com/office/infopath/2007/PartnerControls">
        <TermInfo xmlns="http://schemas.microsoft.com/office/infopath/2007/PartnerControls">
          <TermName xmlns="http://schemas.microsoft.com/office/infopath/2007/PartnerControls">Worldwide Sales Group (LCA)</TermName>
          <TermId xmlns="http://schemas.microsoft.com/office/infopath/2007/PartnerControls">1d16be35-564c-4ad3-8159-4e0ae4cdba01</TermId>
        </TermInfo>
      </Terms>
    </pf408e84c90b463c88d98a4ca8fa4a76>
    <l46dced6587843b1901ea2be625ffc24 xmlns="230e9df3-be65-4c73-a93b-d1236ebd677e">
      <Terms xmlns="http://schemas.microsoft.com/office/infopath/2007/PartnerControls">
        <TermInfo xmlns="http://schemas.microsoft.com/office/infopath/2007/PartnerControls">
          <TermName xmlns="http://schemas.microsoft.com/office/infopath/2007/PartnerControls">Fiscal Year 2016</TermName>
          <TermId xmlns="http://schemas.microsoft.com/office/infopath/2007/PartnerControls">3a14a61a-c35e-44de-8ad5-95b6c87d55bf</TermId>
        </TermInfo>
      </Terms>
    </l46dced6587843b1901ea2be625ffc24>
    <TaxCatchAll xmlns="230e9df3-be65-4c73-a93b-d1236ebd677e">
      <Value>12</Value>
      <Value>17</Value>
      <Value>9</Value>
    </TaxCatchAll>
    <g1de90bf09944605b5395c5ca240cb6c xmlns="230e9df3-be65-4c73-a93b-d1236ebd677e">
      <Terms xmlns="http://schemas.microsoft.com/office/infopath/2007/PartnerControls">
        <TermInfo xmlns="http://schemas.microsoft.com/office/infopath/2007/PartnerControls">
          <TermName xmlns="http://schemas.microsoft.com/office/infopath/2007/PartnerControls">United States Area</TermName>
          <TermId xmlns="http://schemas.microsoft.com/office/infopath/2007/PartnerControls">ea9d7a8d-1619-469c-b0a4-ef1cd3c07355</TermId>
        </TermInfo>
      </Terms>
    </g1de90bf09944605b5395c5ca240cb6c>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0E37-1688-4D10-BBE7-146396DAE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e9df3-be65-4c73-a93b-d1236ebd677e"/>
    <ds:schemaRef ds:uri="cb40a819-c2c9-4d15-af53-9c1dd3c293b5"/>
    <ds:schemaRef ds:uri="c4794c23-d227-4666-a8d0-747ccd3f8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8DD24-58E6-4AFB-AFEE-4F24BEDEC0CF}">
  <ds:schemaRefs>
    <ds:schemaRef ds:uri="http://schemas.microsoft.com/office/2006/metadata/properties"/>
    <ds:schemaRef ds:uri="http://schemas.microsoft.com/office/infopath/2007/PartnerControls"/>
    <ds:schemaRef ds:uri="cb40a819-c2c9-4d15-af53-9c1dd3c293b5"/>
    <ds:schemaRef ds:uri="230e9df3-be65-4c73-a93b-d1236ebd677e"/>
  </ds:schemaRefs>
</ds:datastoreItem>
</file>

<file path=customXml/itemProps3.xml><?xml version="1.0" encoding="utf-8"?>
<ds:datastoreItem xmlns:ds="http://schemas.openxmlformats.org/officeDocument/2006/customXml" ds:itemID="{48CF5BE0-58F3-44D2-9E45-ABE2E256D65E}">
  <ds:schemaRefs>
    <ds:schemaRef ds:uri="http://schemas.microsoft.com/office/2006/metadata/longProperties"/>
  </ds:schemaRefs>
</ds:datastoreItem>
</file>

<file path=customXml/itemProps4.xml><?xml version="1.0" encoding="utf-8"?>
<ds:datastoreItem xmlns:ds="http://schemas.openxmlformats.org/officeDocument/2006/customXml" ds:itemID="{6F269C3F-7A1F-4D29-A0A4-72D9C86C877B}">
  <ds:schemaRefs>
    <ds:schemaRef ds:uri="http://schemas.microsoft.com/sharepoint/v3/contenttype/forms"/>
  </ds:schemaRefs>
</ds:datastoreItem>
</file>

<file path=customXml/itemProps5.xml><?xml version="1.0" encoding="utf-8"?>
<ds:datastoreItem xmlns:ds="http://schemas.openxmlformats.org/officeDocument/2006/customXml" ds:itemID="{6770531F-0E28-41AA-8979-A9BF5ADC0DB6}">
  <ds:schemaRefs>
    <ds:schemaRef ds:uri="http://schemas.openxmlformats.org/officeDocument/2006/bibliography"/>
  </ds:schemaRefs>
</ds:datastoreItem>
</file>

<file path=customXml/itemProps6.xml><?xml version="1.0" encoding="utf-8"?>
<ds:datastoreItem xmlns:ds="http://schemas.openxmlformats.org/officeDocument/2006/customXml" ds:itemID="{B29472B7-F9AB-4D7F-962B-51F657E5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4097</Words>
  <Characters>23358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27401</CharactersWithSpaces>
  <SharedDoc>false</SharedDoc>
  <HLinks>
    <vt:vector size="132" baseType="variant">
      <vt:variant>
        <vt:i4>4325394</vt:i4>
      </vt:variant>
      <vt:variant>
        <vt:i4>105</vt:i4>
      </vt:variant>
      <vt:variant>
        <vt:i4>0</vt:i4>
      </vt:variant>
      <vt:variant>
        <vt:i4>5</vt:i4>
      </vt:variant>
      <vt:variant>
        <vt:lpwstr>http://www.microsoft.com/japan/exporting</vt:lpwstr>
      </vt:variant>
      <vt:variant>
        <vt:lpwstr/>
      </vt:variant>
      <vt:variant>
        <vt:i4>4522067</vt:i4>
      </vt:variant>
      <vt:variant>
        <vt:i4>102</vt:i4>
      </vt:variant>
      <vt:variant>
        <vt:i4>0</vt:i4>
      </vt:variant>
      <vt:variant>
        <vt:i4>5</vt:i4>
      </vt:variant>
      <vt:variant>
        <vt:lpwstr>http://www.microsoft.com/japan/licensing/product/pur.mspx</vt:lpwstr>
      </vt:variant>
      <vt:variant>
        <vt:lpwstr/>
      </vt:variant>
      <vt:variant>
        <vt:i4>983050</vt:i4>
      </vt:variant>
      <vt:variant>
        <vt:i4>99</vt:i4>
      </vt:variant>
      <vt:variant>
        <vt:i4>0</vt:i4>
      </vt:variant>
      <vt:variant>
        <vt:i4>5</vt:i4>
      </vt:variant>
      <vt:variant>
        <vt:lpwstr>http://www.microsoft.com/japan/licensing/product/pl.mspx</vt:lpwstr>
      </vt:variant>
      <vt:variant>
        <vt:lpwstr/>
      </vt:variant>
      <vt:variant>
        <vt:i4>6225951</vt:i4>
      </vt:variant>
      <vt:variant>
        <vt:i4>96</vt:i4>
      </vt:variant>
      <vt:variant>
        <vt:i4>0</vt:i4>
      </vt:variant>
      <vt:variant>
        <vt:i4>5</vt:i4>
      </vt:variant>
      <vt:variant>
        <vt:lpwstr>http://www.microsoft.com/</vt:lpwstr>
      </vt:variant>
      <vt:variant>
        <vt:lpwstr/>
      </vt:variant>
      <vt:variant>
        <vt:i4>3539005</vt:i4>
      </vt:variant>
      <vt:variant>
        <vt:i4>93</vt:i4>
      </vt:variant>
      <vt:variant>
        <vt:i4>0</vt:i4>
      </vt:variant>
      <vt:variant>
        <vt:i4>5</vt:i4>
      </vt:variant>
      <vt:variant>
        <vt:lpwstr>http://www.microsoft.com/exporting</vt:lpwstr>
      </vt:variant>
      <vt:variant>
        <vt:lpwstr/>
      </vt:variant>
      <vt:variant>
        <vt:i4>5111899</vt:i4>
      </vt:variant>
      <vt:variant>
        <vt:i4>90</vt:i4>
      </vt:variant>
      <vt:variant>
        <vt:i4>0</vt:i4>
      </vt:variant>
      <vt:variant>
        <vt:i4>5</vt:i4>
      </vt:variant>
      <vt:variant>
        <vt:lpwstr>https://licensing.microsoft.com/</vt:lpwstr>
      </vt:variant>
      <vt:variant>
        <vt:lpwstr/>
      </vt:variant>
      <vt:variant>
        <vt:i4>4653087</vt:i4>
      </vt:variant>
      <vt:variant>
        <vt:i4>87</vt:i4>
      </vt:variant>
      <vt:variant>
        <vt:i4>0</vt:i4>
      </vt:variant>
      <vt:variant>
        <vt:i4>5</vt:i4>
      </vt:variant>
      <vt:variant>
        <vt:lpwstr>http://support.microsoft.com/</vt:lpwstr>
      </vt:variant>
      <vt:variant>
        <vt:lpwstr/>
      </vt:variant>
      <vt:variant>
        <vt:i4>6225920</vt:i4>
      </vt:variant>
      <vt:variant>
        <vt:i4>84</vt:i4>
      </vt:variant>
      <vt:variant>
        <vt:i4>0</vt:i4>
      </vt:variant>
      <vt:variant>
        <vt:i4>5</vt:i4>
      </vt:variant>
      <vt:variant>
        <vt:lpwstr>http://www.microsoft.com/licensing/contracts</vt:lpwstr>
      </vt:variant>
      <vt:variant>
        <vt:lpwstr/>
      </vt:variant>
      <vt:variant>
        <vt:i4>6225920</vt:i4>
      </vt:variant>
      <vt:variant>
        <vt:i4>81</vt:i4>
      </vt:variant>
      <vt:variant>
        <vt:i4>0</vt:i4>
      </vt:variant>
      <vt:variant>
        <vt:i4>5</vt:i4>
      </vt:variant>
      <vt:variant>
        <vt:lpwstr>http://www.microsoft.com/licensing/contracts</vt:lpwstr>
      </vt:variant>
      <vt:variant>
        <vt:lpwstr/>
      </vt:variant>
      <vt:variant>
        <vt:i4>1441843</vt:i4>
      </vt:variant>
      <vt:variant>
        <vt:i4>74</vt:i4>
      </vt:variant>
      <vt:variant>
        <vt:i4>0</vt:i4>
      </vt:variant>
      <vt:variant>
        <vt:i4>5</vt:i4>
      </vt:variant>
      <vt:variant>
        <vt:lpwstr/>
      </vt:variant>
      <vt:variant>
        <vt:lpwstr>_Toc261346424</vt:lpwstr>
      </vt:variant>
      <vt:variant>
        <vt:i4>1441843</vt:i4>
      </vt:variant>
      <vt:variant>
        <vt:i4>68</vt:i4>
      </vt:variant>
      <vt:variant>
        <vt:i4>0</vt:i4>
      </vt:variant>
      <vt:variant>
        <vt:i4>5</vt:i4>
      </vt:variant>
      <vt:variant>
        <vt:lpwstr/>
      </vt:variant>
      <vt:variant>
        <vt:lpwstr>_Toc261346423</vt:lpwstr>
      </vt:variant>
      <vt:variant>
        <vt:i4>1441843</vt:i4>
      </vt:variant>
      <vt:variant>
        <vt:i4>62</vt:i4>
      </vt:variant>
      <vt:variant>
        <vt:i4>0</vt:i4>
      </vt:variant>
      <vt:variant>
        <vt:i4>5</vt:i4>
      </vt:variant>
      <vt:variant>
        <vt:lpwstr/>
      </vt:variant>
      <vt:variant>
        <vt:lpwstr>_Toc261346422</vt:lpwstr>
      </vt:variant>
      <vt:variant>
        <vt:i4>1441843</vt:i4>
      </vt:variant>
      <vt:variant>
        <vt:i4>56</vt:i4>
      </vt:variant>
      <vt:variant>
        <vt:i4>0</vt:i4>
      </vt:variant>
      <vt:variant>
        <vt:i4>5</vt:i4>
      </vt:variant>
      <vt:variant>
        <vt:lpwstr/>
      </vt:variant>
      <vt:variant>
        <vt:lpwstr>_Toc261346421</vt:lpwstr>
      </vt:variant>
      <vt:variant>
        <vt:i4>1441843</vt:i4>
      </vt:variant>
      <vt:variant>
        <vt:i4>50</vt:i4>
      </vt:variant>
      <vt:variant>
        <vt:i4>0</vt:i4>
      </vt:variant>
      <vt:variant>
        <vt:i4>5</vt:i4>
      </vt:variant>
      <vt:variant>
        <vt:lpwstr/>
      </vt:variant>
      <vt:variant>
        <vt:lpwstr>_Toc261346420</vt:lpwstr>
      </vt:variant>
      <vt:variant>
        <vt:i4>1376307</vt:i4>
      </vt:variant>
      <vt:variant>
        <vt:i4>44</vt:i4>
      </vt:variant>
      <vt:variant>
        <vt:i4>0</vt:i4>
      </vt:variant>
      <vt:variant>
        <vt:i4>5</vt:i4>
      </vt:variant>
      <vt:variant>
        <vt:lpwstr/>
      </vt:variant>
      <vt:variant>
        <vt:lpwstr>_Toc261346419</vt:lpwstr>
      </vt:variant>
      <vt:variant>
        <vt:i4>1376307</vt:i4>
      </vt:variant>
      <vt:variant>
        <vt:i4>38</vt:i4>
      </vt:variant>
      <vt:variant>
        <vt:i4>0</vt:i4>
      </vt:variant>
      <vt:variant>
        <vt:i4>5</vt:i4>
      </vt:variant>
      <vt:variant>
        <vt:lpwstr/>
      </vt:variant>
      <vt:variant>
        <vt:lpwstr>_Toc261346418</vt:lpwstr>
      </vt:variant>
      <vt:variant>
        <vt:i4>1376307</vt:i4>
      </vt:variant>
      <vt:variant>
        <vt:i4>32</vt:i4>
      </vt:variant>
      <vt:variant>
        <vt:i4>0</vt:i4>
      </vt:variant>
      <vt:variant>
        <vt:i4>5</vt:i4>
      </vt:variant>
      <vt:variant>
        <vt:lpwstr/>
      </vt:variant>
      <vt:variant>
        <vt:lpwstr>_Toc261346417</vt:lpwstr>
      </vt:variant>
      <vt:variant>
        <vt:i4>1376307</vt:i4>
      </vt:variant>
      <vt:variant>
        <vt:i4>26</vt:i4>
      </vt:variant>
      <vt:variant>
        <vt:i4>0</vt:i4>
      </vt:variant>
      <vt:variant>
        <vt:i4>5</vt:i4>
      </vt:variant>
      <vt:variant>
        <vt:lpwstr/>
      </vt:variant>
      <vt:variant>
        <vt:lpwstr>_Toc261346416</vt:lpwstr>
      </vt:variant>
      <vt:variant>
        <vt:i4>1376307</vt:i4>
      </vt:variant>
      <vt:variant>
        <vt:i4>20</vt:i4>
      </vt:variant>
      <vt:variant>
        <vt:i4>0</vt:i4>
      </vt:variant>
      <vt:variant>
        <vt:i4>5</vt:i4>
      </vt:variant>
      <vt:variant>
        <vt:lpwstr/>
      </vt:variant>
      <vt:variant>
        <vt:lpwstr>_Toc261346415</vt:lpwstr>
      </vt:variant>
      <vt:variant>
        <vt:i4>1376307</vt:i4>
      </vt:variant>
      <vt:variant>
        <vt:i4>14</vt:i4>
      </vt:variant>
      <vt:variant>
        <vt:i4>0</vt:i4>
      </vt:variant>
      <vt:variant>
        <vt:i4>5</vt:i4>
      </vt:variant>
      <vt:variant>
        <vt:lpwstr/>
      </vt:variant>
      <vt:variant>
        <vt:lpwstr>_Toc261346414</vt:lpwstr>
      </vt:variant>
      <vt:variant>
        <vt:i4>1376307</vt:i4>
      </vt:variant>
      <vt:variant>
        <vt:i4>8</vt:i4>
      </vt:variant>
      <vt:variant>
        <vt:i4>0</vt:i4>
      </vt:variant>
      <vt:variant>
        <vt:i4>5</vt:i4>
      </vt:variant>
      <vt:variant>
        <vt:lpwstr/>
      </vt:variant>
      <vt:variant>
        <vt:lpwstr>_Toc261346413</vt:lpwstr>
      </vt:variant>
      <vt:variant>
        <vt:i4>1376307</vt:i4>
      </vt:variant>
      <vt:variant>
        <vt:i4>2</vt:i4>
      </vt:variant>
      <vt:variant>
        <vt:i4>0</vt:i4>
      </vt:variant>
      <vt:variant>
        <vt:i4>5</vt:i4>
      </vt:variant>
      <vt:variant>
        <vt:lpwstr/>
      </vt:variant>
      <vt:variant>
        <vt:lpwstr>_Toc261346412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Tessa Woods (Launch Consulting)</cp:lastModifiedBy>
  <cp:revision>27</cp:revision>
  <cp:lastPrinted>2017-01-18T13:12:00Z</cp:lastPrinted>
  <dcterms:created xsi:type="dcterms:W3CDTF">2017-01-18T06:03:00Z</dcterms:created>
  <dcterms:modified xsi:type="dcterms:W3CDTF">2017-01-31T19:30:00Z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MV4J3JENT5FT-1-951</vt:lpwstr>
  </property>
  <property fmtid="{D5CDD505-2E9C-101B-9397-08002B2CF9AE}" pid="3" name="_dlc_DocIdItemGuid">
    <vt:lpwstr>1fecc66f-295b-4eb4-91dd-a261a9e4ce0f</vt:lpwstr>
  </property>
  <property fmtid="{D5CDD505-2E9C-101B-9397-08002B2CF9AE}" pid="4" name="_dlc_DocIdUrl">
    <vt:lpwstr>http://sharepoint/sites/WWLPrefresh/_layouts/DocIdRedir.aspx?ID=MV4J3JENT5FT-1-951, MV4J3JENT5FT-1-951</vt:lpwstr>
  </property>
  <property fmtid="{D5CDD505-2E9C-101B-9397-08002B2CF9AE}" pid="5" name="ContentTypeId">
    <vt:lpwstr>0x01010075C52D865D0CB4498EEC55A294A1530F</vt:lpwstr>
  </property>
  <property fmtid="{D5CDD505-2E9C-101B-9397-08002B2CF9AE}" pid="6" name="LCA Fiscal Year">
    <vt:lpwstr>17;#Fiscal Year 2016|3a14a61a-c35e-44de-8ad5-95b6c87d55bf</vt:lpwstr>
  </property>
  <property fmtid="{D5CDD505-2E9C-101B-9397-08002B2CF9AE}" pid="7" name="lcaregion">
    <vt:lpwstr>9;#United States Area|ea9d7a8d-1619-469c-b0a4-ef1cd3c07355</vt:lpwstr>
  </property>
  <property fmtid="{D5CDD505-2E9C-101B-9397-08002B2CF9AE}" pid="8" name="lcapracticegroup">
    <vt:lpwstr>12;#Worldwide Sales Group (LCA)|1d16be35-564c-4ad3-8159-4e0ae4cdba01</vt:lpwstr>
  </property>
</Properties>
</file>