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D0DE4" w14:textId="77777777" w:rsidR="00641517" w:rsidRDefault="00162C59" w:rsidP="00162C59">
      <w:pPr>
        <w:jc w:val="center"/>
        <w:rPr>
          <w:rFonts w:ascii="Times New Roman" w:hAnsi="Times New Roman" w:cs="Times New Roman"/>
          <w:b/>
          <w:sz w:val="28"/>
          <w:szCs w:val="28"/>
          <w:u w:val="single"/>
        </w:rPr>
      </w:pPr>
      <w:r w:rsidRPr="00162C59">
        <w:rPr>
          <w:rFonts w:ascii="Times New Roman" w:hAnsi="Times New Roman" w:cs="Times New Roman"/>
          <w:b/>
          <w:sz w:val="28"/>
          <w:szCs w:val="28"/>
          <w:u w:val="single"/>
        </w:rPr>
        <w:t>Licenční smlouva</w:t>
      </w:r>
    </w:p>
    <w:p w14:paraId="2F3AD5CC" w14:textId="77777777" w:rsidR="00305645" w:rsidRPr="00305645" w:rsidRDefault="00162C59" w:rsidP="00162C59">
      <w:pPr>
        <w:spacing w:line="360" w:lineRule="auto"/>
        <w:jc w:val="both"/>
        <w:rPr>
          <w:rFonts w:ascii="Times New Roman" w:hAnsi="Times New Roman" w:cs="Times New Roman"/>
          <w:sz w:val="24"/>
          <w:szCs w:val="24"/>
        </w:rPr>
      </w:pPr>
      <w:r w:rsidRPr="00305645">
        <w:rPr>
          <w:rFonts w:ascii="Times New Roman" w:hAnsi="Times New Roman" w:cs="Times New Roman"/>
          <w:sz w:val="24"/>
          <w:szCs w:val="24"/>
        </w:rPr>
        <w:t>uzavřená v souladu s ustanoveními § 2358 a následujících zákona č. 89/2012</w:t>
      </w:r>
      <w:r w:rsidR="005F1B1A">
        <w:rPr>
          <w:rFonts w:ascii="Times New Roman" w:hAnsi="Times New Roman" w:cs="Times New Roman"/>
          <w:sz w:val="24"/>
          <w:szCs w:val="24"/>
        </w:rPr>
        <w:t xml:space="preserve"> Sb.</w:t>
      </w:r>
      <w:r w:rsidRPr="00305645">
        <w:rPr>
          <w:rFonts w:ascii="Times New Roman" w:hAnsi="Times New Roman" w:cs="Times New Roman"/>
          <w:sz w:val="24"/>
          <w:szCs w:val="24"/>
        </w:rPr>
        <w:t xml:space="preserve"> občanský zákoník mezi těmito smluvními stranami</w:t>
      </w:r>
      <w:r w:rsidR="00305645" w:rsidRPr="00305645">
        <w:rPr>
          <w:rFonts w:ascii="Times New Roman" w:hAnsi="Times New Roman" w:cs="Times New Roman"/>
          <w:sz w:val="24"/>
          <w:szCs w:val="24"/>
        </w:rPr>
        <w:t>:</w:t>
      </w:r>
    </w:p>
    <w:p w14:paraId="7F28B125" w14:textId="77777777" w:rsidR="00305645" w:rsidRPr="00305645" w:rsidRDefault="00305645" w:rsidP="00305645">
      <w:pPr>
        <w:spacing w:after="0"/>
        <w:outlineLvl w:val="0"/>
        <w:rPr>
          <w:rFonts w:ascii="Times New Roman" w:hAnsi="Times New Roman" w:cs="Times New Roman"/>
          <w:sz w:val="24"/>
          <w:szCs w:val="24"/>
        </w:rPr>
      </w:pPr>
      <w:r w:rsidRPr="00305645">
        <w:rPr>
          <w:rFonts w:ascii="Times New Roman" w:hAnsi="Times New Roman" w:cs="Times New Roman"/>
          <w:bCs/>
          <w:sz w:val="24"/>
          <w:szCs w:val="24"/>
        </w:rPr>
        <w:t>Nabyvatel:</w:t>
      </w:r>
      <w:r w:rsidRPr="00305645">
        <w:rPr>
          <w:rFonts w:ascii="Times New Roman" w:hAnsi="Times New Roman" w:cs="Times New Roman"/>
          <w:b/>
          <w:bCs/>
          <w:sz w:val="24"/>
          <w:szCs w:val="24"/>
        </w:rPr>
        <w:t xml:space="preserve"> Nemocnice </w:t>
      </w:r>
      <w:r w:rsidR="002C3377">
        <w:rPr>
          <w:rFonts w:ascii="Times New Roman" w:hAnsi="Times New Roman" w:cs="Times New Roman"/>
          <w:b/>
          <w:bCs/>
          <w:sz w:val="24"/>
          <w:szCs w:val="24"/>
        </w:rPr>
        <w:t>N</w:t>
      </w:r>
      <w:r w:rsidRPr="00305645">
        <w:rPr>
          <w:rFonts w:ascii="Times New Roman" w:hAnsi="Times New Roman" w:cs="Times New Roman"/>
          <w:b/>
          <w:bCs/>
          <w:sz w:val="24"/>
          <w:szCs w:val="24"/>
        </w:rPr>
        <w:t>a Homolce</w:t>
      </w:r>
    </w:p>
    <w:p w14:paraId="5720E7EE" w14:textId="77777777" w:rsidR="00305645" w:rsidRPr="00305645" w:rsidRDefault="00305645" w:rsidP="00305645">
      <w:pPr>
        <w:spacing w:after="0"/>
        <w:rPr>
          <w:rFonts w:ascii="Times New Roman" w:hAnsi="Times New Roman" w:cs="Times New Roman"/>
          <w:sz w:val="24"/>
          <w:szCs w:val="24"/>
        </w:rPr>
      </w:pPr>
      <w:r w:rsidRPr="00305645">
        <w:rPr>
          <w:rFonts w:ascii="Times New Roman" w:hAnsi="Times New Roman" w:cs="Times New Roman"/>
          <w:sz w:val="24"/>
          <w:szCs w:val="24"/>
        </w:rPr>
        <w:t>se sídlem  Roentgenova 37/2, 150 30  Praha 5 - Motol</w:t>
      </w:r>
    </w:p>
    <w:p w14:paraId="246E694F" w14:textId="5CE2B610" w:rsidR="00305645" w:rsidRPr="00305645" w:rsidRDefault="00305645" w:rsidP="00305645">
      <w:pPr>
        <w:spacing w:after="0"/>
        <w:rPr>
          <w:rFonts w:ascii="Times New Roman" w:hAnsi="Times New Roman" w:cs="Times New Roman"/>
          <w:sz w:val="24"/>
          <w:szCs w:val="24"/>
        </w:rPr>
      </w:pPr>
      <w:r w:rsidRPr="00305645">
        <w:rPr>
          <w:rFonts w:ascii="Times New Roman" w:hAnsi="Times New Roman" w:cs="Times New Roman"/>
          <w:sz w:val="24"/>
          <w:szCs w:val="24"/>
        </w:rPr>
        <w:t xml:space="preserve">Zastoupena:  </w:t>
      </w:r>
      <w:r w:rsidR="008B55B1">
        <w:rPr>
          <w:rFonts w:ascii="Times New Roman" w:hAnsi="Times New Roman" w:cs="Times New Roman"/>
          <w:sz w:val="24"/>
          <w:szCs w:val="24"/>
        </w:rPr>
        <w:t>Mgr. Michalem Koppem, vedoucím ONVZ</w:t>
      </w:r>
      <w:r w:rsidRPr="00305645">
        <w:rPr>
          <w:rFonts w:ascii="Times New Roman" w:hAnsi="Times New Roman" w:cs="Times New Roman"/>
          <w:sz w:val="24"/>
          <w:szCs w:val="24"/>
        </w:rPr>
        <w:t xml:space="preserve"> </w:t>
      </w:r>
    </w:p>
    <w:p w14:paraId="3ACAB8FE" w14:textId="77777777" w:rsidR="00305645" w:rsidRPr="00305645" w:rsidRDefault="00305645" w:rsidP="00305645">
      <w:pPr>
        <w:spacing w:after="0"/>
        <w:rPr>
          <w:rFonts w:ascii="Times New Roman" w:hAnsi="Times New Roman" w:cs="Times New Roman"/>
          <w:sz w:val="24"/>
          <w:szCs w:val="24"/>
        </w:rPr>
      </w:pPr>
      <w:r w:rsidRPr="00305645">
        <w:rPr>
          <w:rFonts w:ascii="Times New Roman" w:hAnsi="Times New Roman" w:cs="Times New Roman"/>
          <w:sz w:val="24"/>
          <w:szCs w:val="24"/>
        </w:rPr>
        <w:t>IČO: 00023884</w:t>
      </w:r>
    </w:p>
    <w:p w14:paraId="0E27B215" w14:textId="77777777" w:rsidR="00305645" w:rsidRPr="00305645" w:rsidRDefault="00305645" w:rsidP="00305645">
      <w:pPr>
        <w:spacing w:after="0"/>
        <w:rPr>
          <w:rFonts w:ascii="Times New Roman" w:hAnsi="Times New Roman" w:cs="Times New Roman"/>
          <w:sz w:val="24"/>
          <w:szCs w:val="24"/>
        </w:rPr>
      </w:pPr>
      <w:r w:rsidRPr="00305645">
        <w:rPr>
          <w:rFonts w:ascii="Times New Roman" w:hAnsi="Times New Roman" w:cs="Times New Roman"/>
          <w:sz w:val="24"/>
          <w:szCs w:val="24"/>
        </w:rPr>
        <w:t>DIČ: CZ00023884</w:t>
      </w:r>
    </w:p>
    <w:p w14:paraId="23E77FE3" w14:textId="77777777" w:rsidR="00305645" w:rsidRPr="00305645" w:rsidRDefault="00305645" w:rsidP="00305645">
      <w:pPr>
        <w:pStyle w:val="TSdajeosmluvnstran"/>
        <w:spacing w:before="60"/>
        <w:ind w:left="2268" w:hanging="2268"/>
        <w:rPr>
          <w:rFonts w:ascii="Times New Roman" w:hAnsi="Times New Roman"/>
          <w:sz w:val="24"/>
        </w:rPr>
      </w:pPr>
      <w:r w:rsidRPr="00305645">
        <w:rPr>
          <w:rFonts w:ascii="Times New Roman" w:hAnsi="Times New Roman"/>
          <w:sz w:val="24"/>
        </w:rPr>
        <w:t xml:space="preserve">bankovní spojení: ČSOB, a.s., číslo účtu: 5012-1816024093/0300 </w:t>
      </w:r>
    </w:p>
    <w:p w14:paraId="0321DA0C" w14:textId="77777777" w:rsidR="00305645" w:rsidRPr="00305645" w:rsidRDefault="00305645" w:rsidP="00305645">
      <w:pPr>
        <w:spacing w:after="0"/>
        <w:rPr>
          <w:rFonts w:ascii="Times New Roman" w:hAnsi="Times New Roman" w:cs="Times New Roman"/>
          <w:sz w:val="24"/>
          <w:szCs w:val="24"/>
        </w:rPr>
      </w:pPr>
      <w:r w:rsidRPr="00305645">
        <w:rPr>
          <w:rFonts w:ascii="Times New Roman" w:hAnsi="Times New Roman" w:cs="Times New Roman"/>
          <w:sz w:val="24"/>
          <w:szCs w:val="24"/>
        </w:rPr>
        <w:t>(dále jen „nabyvatel“)</w:t>
      </w:r>
    </w:p>
    <w:p w14:paraId="44B6A2C6" w14:textId="77777777" w:rsidR="00305645" w:rsidRPr="00305645" w:rsidRDefault="00305645" w:rsidP="00305645">
      <w:pPr>
        <w:spacing w:before="120" w:after="0"/>
        <w:rPr>
          <w:rFonts w:ascii="Times New Roman" w:hAnsi="Times New Roman" w:cs="Times New Roman"/>
          <w:sz w:val="24"/>
          <w:szCs w:val="24"/>
        </w:rPr>
      </w:pPr>
    </w:p>
    <w:p w14:paraId="2D8F6A6A" w14:textId="77777777" w:rsidR="00305645" w:rsidRPr="00305645" w:rsidRDefault="00305645" w:rsidP="00305645">
      <w:pPr>
        <w:spacing w:before="120" w:after="0"/>
        <w:rPr>
          <w:rFonts w:ascii="Times New Roman" w:hAnsi="Times New Roman" w:cs="Times New Roman"/>
          <w:sz w:val="24"/>
          <w:szCs w:val="24"/>
        </w:rPr>
      </w:pPr>
      <w:r w:rsidRPr="00305645">
        <w:rPr>
          <w:rFonts w:ascii="Times New Roman" w:hAnsi="Times New Roman" w:cs="Times New Roman"/>
          <w:sz w:val="24"/>
          <w:szCs w:val="24"/>
        </w:rPr>
        <w:t xml:space="preserve">a </w:t>
      </w:r>
    </w:p>
    <w:p w14:paraId="71F21EE0" w14:textId="77777777" w:rsidR="00305645" w:rsidRPr="00305645" w:rsidRDefault="00305645" w:rsidP="00305645">
      <w:pPr>
        <w:spacing w:before="120" w:after="0"/>
        <w:rPr>
          <w:rFonts w:ascii="Times New Roman" w:hAnsi="Times New Roman" w:cs="Times New Roman"/>
          <w:b/>
          <w:sz w:val="24"/>
          <w:szCs w:val="24"/>
        </w:rPr>
      </w:pPr>
    </w:p>
    <w:p w14:paraId="70976451" w14:textId="3EF564C4" w:rsidR="00305645" w:rsidRPr="00305645" w:rsidRDefault="00305645" w:rsidP="00305645">
      <w:pPr>
        <w:spacing w:after="0"/>
        <w:outlineLvl w:val="0"/>
        <w:rPr>
          <w:rFonts w:ascii="Times New Roman" w:hAnsi="Times New Roman" w:cs="Times New Roman"/>
          <w:b/>
          <w:sz w:val="24"/>
          <w:szCs w:val="24"/>
        </w:rPr>
      </w:pPr>
      <w:r w:rsidRPr="00305645">
        <w:rPr>
          <w:rFonts w:ascii="Times New Roman" w:hAnsi="Times New Roman" w:cs="Times New Roman"/>
          <w:sz w:val="24"/>
          <w:szCs w:val="24"/>
        </w:rPr>
        <w:t>Poskytovatel:</w:t>
      </w:r>
      <w:r w:rsidRPr="00305645">
        <w:rPr>
          <w:rFonts w:ascii="Times New Roman" w:hAnsi="Times New Roman" w:cs="Times New Roman"/>
          <w:b/>
          <w:sz w:val="24"/>
          <w:szCs w:val="24"/>
        </w:rPr>
        <w:t xml:space="preserve"> </w:t>
      </w:r>
      <w:r w:rsidR="0060095F">
        <w:rPr>
          <w:rFonts w:ascii="Times New Roman" w:hAnsi="Times New Roman" w:cs="Times New Roman"/>
          <w:b/>
          <w:sz w:val="24"/>
          <w:szCs w:val="24"/>
        </w:rPr>
        <w:t>Simac Technik ČR, a.s.</w:t>
      </w:r>
    </w:p>
    <w:p w14:paraId="7AF07BD2" w14:textId="47F88C6B" w:rsidR="00305645" w:rsidRPr="00305645" w:rsidRDefault="00305645" w:rsidP="00305645">
      <w:pPr>
        <w:spacing w:after="0"/>
        <w:rPr>
          <w:rFonts w:ascii="Times New Roman" w:hAnsi="Times New Roman" w:cs="Times New Roman"/>
          <w:sz w:val="24"/>
          <w:szCs w:val="24"/>
        </w:rPr>
      </w:pPr>
      <w:r w:rsidRPr="00305645">
        <w:rPr>
          <w:rFonts w:ascii="Times New Roman" w:hAnsi="Times New Roman" w:cs="Times New Roman"/>
          <w:sz w:val="24"/>
          <w:szCs w:val="24"/>
        </w:rPr>
        <w:t xml:space="preserve">se sídlem </w:t>
      </w:r>
      <w:r w:rsidR="0060095F">
        <w:rPr>
          <w:rFonts w:ascii="Times New Roman" w:hAnsi="Times New Roman" w:cs="Times New Roman"/>
          <w:sz w:val="24"/>
          <w:szCs w:val="24"/>
        </w:rPr>
        <w:t>Radlická 740/113c, 15800 Praha 5</w:t>
      </w:r>
    </w:p>
    <w:p w14:paraId="76CB25FD" w14:textId="46C5FD3A" w:rsidR="00305645" w:rsidRPr="00305645" w:rsidRDefault="00305645" w:rsidP="00305645">
      <w:pPr>
        <w:spacing w:after="0"/>
        <w:rPr>
          <w:rFonts w:ascii="Times New Roman" w:hAnsi="Times New Roman" w:cs="Times New Roman"/>
          <w:sz w:val="24"/>
          <w:szCs w:val="24"/>
        </w:rPr>
      </w:pPr>
      <w:r w:rsidRPr="00305645">
        <w:rPr>
          <w:rFonts w:ascii="Times New Roman" w:hAnsi="Times New Roman" w:cs="Times New Roman"/>
          <w:sz w:val="24"/>
          <w:szCs w:val="24"/>
        </w:rPr>
        <w:t xml:space="preserve">zapsaná v obchodním rejstříku vedeném Městským soudem v Praze, oddíl </w:t>
      </w:r>
      <w:r w:rsidR="0060095F">
        <w:rPr>
          <w:rFonts w:ascii="Times New Roman" w:hAnsi="Times New Roman" w:cs="Times New Roman"/>
          <w:sz w:val="24"/>
          <w:szCs w:val="24"/>
        </w:rPr>
        <w:t>B,</w:t>
      </w:r>
      <w:r w:rsidRPr="00305645">
        <w:rPr>
          <w:rFonts w:ascii="Times New Roman" w:hAnsi="Times New Roman" w:cs="Times New Roman"/>
          <w:sz w:val="24"/>
          <w:szCs w:val="24"/>
        </w:rPr>
        <w:t xml:space="preserve"> vložka </w:t>
      </w:r>
      <w:r w:rsidR="0060095F">
        <w:rPr>
          <w:rFonts w:ascii="Times New Roman" w:hAnsi="Times New Roman" w:cs="Times New Roman"/>
          <w:sz w:val="24"/>
          <w:szCs w:val="24"/>
        </w:rPr>
        <w:t>3190</w:t>
      </w:r>
    </w:p>
    <w:p w14:paraId="6A7D611B" w14:textId="4AB294FA" w:rsidR="00305645" w:rsidRPr="00305645" w:rsidRDefault="00305645" w:rsidP="00305645">
      <w:pPr>
        <w:spacing w:after="0"/>
        <w:rPr>
          <w:rFonts w:ascii="Times New Roman" w:hAnsi="Times New Roman" w:cs="Times New Roman"/>
          <w:sz w:val="24"/>
          <w:szCs w:val="24"/>
        </w:rPr>
      </w:pPr>
      <w:r w:rsidRPr="00305645">
        <w:rPr>
          <w:rFonts w:ascii="Times New Roman" w:hAnsi="Times New Roman" w:cs="Times New Roman"/>
          <w:sz w:val="24"/>
          <w:szCs w:val="24"/>
        </w:rPr>
        <w:t xml:space="preserve">Zastoupena: </w:t>
      </w:r>
      <w:r w:rsidR="00EE4CF2">
        <w:rPr>
          <w:rFonts w:ascii="Times New Roman" w:hAnsi="Times New Roman" w:cs="Times New Roman"/>
          <w:sz w:val="24"/>
          <w:szCs w:val="24"/>
        </w:rPr>
        <w:t>Ing. Dušan Bruoth, předseda představenstva, a Ing. Jaroslavem Šteflem, členem představenstva</w:t>
      </w:r>
    </w:p>
    <w:p w14:paraId="67032EEF" w14:textId="5D84CCDD" w:rsidR="00305645" w:rsidRPr="00305645" w:rsidRDefault="00305645" w:rsidP="00305645">
      <w:pPr>
        <w:spacing w:after="0"/>
        <w:rPr>
          <w:rFonts w:ascii="Times New Roman" w:hAnsi="Times New Roman" w:cs="Times New Roman"/>
          <w:sz w:val="24"/>
          <w:szCs w:val="24"/>
        </w:rPr>
      </w:pPr>
      <w:r w:rsidRPr="00305645">
        <w:rPr>
          <w:rFonts w:ascii="Times New Roman" w:hAnsi="Times New Roman" w:cs="Times New Roman"/>
          <w:sz w:val="24"/>
          <w:szCs w:val="24"/>
        </w:rPr>
        <w:t xml:space="preserve">IČO: </w:t>
      </w:r>
      <w:r w:rsidR="00EE4CF2">
        <w:rPr>
          <w:rFonts w:ascii="Times New Roman" w:hAnsi="Times New Roman" w:cs="Times New Roman"/>
          <w:sz w:val="24"/>
          <w:szCs w:val="24"/>
        </w:rPr>
        <w:t>63079496</w:t>
      </w:r>
    </w:p>
    <w:p w14:paraId="002C76C5" w14:textId="727C8A57" w:rsidR="00305645" w:rsidRPr="00305645" w:rsidRDefault="00305645" w:rsidP="00305645">
      <w:pPr>
        <w:spacing w:after="0"/>
        <w:rPr>
          <w:rFonts w:ascii="Times New Roman" w:hAnsi="Times New Roman" w:cs="Times New Roman"/>
          <w:sz w:val="24"/>
          <w:szCs w:val="24"/>
        </w:rPr>
      </w:pPr>
      <w:r w:rsidRPr="00305645">
        <w:rPr>
          <w:rFonts w:ascii="Times New Roman" w:hAnsi="Times New Roman" w:cs="Times New Roman"/>
          <w:sz w:val="24"/>
          <w:szCs w:val="24"/>
        </w:rPr>
        <w:t xml:space="preserve">DIČ: </w:t>
      </w:r>
      <w:r w:rsidR="00EE4CF2">
        <w:rPr>
          <w:rFonts w:ascii="Times New Roman" w:hAnsi="Times New Roman" w:cs="Times New Roman"/>
          <w:sz w:val="24"/>
          <w:szCs w:val="24"/>
        </w:rPr>
        <w:t>CZ63079496</w:t>
      </w:r>
    </w:p>
    <w:p w14:paraId="44D52547" w14:textId="361548AF" w:rsidR="005A2C5E" w:rsidRDefault="00305645" w:rsidP="00305645">
      <w:pPr>
        <w:pStyle w:val="TSdajeosmluvnstran"/>
        <w:spacing w:before="60" w:after="0"/>
        <w:ind w:left="2268" w:hanging="2268"/>
        <w:rPr>
          <w:rFonts w:ascii="Times New Roman" w:hAnsi="Times New Roman"/>
          <w:sz w:val="24"/>
        </w:rPr>
      </w:pPr>
      <w:r w:rsidRPr="00305645">
        <w:rPr>
          <w:rFonts w:ascii="Times New Roman" w:hAnsi="Times New Roman"/>
          <w:sz w:val="24"/>
        </w:rPr>
        <w:t xml:space="preserve">bankovní spojení: </w:t>
      </w:r>
      <w:r w:rsidR="00EE4CF2">
        <w:rPr>
          <w:rFonts w:ascii="Times New Roman" w:hAnsi="Times New Roman"/>
          <w:sz w:val="24"/>
        </w:rPr>
        <w:t>Československá obchodní banka, a.s.</w:t>
      </w:r>
      <w:r w:rsidRPr="00305645">
        <w:rPr>
          <w:rFonts w:ascii="Times New Roman" w:hAnsi="Times New Roman"/>
          <w:sz w:val="24"/>
        </w:rPr>
        <w:t xml:space="preserve"> </w:t>
      </w:r>
    </w:p>
    <w:p w14:paraId="739E691F" w14:textId="0A9D59A5" w:rsidR="00305645" w:rsidRPr="00305645" w:rsidRDefault="00305645" w:rsidP="00305645">
      <w:pPr>
        <w:pStyle w:val="TSdajeosmluvnstran"/>
        <w:spacing w:before="60" w:after="0"/>
        <w:ind w:left="2268" w:hanging="2268"/>
        <w:rPr>
          <w:rFonts w:ascii="Times New Roman" w:hAnsi="Times New Roman"/>
          <w:sz w:val="24"/>
        </w:rPr>
      </w:pPr>
      <w:r w:rsidRPr="00305645">
        <w:rPr>
          <w:rFonts w:ascii="Times New Roman" w:hAnsi="Times New Roman"/>
          <w:sz w:val="24"/>
        </w:rPr>
        <w:t>číslo účtu</w:t>
      </w:r>
      <w:r w:rsidR="00083C43">
        <w:rPr>
          <w:rFonts w:ascii="Times New Roman" w:hAnsi="Times New Roman"/>
          <w:sz w:val="24"/>
        </w:rPr>
        <w:t>: 8010-0616133653/0300</w:t>
      </w:r>
    </w:p>
    <w:p w14:paraId="1F33B483" w14:textId="77777777" w:rsidR="00305645" w:rsidRDefault="00305645" w:rsidP="00305645">
      <w:pPr>
        <w:spacing w:before="120"/>
        <w:rPr>
          <w:rFonts w:ascii="Times New Roman" w:hAnsi="Times New Roman" w:cs="Times New Roman"/>
          <w:sz w:val="24"/>
          <w:szCs w:val="24"/>
        </w:rPr>
      </w:pPr>
      <w:r w:rsidRPr="00305645">
        <w:rPr>
          <w:rFonts w:ascii="Times New Roman" w:hAnsi="Times New Roman" w:cs="Times New Roman"/>
          <w:sz w:val="24"/>
          <w:szCs w:val="24"/>
        </w:rPr>
        <w:t>(dále jen „poskytovatel“) takto:</w:t>
      </w:r>
    </w:p>
    <w:p w14:paraId="1DA0CEF2" w14:textId="77777777" w:rsidR="001403A3" w:rsidRDefault="001403A3" w:rsidP="00305645">
      <w:pPr>
        <w:spacing w:before="120"/>
        <w:rPr>
          <w:rFonts w:ascii="Times New Roman" w:hAnsi="Times New Roman" w:cs="Times New Roman"/>
          <w:sz w:val="24"/>
          <w:szCs w:val="24"/>
        </w:rPr>
      </w:pPr>
    </w:p>
    <w:p w14:paraId="6DC16D6D" w14:textId="77777777" w:rsidR="00083C43" w:rsidRDefault="00083C43" w:rsidP="00305645">
      <w:pPr>
        <w:spacing w:before="120"/>
        <w:rPr>
          <w:rFonts w:ascii="Times New Roman" w:hAnsi="Times New Roman" w:cs="Times New Roman"/>
          <w:sz w:val="24"/>
          <w:szCs w:val="24"/>
        </w:rPr>
      </w:pPr>
    </w:p>
    <w:p w14:paraId="308FF1E0" w14:textId="77777777" w:rsidR="00083C43" w:rsidRDefault="00083C43" w:rsidP="00305645">
      <w:pPr>
        <w:spacing w:before="120"/>
        <w:rPr>
          <w:rFonts w:ascii="Times New Roman" w:hAnsi="Times New Roman" w:cs="Times New Roman"/>
          <w:sz w:val="24"/>
          <w:szCs w:val="24"/>
        </w:rPr>
      </w:pPr>
    </w:p>
    <w:p w14:paraId="1D3EDAD8" w14:textId="77777777" w:rsidR="00083C43" w:rsidRDefault="00083C43" w:rsidP="00305645">
      <w:pPr>
        <w:spacing w:before="120"/>
        <w:rPr>
          <w:rFonts w:ascii="Times New Roman" w:hAnsi="Times New Roman" w:cs="Times New Roman"/>
          <w:sz w:val="24"/>
          <w:szCs w:val="24"/>
        </w:rPr>
      </w:pPr>
    </w:p>
    <w:p w14:paraId="3D2FED16" w14:textId="77777777" w:rsidR="001403A3" w:rsidRPr="001403A3" w:rsidRDefault="001403A3" w:rsidP="001403A3">
      <w:pPr>
        <w:spacing w:before="120"/>
        <w:jc w:val="center"/>
        <w:rPr>
          <w:rFonts w:ascii="Times New Roman" w:hAnsi="Times New Roman" w:cs="Times New Roman"/>
          <w:b/>
          <w:sz w:val="24"/>
          <w:szCs w:val="24"/>
        </w:rPr>
      </w:pPr>
      <w:r w:rsidRPr="001403A3">
        <w:rPr>
          <w:rFonts w:ascii="Times New Roman" w:hAnsi="Times New Roman" w:cs="Times New Roman"/>
          <w:b/>
          <w:sz w:val="24"/>
          <w:szCs w:val="24"/>
        </w:rPr>
        <w:t>Článek I.</w:t>
      </w:r>
    </w:p>
    <w:p w14:paraId="72A7304B" w14:textId="77777777" w:rsidR="001403A3" w:rsidRPr="004B7099" w:rsidRDefault="001403A3" w:rsidP="001403A3">
      <w:pPr>
        <w:spacing w:before="120"/>
        <w:jc w:val="center"/>
        <w:rPr>
          <w:rFonts w:ascii="Times New Roman" w:hAnsi="Times New Roman" w:cs="Times New Roman"/>
          <w:b/>
          <w:sz w:val="24"/>
          <w:szCs w:val="24"/>
          <w:u w:val="single"/>
        </w:rPr>
      </w:pPr>
      <w:r w:rsidRPr="004B7099">
        <w:rPr>
          <w:rFonts w:ascii="Times New Roman" w:hAnsi="Times New Roman" w:cs="Times New Roman"/>
          <w:b/>
          <w:sz w:val="24"/>
          <w:szCs w:val="24"/>
          <w:u w:val="single"/>
        </w:rPr>
        <w:t>Předmět smlouvy</w:t>
      </w:r>
    </w:p>
    <w:p w14:paraId="12F49C25" w14:textId="25119FDA" w:rsidR="009F5561" w:rsidRPr="004B7099" w:rsidRDefault="009F5561" w:rsidP="004B7099">
      <w:pPr>
        <w:numPr>
          <w:ilvl w:val="0"/>
          <w:numId w:val="1"/>
        </w:numPr>
        <w:overflowPunct w:val="0"/>
        <w:autoSpaceDE w:val="0"/>
        <w:autoSpaceDN w:val="0"/>
        <w:adjustRightInd w:val="0"/>
        <w:spacing w:before="120" w:after="60" w:line="360" w:lineRule="auto"/>
        <w:jc w:val="both"/>
        <w:textAlignment w:val="baseline"/>
        <w:rPr>
          <w:rFonts w:ascii="Times New Roman" w:hAnsi="Times New Roman" w:cs="Times New Roman"/>
          <w:sz w:val="24"/>
          <w:szCs w:val="24"/>
        </w:rPr>
      </w:pPr>
      <w:r w:rsidRPr="009F5561">
        <w:rPr>
          <w:rFonts w:ascii="Times New Roman" w:hAnsi="Times New Roman" w:cs="Times New Roman"/>
          <w:sz w:val="24"/>
          <w:szCs w:val="24"/>
        </w:rPr>
        <w:t xml:space="preserve">Poskytovatel licence touto smlouvou a za podmínek v ní dohodnutých poskytuje nabyvateli SW a licenci programu </w:t>
      </w:r>
      <w:r w:rsidR="006A2288">
        <w:rPr>
          <w:rFonts w:ascii="Times New Roman" w:hAnsi="Times New Roman" w:cs="Times New Roman"/>
          <w:sz w:val="24"/>
          <w:szCs w:val="24"/>
        </w:rPr>
        <w:t xml:space="preserve">Cisco AnyConnect VPN </w:t>
      </w:r>
      <w:r w:rsidRPr="009F5561">
        <w:rPr>
          <w:rFonts w:ascii="Times New Roman" w:hAnsi="Times New Roman" w:cs="Times New Roman"/>
          <w:sz w:val="24"/>
          <w:szCs w:val="24"/>
        </w:rPr>
        <w:t xml:space="preserve"> dle specifikace uvedené v Příloze č. 1 smlouvy, včetně </w:t>
      </w:r>
      <w:r w:rsidRPr="004B7099">
        <w:rPr>
          <w:rFonts w:ascii="Times New Roman" w:hAnsi="Times New Roman" w:cs="Times New Roman"/>
          <w:sz w:val="24"/>
          <w:szCs w:val="24"/>
        </w:rPr>
        <w:t>technické podpory dodavatele</w:t>
      </w:r>
      <w:r w:rsidR="001F6823">
        <w:rPr>
          <w:rFonts w:ascii="Times New Roman" w:hAnsi="Times New Roman" w:cs="Times New Roman"/>
          <w:sz w:val="24"/>
          <w:szCs w:val="24"/>
        </w:rPr>
        <w:t xml:space="preserve"> SW APP SUPP + UPGR Cisco AnyConnect VPN</w:t>
      </w:r>
      <w:r w:rsidRPr="004B7099">
        <w:rPr>
          <w:rFonts w:ascii="Times New Roman" w:hAnsi="Times New Roman" w:cs="Times New Roman"/>
          <w:sz w:val="24"/>
          <w:szCs w:val="24"/>
        </w:rPr>
        <w:t xml:space="preserve"> </w:t>
      </w:r>
      <w:r w:rsidR="001F6823">
        <w:rPr>
          <w:rFonts w:ascii="Times New Roman" w:hAnsi="Times New Roman" w:cs="Times New Roman"/>
          <w:sz w:val="24"/>
          <w:szCs w:val="24"/>
        </w:rPr>
        <w:t>.</w:t>
      </w:r>
    </w:p>
    <w:p w14:paraId="4D16E453" w14:textId="77777777" w:rsidR="004B7099" w:rsidRPr="004B7099" w:rsidRDefault="004B7099" w:rsidP="004B7099">
      <w:pPr>
        <w:numPr>
          <w:ilvl w:val="0"/>
          <w:numId w:val="1"/>
        </w:numPr>
        <w:overflowPunct w:val="0"/>
        <w:autoSpaceDE w:val="0"/>
        <w:autoSpaceDN w:val="0"/>
        <w:adjustRightInd w:val="0"/>
        <w:spacing w:before="120" w:after="60" w:line="360" w:lineRule="auto"/>
        <w:jc w:val="both"/>
        <w:textAlignment w:val="baseline"/>
        <w:rPr>
          <w:rFonts w:ascii="Times New Roman" w:hAnsi="Times New Roman" w:cs="Times New Roman"/>
          <w:sz w:val="24"/>
          <w:szCs w:val="24"/>
        </w:rPr>
      </w:pPr>
      <w:r w:rsidRPr="004B7099">
        <w:rPr>
          <w:rFonts w:ascii="Times New Roman" w:hAnsi="Times New Roman" w:cs="Times New Roman"/>
          <w:sz w:val="24"/>
          <w:szCs w:val="24"/>
        </w:rPr>
        <w:t>Nabyvatel licence se za níže uvedených podmínek zavazuje zaplatit za poskytnutí licence a technickou podporu stanovenou cenu.</w:t>
      </w:r>
    </w:p>
    <w:p w14:paraId="67FA9B06" w14:textId="77777777" w:rsidR="002B02DB" w:rsidRDefault="002B02DB" w:rsidP="004B7099">
      <w:pPr>
        <w:spacing w:after="0" w:line="360" w:lineRule="auto"/>
        <w:jc w:val="center"/>
        <w:outlineLvl w:val="0"/>
        <w:rPr>
          <w:rFonts w:ascii="Times New Roman" w:hAnsi="Times New Roman" w:cs="Times New Roman"/>
          <w:b/>
          <w:sz w:val="24"/>
          <w:szCs w:val="24"/>
        </w:rPr>
      </w:pPr>
    </w:p>
    <w:p w14:paraId="409CD859" w14:textId="77777777" w:rsidR="004B7099" w:rsidRPr="004B7099" w:rsidRDefault="004B7099" w:rsidP="004B7099">
      <w:pPr>
        <w:spacing w:after="0" w:line="360" w:lineRule="auto"/>
        <w:jc w:val="center"/>
        <w:outlineLvl w:val="0"/>
        <w:rPr>
          <w:rFonts w:ascii="Times New Roman" w:hAnsi="Times New Roman" w:cs="Times New Roman"/>
          <w:b/>
          <w:sz w:val="24"/>
          <w:szCs w:val="24"/>
        </w:rPr>
      </w:pPr>
      <w:r w:rsidRPr="004B7099">
        <w:rPr>
          <w:rFonts w:ascii="Times New Roman" w:hAnsi="Times New Roman" w:cs="Times New Roman"/>
          <w:b/>
          <w:sz w:val="24"/>
          <w:szCs w:val="24"/>
        </w:rPr>
        <w:lastRenderedPageBreak/>
        <w:t>Článek II.</w:t>
      </w:r>
    </w:p>
    <w:p w14:paraId="5C24B415" w14:textId="77777777" w:rsidR="004B7099" w:rsidRPr="004B7099" w:rsidRDefault="004B7099" w:rsidP="004B7099">
      <w:pPr>
        <w:pStyle w:val="NADPISCENNETUC"/>
        <w:spacing w:before="0" w:after="0" w:line="360" w:lineRule="auto"/>
        <w:rPr>
          <w:b/>
          <w:sz w:val="24"/>
          <w:szCs w:val="24"/>
          <w:u w:val="single"/>
        </w:rPr>
      </w:pPr>
      <w:r w:rsidRPr="004B7099">
        <w:rPr>
          <w:b/>
          <w:sz w:val="24"/>
          <w:szCs w:val="24"/>
          <w:u w:val="single"/>
        </w:rPr>
        <w:t>Prohlášení smluvních stran</w:t>
      </w:r>
    </w:p>
    <w:p w14:paraId="1154D80A" w14:textId="77777777" w:rsidR="004B7099" w:rsidRPr="004B7099" w:rsidRDefault="004B7099" w:rsidP="004B7099">
      <w:pPr>
        <w:numPr>
          <w:ilvl w:val="0"/>
          <w:numId w:val="3"/>
        </w:numPr>
        <w:overflowPunct w:val="0"/>
        <w:autoSpaceDE w:val="0"/>
        <w:autoSpaceDN w:val="0"/>
        <w:adjustRightInd w:val="0"/>
        <w:spacing w:before="60" w:after="60" w:line="360" w:lineRule="auto"/>
        <w:jc w:val="both"/>
        <w:textAlignment w:val="baseline"/>
        <w:rPr>
          <w:rFonts w:ascii="Times New Roman" w:hAnsi="Times New Roman" w:cs="Times New Roman"/>
          <w:sz w:val="24"/>
          <w:szCs w:val="24"/>
        </w:rPr>
      </w:pPr>
      <w:r w:rsidRPr="004B7099">
        <w:rPr>
          <w:rFonts w:ascii="Times New Roman" w:hAnsi="Times New Roman" w:cs="Times New Roman"/>
          <w:sz w:val="24"/>
          <w:szCs w:val="24"/>
        </w:rPr>
        <w:t>Poskytovatel licence prohlašuje, že je oprávněn poskytnout licenci bez jakýchkoli omezení, mimo těch, která vyplývají z této smlouvy a licenčních podmínek výrobce a že vůči nabyvateli licence nebudou uplatněny žádné oprávněné nároky držitelů autorských práv či jakékoli oprávněné nároky jiných třetích osob v souvislosti s poskytnutou licencí (práva autorská, práva příbuzná právu autorskému, práva patentová, práva k ochranné známce, práva z nekalé soutěže, práva osobnostní či práva vlastnická aj.). Vznikne-li nabyvateli licence porušením tohoto ustanovení této smlouvy škoda, je poskytovatel licence povinen ji nabyvateli licence nahradit.</w:t>
      </w:r>
    </w:p>
    <w:p w14:paraId="7EF0B4B2" w14:textId="77777777" w:rsidR="004B7099" w:rsidRDefault="004B7099" w:rsidP="004B7099">
      <w:pPr>
        <w:numPr>
          <w:ilvl w:val="0"/>
          <w:numId w:val="3"/>
        </w:numPr>
        <w:overflowPunct w:val="0"/>
        <w:autoSpaceDE w:val="0"/>
        <w:autoSpaceDN w:val="0"/>
        <w:adjustRightInd w:val="0"/>
        <w:spacing w:before="60" w:after="60" w:line="360" w:lineRule="auto"/>
        <w:jc w:val="both"/>
        <w:textAlignment w:val="baseline"/>
        <w:rPr>
          <w:rFonts w:ascii="Times New Roman" w:hAnsi="Times New Roman" w:cs="Times New Roman"/>
          <w:sz w:val="24"/>
          <w:szCs w:val="24"/>
        </w:rPr>
      </w:pPr>
      <w:r w:rsidRPr="004B7099">
        <w:rPr>
          <w:rFonts w:ascii="Times New Roman" w:hAnsi="Times New Roman" w:cs="Times New Roman"/>
          <w:sz w:val="24"/>
          <w:szCs w:val="24"/>
        </w:rPr>
        <w:t>Poskytovatel licence je oprávněn užít informaci o existenci smluvního vztahu mezi účastníky této smlouvy v nabídkách.</w:t>
      </w:r>
    </w:p>
    <w:p w14:paraId="7351124A" w14:textId="77777777" w:rsidR="00F704E6" w:rsidRPr="005C085B" w:rsidRDefault="00F704E6" w:rsidP="005C085B">
      <w:pPr>
        <w:overflowPunct w:val="0"/>
        <w:autoSpaceDE w:val="0"/>
        <w:autoSpaceDN w:val="0"/>
        <w:adjustRightInd w:val="0"/>
        <w:spacing w:before="60" w:after="60" w:line="360" w:lineRule="auto"/>
        <w:jc w:val="both"/>
        <w:textAlignment w:val="baseline"/>
        <w:rPr>
          <w:rFonts w:ascii="Times New Roman" w:hAnsi="Times New Roman" w:cs="Times New Roman"/>
          <w:sz w:val="24"/>
          <w:szCs w:val="24"/>
        </w:rPr>
      </w:pPr>
    </w:p>
    <w:p w14:paraId="08378404" w14:textId="77777777" w:rsidR="005C085B" w:rsidRPr="005C085B" w:rsidRDefault="005C085B" w:rsidP="005C085B">
      <w:pPr>
        <w:pStyle w:val="NADPISCENNETUC"/>
        <w:spacing w:after="0" w:line="360" w:lineRule="auto"/>
        <w:rPr>
          <w:b/>
          <w:sz w:val="24"/>
          <w:szCs w:val="24"/>
        </w:rPr>
      </w:pPr>
      <w:r w:rsidRPr="005C085B">
        <w:rPr>
          <w:b/>
          <w:sz w:val="24"/>
          <w:szCs w:val="24"/>
        </w:rPr>
        <w:t>Článek III.</w:t>
      </w:r>
      <w:r w:rsidRPr="005C085B">
        <w:rPr>
          <w:b/>
          <w:sz w:val="24"/>
          <w:szCs w:val="24"/>
        </w:rPr>
        <w:br/>
      </w:r>
      <w:r w:rsidRPr="005C085B">
        <w:rPr>
          <w:b/>
          <w:sz w:val="24"/>
          <w:szCs w:val="24"/>
          <w:u w:val="single"/>
        </w:rPr>
        <w:t>Cena a platební podmínky</w:t>
      </w:r>
    </w:p>
    <w:p w14:paraId="54D04CEB" w14:textId="00F69130" w:rsidR="005C085B" w:rsidRPr="005C085B" w:rsidRDefault="005C085B" w:rsidP="00083C43">
      <w:pPr>
        <w:numPr>
          <w:ilvl w:val="0"/>
          <w:numId w:val="2"/>
        </w:numPr>
        <w:spacing w:before="120" w:after="0" w:line="360" w:lineRule="auto"/>
        <w:jc w:val="both"/>
        <w:rPr>
          <w:rFonts w:ascii="Times New Roman" w:hAnsi="Times New Roman" w:cs="Times New Roman"/>
          <w:i/>
          <w:sz w:val="24"/>
          <w:szCs w:val="24"/>
        </w:rPr>
      </w:pPr>
      <w:r w:rsidRPr="005C085B">
        <w:rPr>
          <w:rFonts w:ascii="Times New Roman" w:hAnsi="Times New Roman" w:cs="Times New Roman"/>
          <w:sz w:val="24"/>
          <w:szCs w:val="24"/>
        </w:rPr>
        <w:t xml:space="preserve">Cenu za předmět plnění uvedeného v čl. I. bodu 1 této smlouvy dohodly smluvní strany ve výši </w:t>
      </w:r>
      <w:r w:rsidR="00083C43" w:rsidRPr="00083C43">
        <w:rPr>
          <w:rFonts w:ascii="Times New Roman" w:hAnsi="Times New Roman" w:cs="Times New Roman"/>
          <w:sz w:val="24"/>
          <w:szCs w:val="24"/>
        </w:rPr>
        <w:t>73 429,32</w:t>
      </w:r>
      <w:r w:rsidR="00083C43">
        <w:rPr>
          <w:rFonts w:ascii="Times New Roman" w:hAnsi="Times New Roman" w:cs="Times New Roman"/>
          <w:sz w:val="24"/>
          <w:szCs w:val="24"/>
        </w:rPr>
        <w:t xml:space="preserve"> </w:t>
      </w:r>
      <w:r w:rsidRPr="005C085B">
        <w:rPr>
          <w:rFonts w:ascii="Times New Roman" w:hAnsi="Times New Roman" w:cs="Times New Roman"/>
          <w:sz w:val="24"/>
          <w:szCs w:val="24"/>
        </w:rPr>
        <w:t xml:space="preserve">Kč (slovy: </w:t>
      </w:r>
      <w:r w:rsidR="00083C43">
        <w:rPr>
          <w:rFonts w:ascii="Times New Roman" w:hAnsi="Times New Roman" w:cs="Times New Roman"/>
          <w:sz w:val="24"/>
          <w:szCs w:val="24"/>
        </w:rPr>
        <w:t>Sedmdesáttřitisícčtyřistadvacetdevět</w:t>
      </w:r>
      <w:r w:rsidRPr="005C085B">
        <w:rPr>
          <w:rFonts w:ascii="Times New Roman" w:hAnsi="Times New Roman" w:cs="Times New Roman"/>
          <w:sz w:val="24"/>
          <w:szCs w:val="24"/>
        </w:rPr>
        <w:t xml:space="preserve"> korun českých</w:t>
      </w:r>
      <w:r w:rsidR="00083C43">
        <w:rPr>
          <w:rFonts w:ascii="Times New Roman" w:hAnsi="Times New Roman" w:cs="Times New Roman"/>
          <w:sz w:val="24"/>
          <w:szCs w:val="24"/>
        </w:rPr>
        <w:t xml:space="preserve"> třicetdva haléřů</w:t>
      </w:r>
      <w:r w:rsidRPr="005C085B">
        <w:rPr>
          <w:rFonts w:ascii="Times New Roman" w:hAnsi="Times New Roman" w:cs="Times New Roman"/>
          <w:sz w:val="24"/>
          <w:szCs w:val="24"/>
        </w:rPr>
        <w:t xml:space="preserve">) bez DPH. Ke sjednané ceně bude připočtena zákonná DPH ve výši </w:t>
      </w:r>
      <w:r w:rsidR="00083C43" w:rsidRPr="00083C43">
        <w:rPr>
          <w:rFonts w:ascii="Times New Roman" w:hAnsi="Times New Roman" w:cs="Times New Roman"/>
          <w:sz w:val="24"/>
          <w:szCs w:val="24"/>
        </w:rPr>
        <w:t>15 420,20</w:t>
      </w:r>
      <w:r w:rsidR="00083C43">
        <w:rPr>
          <w:rFonts w:ascii="Times New Roman" w:hAnsi="Times New Roman" w:cs="Times New Roman"/>
          <w:sz w:val="24"/>
          <w:szCs w:val="24"/>
        </w:rPr>
        <w:t xml:space="preserve"> </w:t>
      </w:r>
      <w:r w:rsidRPr="005C085B">
        <w:rPr>
          <w:rFonts w:ascii="Times New Roman" w:hAnsi="Times New Roman" w:cs="Times New Roman"/>
          <w:sz w:val="24"/>
          <w:szCs w:val="24"/>
        </w:rPr>
        <w:t>Kč</w:t>
      </w:r>
      <w:r w:rsidRPr="005C085B">
        <w:rPr>
          <w:rFonts w:ascii="Times New Roman" w:hAnsi="Times New Roman" w:cs="Times New Roman"/>
          <w:b/>
          <w:i/>
          <w:sz w:val="24"/>
          <w:szCs w:val="24"/>
        </w:rPr>
        <w:t xml:space="preserve">. </w:t>
      </w:r>
      <w:r w:rsidRPr="005C085B">
        <w:rPr>
          <w:rFonts w:ascii="Times New Roman" w:hAnsi="Times New Roman" w:cs="Times New Roman"/>
          <w:sz w:val="24"/>
          <w:szCs w:val="24"/>
        </w:rPr>
        <w:t xml:space="preserve">Celková kupní cena s DPH je ve výši </w:t>
      </w:r>
      <w:r w:rsidR="00083C43">
        <w:rPr>
          <w:rFonts w:ascii="Times New Roman" w:hAnsi="Times New Roman" w:cs="Times New Roman"/>
          <w:sz w:val="24"/>
          <w:szCs w:val="24"/>
        </w:rPr>
        <w:t>88 </w:t>
      </w:r>
      <w:r w:rsidR="00083C43" w:rsidRPr="00083C43">
        <w:rPr>
          <w:rFonts w:ascii="Times New Roman" w:hAnsi="Times New Roman" w:cs="Times New Roman"/>
          <w:sz w:val="24"/>
          <w:szCs w:val="24"/>
        </w:rPr>
        <w:t>849,52</w:t>
      </w:r>
      <w:r w:rsidR="00083C43">
        <w:rPr>
          <w:rFonts w:ascii="Times New Roman" w:hAnsi="Times New Roman" w:cs="Times New Roman"/>
          <w:sz w:val="24"/>
          <w:szCs w:val="24"/>
        </w:rPr>
        <w:t> </w:t>
      </w:r>
      <w:r w:rsidRPr="005C085B">
        <w:rPr>
          <w:rFonts w:ascii="Times New Roman" w:hAnsi="Times New Roman" w:cs="Times New Roman"/>
          <w:sz w:val="24"/>
          <w:szCs w:val="24"/>
        </w:rPr>
        <w:t>Kč (slovy</w:t>
      </w:r>
      <w:r w:rsidR="00083C43">
        <w:rPr>
          <w:rFonts w:ascii="Times New Roman" w:hAnsi="Times New Roman" w:cs="Times New Roman"/>
          <w:sz w:val="24"/>
          <w:szCs w:val="24"/>
        </w:rPr>
        <w:t>: Osmdesátosmtisícosmsetčtyřicetdevět</w:t>
      </w:r>
      <w:r w:rsidRPr="005C085B">
        <w:rPr>
          <w:rFonts w:ascii="Times New Roman" w:hAnsi="Times New Roman" w:cs="Times New Roman"/>
          <w:sz w:val="24"/>
          <w:szCs w:val="24"/>
        </w:rPr>
        <w:t xml:space="preserve"> korun českých</w:t>
      </w:r>
      <w:r w:rsidR="00083C43">
        <w:rPr>
          <w:rFonts w:ascii="Times New Roman" w:hAnsi="Times New Roman" w:cs="Times New Roman"/>
          <w:sz w:val="24"/>
          <w:szCs w:val="24"/>
        </w:rPr>
        <w:t xml:space="preserve"> padesátdva haléřů</w:t>
      </w:r>
      <w:r w:rsidRPr="005C085B">
        <w:rPr>
          <w:rFonts w:ascii="Times New Roman" w:hAnsi="Times New Roman" w:cs="Times New Roman"/>
          <w:sz w:val="24"/>
          <w:szCs w:val="24"/>
        </w:rPr>
        <w:t>).</w:t>
      </w:r>
    </w:p>
    <w:p w14:paraId="5623A771" w14:textId="77777777" w:rsidR="005C085B" w:rsidRPr="005C085B" w:rsidRDefault="005C085B" w:rsidP="005C085B">
      <w:pPr>
        <w:numPr>
          <w:ilvl w:val="0"/>
          <w:numId w:val="2"/>
        </w:numPr>
        <w:spacing w:before="120" w:after="0" w:line="360" w:lineRule="auto"/>
        <w:jc w:val="both"/>
        <w:rPr>
          <w:rFonts w:ascii="Times New Roman" w:hAnsi="Times New Roman" w:cs="Times New Roman"/>
          <w:sz w:val="24"/>
          <w:szCs w:val="24"/>
        </w:rPr>
      </w:pPr>
      <w:r w:rsidRPr="005C085B">
        <w:rPr>
          <w:rFonts w:ascii="Times New Roman" w:hAnsi="Times New Roman" w:cs="Times New Roman"/>
          <w:sz w:val="24"/>
          <w:szCs w:val="24"/>
        </w:rPr>
        <w:t xml:space="preserve">Cena dle odst. 1 je stanovena jako konečná a nepřekročitelná. </w:t>
      </w:r>
    </w:p>
    <w:p w14:paraId="30DB6C40" w14:textId="77777777" w:rsidR="005C085B" w:rsidRPr="005C085B" w:rsidRDefault="005C085B" w:rsidP="005C085B">
      <w:pPr>
        <w:pStyle w:val="BODY1"/>
        <w:numPr>
          <w:ilvl w:val="0"/>
          <w:numId w:val="2"/>
        </w:numPr>
        <w:tabs>
          <w:tab w:val="left" w:pos="397"/>
        </w:tabs>
        <w:spacing w:before="120" w:after="0" w:line="360" w:lineRule="auto"/>
        <w:rPr>
          <w:sz w:val="24"/>
          <w:szCs w:val="24"/>
        </w:rPr>
      </w:pPr>
      <w:r w:rsidRPr="005C085B">
        <w:rPr>
          <w:sz w:val="24"/>
          <w:szCs w:val="24"/>
        </w:rPr>
        <w:t>Cenu dle odst. 1 se nabyvatel licence zavazuje zaplatit poskytovateli licence po nabytí licenčních práv k programu vyplývajících z této smlouvy.</w:t>
      </w:r>
    </w:p>
    <w:p w14:paraId="6CD490B0" w14:textId="77777777" w:rsidR="005C085B" w:rsidRPr="005C085B" w:rsidRDefault="005C085B" w:rsidP="005C085B">
      <w:pPr>
        <w:numPr>
          <w:ilvl w:val="0"/>
          <w:numId w:val="2"/>
        </w:numPr>
        <w:overflowPunct w:val="0"/>
        <w:autoSpaceDE w:val="0"/>
        <w:autoSpaceDN w:val="0"/>
        <w:adjustRightInd w:val="0"/>
        <w:spacing w:before="60" w:after="60" w:line="360" w:lineRule="auto"/>
        <w:jc w:val="both"/>
        <w:textAlignment w:val="baseline"/>
        <w:rPr>
          <w:rFonts w:ascii="Times New Roman" w:hAnsi="Times New Roman" w:cs="Times New Roman"/>
          <w:sz w:val="24"/>
          <w:szCs w:val="24"/>
        </w:rPr>
      </w:pPr>
      <w:r w:rsidRPr="005C085B">
        <w:rPr>
          <w:rFonts w:ascii="Times New Roman" w:hAnsi="Times New Roman" w:cs="Times New Roman"/>
          <w:sz w:val="24"/>
          <w:szCs w:val="24"/>
        </w:rPr>
        <w:t>Daňový doklad bude vystaven uchazečem do 7 kalendářních dnů po podepsání dodacího listu / přejímacího protokolu kontaktní osobou nabyvatele a bude splňovat náležitosti daňového dokladu dle zákona č. 563/1991 Sb., o účetnictví, ve znění pozdějších předpisů.</w:t>
      </w:r>
    </w:p>
    <w:p w14:paraId="31BFAE0B" w14:textId="77777777" w:rsidR="005C085B" w:rsidRPr="005C085B" w:rsidRDefault="005C085B" w:rsidP="005C085B">
      <w:pPr>
        <w:numPr>
          <w:ilvl w:val="0"/>
          <w:numId w:val="2"/>
        </w:numPr>
        <w:overflowPunct w:val="0"/>
        <w:autoSpaceDE w:val="0"/>
        <w:autoSpaceDN w:val="0"/>
        <w:adjustRightInd w:val="0"/>
        <w:spacing w:before="60" w:after="60" w:line="360" w:lineRule="auto"/>
        <w:jc w:val="both"/>
        <w:textAlignment w:val="baseline"/>
        <w:rPr>
          <w:rFonts w:ascii="Times New Roman" w:hAnsi="Times New Roman" w:cs="Times New Roman"/>
          <w:sz w:val="24"/>
          <w:szCs w:val="24"/>
        </w:rPr>
      </w:pPr>
      <w:r w:rsidRPr="005C085B">
        <w:rPr>
          <w:rFonts w:ascii="Times New Roman" w:hAnsi="Times New Roman" w:cs="Times New Roman"/>
          <w:sz w:val="24"/>
          <w:szCs w:val="24"/>
        </w:rPr>
        <w:t xml:space="preserve"> Doba splatnosti daňového dokladu bude stanovena na 60 kalendářních dnů ode dne doručení daňového dokladu. </w:t>
      </w:r>
    </w:p>
    <w:p w14:paraId="2184AA73" w14:textId="77777777" w:rsidR="005C085B" w:rsidRPr="005C085B" w:rsidRDefault="005C085B" w:rsidP="005C085B">
      <w:pPr>
        <w:numPr>
          <w:ilvl w:val="0"/>
          <w:numId w:val="2"/>
        </w:numPr>
        <w:overflowPunct w:val="0"/>
        <w:autoSpaceDE w:val="0"/>
        <w:autoSpaceDN w:val="0"/>
        <w:adjustRightInd w:val="0"/>
        <w:spacing w:before="60" w:after="60" w:line="360" w:lineRule="auto"/>
        <w:jc w:val="both"/>
        <w:textAlignment w:val="baseline"/>
        <w:rPr>
          <w:rFonts w:ascii="Times New Roman" w:hAnsi="Times New Roman" w:cs="Times New Roman"/>
          <w:sz w:val="24"/>
          <w:szCs w:val="24"/>
        </w:rPr>
      </w:pPr>
      <w:r w:rsidRPr="005C085B">
        <w:rPr>
          <w:rFonts w:ascii="Times New Roman" w:hAnsi="Times New Roman" w:cs="Times New Roman"/>
          <w:sz w:val="24"/>
          <w:szCs w:val="24"/>
        </w:rPr>
        <w:t>Nedílnou součástí daňového dokladu (faktury) bude dodací list, který bude potvrzen kontaktní osobou za nabyvatele.</w:t>
      </w:r>
    </w:p>
    <w:p w14:paraId="798BB812" w14:textId="77777777" w:rsidR="005C085B" w:rsidRPr="005C085B" w:rsidRDefault="005C085B" w:rsidP="005C085B">
      <w:pPr>
        <w:numPr>
          <w:ilvl w:val="0"/>
          <w:numId w:val="2"/>
        </w:numPr>
        <w:overflowPunct w:val="0"/>
        <w:autoSpaceDE w:val="0"/>
        <w:autoSpaceDN w:val="0"/>
        <w:adjustRightInd w:val="0"/>
        <w:spacing w:before="60" w:after="60" w:line="360" w:lineRule="auto"/>
        <w:jc w:val="both"/>
        <w:textAlignment w:val="baseline"/>
        <w:rPr>
          <w:rFonts w:ascii="Times New Roman" w:hAnsi="Times New Roman" w:cs="Times New Roman"/>
          <w:sz w:val="24"/>
          <w:szCs w:val="24"/>
        </w:rPr>
      </w:pPr>
      <w:r w:rsidRPr="005C085B">
        <w:rPr>
          <w:rFonts w:ascii="Times New Roman" w:hAnsi="Times New Roman" w:cs="Times New Roman"/>
          <w:bCs/>
          <w:sz w:val="24"/>
          <w:szCs w:val="24"/>
        </w:rPr>
        <w:t>Faktura - daňový doklad za plnění musí obsahovat odkaz na předmětné výběrové řízení</w:t>
      </w:r>
      <w:r w:rsidRPr="005C085B">
        <w:rPr>
          <w:rFonts w:ascii="Times New Roman" w:hAnsi="Times New Roman" w:cs="Times New Roman"/>
          <w:sz w:val="24"/>
          <w:szCs w:val="24"/>
        </w:rPr>
        <w:t xml:space="preserve"> </w:t>
      </w:r>
    </w:p>
    <w:p w14:paraId="00217085" w14:textId="77777777" w:rsidR="005C085B" w:rsidRPr="005C085B" w:rsidRDefault="005C085B" w:rsidP="005C085B">
      <w:pPr>
        <w:pStyle w:val="AJAKO1"/>
        <w:numPr>
          <w:ilvl w:val="0"/>
          <w:numId w:val="2"/>
        </w:numPr>
        <w:tabs>
          <w:tab w:val="left" w:pos="397"/>
        </w:tabs>
        <w:spacing w:after="0" w:line="360" w:lineRule="auto"/>
        <w:rPr>
          <w:sz w:val="24"/>
          <w:szCs w:val="24"/>
        </w:rPr>
      </w:pPr>
      <w:r w:rsidRPr="005C085B">
        <w:rPr>
          <w:sz w:val="24"/>
          <w:szCs w:val="24"/>
        </w:rPr>
        <w:t xml:space="preserve">Jestliže faktura nebude obsahovat náležitosti stanovené pro daňové doklady nebo bude mít jiné vady, je nabyvatel licence oprávněn ji vrátit poskytovateli licence s uvedením vad. V takovém </w:t>
      </w:r>
      <w:r w:rsidRPr="005C085B">
        <w:rPr>
          <w:sz w:val="24"/>
          <w:szCs w:val="24"/>
        </w:rPr>
        <w:lastRenderedPageBreak/>
        <w:t>případě se přeruší lhůta splatnosti a počne běžet znovu ve stejné délce doručením opravené faktury do sídla nabyvatele licence.</w:t>
      </w:r>
    </w:p>
    <w:p w14:paraId="1DE65A09" w14:textId="77777777" w:rsidR="005C085B" w:rsidRPr="005C085B" w:rsidRDefault="005C085B" w:rsidP="005C085B">
      <w:pPr>
        <w:pStyle w:val="AJAKO1"/>
        <w:numPr>
          <w:ilvl w:val="0"/>
          <w:numId w:val="2"/>
        </w:numPr>
        <w:tabs>
          <w:tab w:val="left" w:pos="397"/>
        </w:tabs>
        <w:spacing w:after="0" w:line="360" w:lineRule="auto"/>
        <w:rPr>
          <w:sz w:val="24"/>
          <w:szCs w:val="24"/>
        </w:rPr>
      </w:pPr>
      <w:r w:rsidRPr="005C085B">
        <w:rPr>
          <w:sz w:val="24"/>
          <w:szCs w:val="24"/>
        </w:rPr>
        <w:t>Platby budou probíhat výhradně v Kč a rovněž veškeré cenové údaje budou v této měně.</w:t>
      </w:r>
    </w:p>
    <w:p w14:paraId="2918DC32" w14:textId="77777777" w:rsidR="005C085B" w:rsidRPr="005C085B" w:rsidRDefault="005C085B" w:rsidP="005C085B">
      <w:pPr>
        <w:pStyle w:val="AJAKO1"/>
        <w:numPr>
          <w:ilvl w:val="0"/>
          <w:numId w:val="2"/>
        </w:numPr>
        <w:tabs>
          <w:tab w:val="clear" w:pos="397"/>
          <w:tab w:val="left" w:pos="426"/>
        </w:tabs>
        <w:spacing w:after="0" w:line="360" w:lineRule="auto"/>
        <w:rPr>
          <w:sz w:val="24"/>
          <w:szCs w:val="24"/>
        </w:rPr>
      </w:pPr>
      <w:r w:rsidRPr="005C085B">
        <w:rPr>
          <w:sz w:val="24"/>
          <w:szCs w:val="24"/>
        </w:rPr>
        <w:t>Poskytovatel podpisem této smlouvy přebírá na sebe nebezpečí změny okolností ve smyslu ustanovení § 1765 občanského zákoníku.</w:t>
      </w:r>
    </w:p>
    <w:p w14:paraId="39C4329F" w14:textId="77777777" w:rsidR="005C085B" w:rsidRPr="005C085B" w:rsidRDefault="005C085B" w:rsidP="005C085B">
      <w:pPr>
        <w:pStyle w:val="AJAKO1"/>
        <w:numPr>
          <w:ilvl w:val="0"/>
          <w:numId w:val="2"/>
        </w:numPr>
        <w:tabs>
          <w:tab w:val="clear" w:pos="397"/>
        </w:tabs>
        <w:spacing w:after="0" w:line="360" w:lineRule="auto"/>
        <w:ind w:left="426" w:hanging="313"/>
        <w:rPr>
          <w:sz w:val="24"/>
          <w:szCs w:val="24"/>
        </w:rPr>
      </w:pPr>
      <w:r w:rsidRPr="005C085B">
        <w:rPr>
          <w:sz w:val="24"/>
          <w:szCs w:val="24"/>
        </w:rPr>
        <w:t>Objednatel nebude poskytovat zálohy.</w:t>
      </w:r>
    </w:p>
    <w:p w14:paraId="36D6CA0A" w14:textId="77777777" w:rsidR="005C085B" w:rsidRPr="005C085B" w:rsidRDefault="005C085B" w:rsidP="005C085B">
      <w:pPr>
        <w:pStyle w:val="BODY1"/>
        <w:numPr>
          <w:ilvl w:val="0"/>
          <w:numId w:val="2"/>
        </w:numPr>
        <w:tabs>
          <w:tab w:val="clear" w:pos="397"/>
        </w:tabs>
        <w:spacing w:line="360" w:lineRule="auto"/>
        <w:ind w:left="426" w:hanging="313"/>
        <w:rPr>
          <w:sz w:val="24"/>
          <w:szCs w:val="24"/>
        </w:rPr>
      </w:pPr>
      <w:r w:rsidRPr="005C085B">
        <w:rPr>
          <w:sz w:val="24"/>
          <w:szCs w:val="24"/>
        </w:rPr>
        <w:t xml:space="preserve">Výše úroků z prodlení a nákladů spojených s uplatněním pohledávky se řídí nařízením vlády č. 351/2013 Sb., kterým se určuje výše úroků z prodlení a nákladů spojených s uplatněním pohledávky, určuje odměna likvidátora, likvidačního správce a člena orgánu právnické osoby jmenované soudem a upravují některé otázky Obchodního věstníku a veřejných rejstříků právnických a fyzických osob, ve znění pozdějších předpisů. </w:t>
      </w:r>
    </w:p>
    <w:p w14:paraId="6911B806" w14:textId="77777777" w:rsidR="005C085B" w:rsidRPr="005C085B" w:rsidRDefault="005C085B" w:rsidP="005C085B">
      <w:pPr>
        <w:pStyle w:val="AJAKO1"/>
        <w:tabs>
          <w:tab w:val="left" w:pos="397"/>
        </w:tabs>
        <w:spacing w:before="0" w:after="0" w:line="360" w:lineRule="auto"/>
        <w:ind w:left="0" w:firstLine="0"/>
        <w:rPr>
          <w:b/>
          <w:sz w:val="24"/>
          <w:szCs w:val="24"/>
        </w:rPr>
      </w:pPr>
    </w:p>
    <w:p w14:paraId="67CDA893" w14:textId="77777777" w:rsidR="005C085B" w:rsidRPr="005C085B" w:rsidRDefault="005C085B" w:rsidP="005C085B">
      <w:pPr>
        <w:pStyle w:val="NADPISCENNETUC"/>
        <w:spacing w:after="0" w:line="360" w:lineRule="auto"/>
        <w:rPr>
          <w:b/>
          <w:sz w:val="24"/>
          <w:szCs w:val="24"/>
          <w:u w:val="single"/>
        </w:rPr>
      </w:pPr>
      <w:r w:rsidRPr="005C085B">
        <w:rPr>
          <w:b/>
          <w:sz w:val="24"/>
          <w:szCs w:val="24"/>
        </w:rPr>
        <w:t>Článek IV.</w:t>
      </w:r>
      <w:r w:rsidRPr="005C085B">
        <w:rPr>
          <w:b/>
          <w:sz w:val="24"/>
          <w:szCs w:val="24"/>
        </w:rPr>
        <w:br/>
      </w:r>
      <w:r w:rsidRPr="005C085B">
        <w:rPr>
          <w:b/>
          <w:bCs/>
          <w:iCs/>
          <w:sz w:val="24"/>
          <w:szCs w:val="24"/>
          <w:u w:val="single"/>
        </w:rPr>
        <w:t>Salvatorní klauzule</w:t>
      </w:r>
    </w:p>
    <w:p w14:paraId="57C90CE8" w14:textId="77777777" w:rsidR="005C085B" w:rsidRPr="005C085B" w:rsidRDefault="005C085B" w:rsidP="005C085B">
      <w:pPr>
        <w:pStyle w:val="AJAKO1"/>
        <w:numPr>
          <w:ilvl w:val="0"/>
          <w:numId w:val="4"/>
        </w:numPr>
        <w:tabs>
          <w:tab w:val="left" w:pos="397"/>
        </w:tabs>
        <w:spacing w:after="0" w:line="360" w:lineRule="auto"/>
        <w:rPr>
          <w:sz w:val="24"/>
          <w:szCs w:val="24"/>
        </w:rPr>
      </w:pPr>
      <w:r w:rsidRPr="005C085B">
        <w:rPr>
          <w:sz w:val="24"/>
          <w:szCs w:val="24"/>
        </w:rPr>
        <w:t>Smluvní strany se zavazují poskytnout si k naplnění účelu této smlouvy vzájemnou součinnost.</w:t>
      </w:r>
    </w:p>
    <w:p w14:paraId="570103A3" w14:textId="77777777" w:rsidR="005C085B" w:rsidRPr="005C085B" w:rsidRDefault="005C085B" w:rsidP="005C085B">
      <w:pPr>
        <w:pStyle w:val="AJAKO1"/>
        <w:numPr>
          <w:ilvl w:val="0"/>
          <w:numId w:val="4"/>
        </w:numPr>
        <w:tabs>
          <w:tab w:val="left" w:pos="397"/>
        </w:tabs>
        <w:spacing w:after="0" w:line="360" w:lineRule="auto"/>
        <w:rPr>
          <w:sz w:val="24"/>
          <w:szCs w:val="24"/>
        </w:rPr>
      </w:pPr>
      <w:r w:rsidRPr="005C085B">
        <w:rPr>
          <w:sz w:val="24"/>
          <w:szCs w:val="24"/>
        </w:rPr>
        <w:t>Strany sjednávají, že pokud v důsledku změny či odlišného výkladu právních předpisů anebo judikatury soudů bude u některého ustanovení této smlouvy shledán důvod neplatnosti právního úkonu, smlouva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smlouvy.</w:t>
      </w:r>
    </w:p>
    <w:p w14:paraId="5CF55882" w14:textId="77777777" w:rsidR="005C085B" w:rsidRPr="005C085B" w:rsidRDefault="005C085B" w:rsidP="005C085B">
      <w:pPr>
        <w:pStyle w:val="AJAKO1"/>
        <w:numPr>
          <w:ilvl w:val="0"/>
          <w:numId w:val="4"/>
        </w:numPr>
        <w:tabs>
          <w:tab w:val="left" w:pos="397"/>
        </w:tabs>
        <w:spacing w:after="0" w:line="360" w:lineRule="auto"/>
        <w:rPr>
          <w:sz w:val="24"/>
          <w:szCs w:val="24"/>
        </w:rPr>
      </w:pPr>
      <w:r w:rsidRPr="005C085B">
        <w:rPr>
          <w:sz w:val="24"/>
          <w:szCs w:val="24"/>
        </w:rPr>
        <w:t>Pokud v některých případech nebude možné řešení zde uvedené a Smlouva by byla neplatná, strany se zavazují bezodkladně po tomto zjištění uzavřít novou smlouvu, ve které případný důvod neplatnosti bude odstraněn, a dosavadní přijatá plnění budou započítána na plnění stran podle této nové smlouvy. Podmínky této nové smlouvy vyjdou přitom z původní smlouvy.</w:t>
      </w:r>
    </w:p>
    <w:p w14:paraId="4B515A54" w14:textId="77777777" w:rsidR="005C085B" w:rsidRPr="005C085B" w:rsidRDefault="005C085B" w:rsidP="005C085B">
      <w:pPr>
        <w:pStyle w:val="BODY1"/>
        <w:spacing w:line="360" w:lineRule="auto"/>
      </w:pPr>
    </w:p>
    <w:p w14:paraId="0B031FF6" w14:textId="77777777" w:rsidR="005C085B" w:rsidRPr="005C085B" w:rsidRDefault="005C085B" w:rsidP="005C085B">
      <w:pPr>
        <w:pStyle w:val="NADPISCENNETUC"/>
        <w:spacing w:after="0" w:line="360" w:lineRule="auto"/>
        <w:rPr>
          <w:b/>
          <w:sz w:val="24"/>
          <w:szCs w:val="24"/>
        </w:rPr>
      </w:pPr>
      <w:r w:rsidRPr="005C085B">
        <w:rPr>
          <w:b/>
          <w:sz w:val="24"/>
          <w:szCs w:val="24"/>
        </w:rPr>
        <w:t>Článek V.</w:t>
      </w:r>
    </w:p>
    <w:p w14:paraId="11EDD2DF" w14:textId="77777777" w:rsidR="005C085B" w:rsidRPr="005C085B" w:rsidRDefault="005C085B" w:rsidP="005C085B">
      <w:pPr>
        <w:pStyle w:val="NADPISCENNETUC"/>
        <w:spacing w:before="60" w:after="0" w:line="360" w:lineRule="auto"/>
        <w:rPr>
          <w:b/>
          <w:sz w:val="24"/>
          <w:szCs w:val="24"/>
        </w:rPr>
      </w:pPr>
      <w:r w:rsidRPr="005C085B">
        <w:rPr>
          <w:b/>
          <w:sz w:val="24"/>
          <w:szCs w:val="24"/>
          <w:u w:val="single"/>
        </w:rPr>
        <w:t>Řešení sporů, rozhodné právo</w:t>
      </w:r>
    </w:p>
    <w:p w14:paraId="6BBF78D2" w14:textId="77777777" w:rsidR="005C085B" w:rsidRPr="005C085B" w:rsidRDefault="005C085B" w:rsidP="005C085B">
      <w:pPr>
        <w:pStyle w:val="AJAKO1"/>
        <w:numPr>
          <w:ilvl w:val="0"/>
          <w:numId w:val="5"/>
        </w:numPr>
        <w:tabs>
          <w:tab w:val="left" w:pos="397"/>
        </w:tabs>
        <w:spacing w:after="0" w:line="360" w:lineRule="auto"/>
        <w:rPr>
          <w:b/>
          <w:sz w:val="24"/>
          <w:szCs w:val="24"/>
        </w:rPr>
      </w:pPr>
      <w:r w:rsidRPr="005C085B">
        <w:rPr>
          <w:sz w:val="24"/>
          <w:szCs w:val="24"/>
        </w:rPr>
        <w:t>Smluvní strany vynaloží veškeré úsilí k tomu, aby vyřešily všechny spory, které by mohly vzniknout v souvislosti s touto smlouvou a její realizací v první řadě vzájemnou dohodou.</w:t>
      </w:r>
    </w:p>
    <w:p w14:paraId="2B8AF8E4" w14:textId="77777777" w:rsidR="005C085B" w:rsidRPr="005C085B" w:rsidRDefault="005C085B" w:rsidP="005C085B">
      <w:pPr>
        <w:pStyle w:val="AJAKO1"/>
        <w:numPr>
          <w:ilvl w:val="0"/>
          <w:numId w:val="5"/>
        </w:numPr>
        <w:tabs>
          <w:tab w:val="left" w:pos="397"/>
        </w:tabs>
        <w:spacing w:after="0" w:line="360" w:lineRule="auto"/>
        <w:rPr>
          <w:b/>
          <w:sz w:val="24"/>
          <w:szCs w:val="24"/>
        </w:rPr>
      </w:pPr>
      <w:r w:rsidRPr="005C085B">
        <w:rPr>
          <w:sz w:val="24"/>
          <w:szCs w:val="24"/>
        </w:rPr>
        <w:lastRenderedPageBreak/>
        <w:t>Smluvní strany se dohodly, že tato smlouva a práva a povinnosti z ní vyplývající se řídí a vykládají v souladu se zákony České republiky, zejména s příslušnými ustanoveními zákona č. 89/2012 Sb., občanského zákoníku, ve znění pozdějších předpisů. Ke kolizním ustanovením českého právního řádu se přitom nepřihlíží.</w:t>
      </w:r>
    </w:p>
    <w:p w14:paraId="0D7B0C30" w14:textId="77777777" w:rsidR="005C085B" w:rsidRPr="005C085B" w:rsidRDefault="005C085B" w:rsidP="005C085B">
      <w:pPr>
        <w:pStyle w:val="NADPISCENNETUC"/>
        <w:spacing w:after="0" w:line="360" w:lineRule="auto"/>
        <w:rPr>
          <w:b/>
          <w:sz w:val="24"/>
          <w:szCs w:val="24"/>
        </w:rPr>
      </w:pPr>
    </w:p>
    <w:p w14:paraId="448F3A3F" w14:textId="77777777" w:rsidR="005C085B" w:rsidRPr="005C085B" w:rsidRDefault="005C085B" w:rsidP="005C085B">
      <w:pPr>
        <w:pStyle w:val="NADPISCENNETUC"/>
        <w:spacing w:after="0" w:line="360" w:lineRule="auto"/>
        <w:rPr>
          <w:b/>
          <w:sz w:val="24"/>
          <w:szCs w:val="24"/>
        </w:rPr>
      </w:pPr>
      <w:r w:rsidRPr="005C085B">
        <w:rPr>
          <w:b/>
          <w:sz w:val="24"/>
          <w:szCs w:val="24"/>
        </w:rPr>
        <w:t>Článek VI.</w:t>
      </w:r>
      <w:r w:rsidRPr="005C085B">
        <w:rPr>
          <w:b/>
          <w:sz w:val="24"/>
          <w:szCs w:val="24"/>
        </w:rPr>
        <w:br/>
      </w:r>
      <w:r w:rsidRPr="005C085B">
        <w:rPr>
          <w:b/>
          <w:bCs/>
          <w:iCs/>
          <w:sz w:val="24"/>
          <w:szCs w:val="24"/>
          <w:u w:val="single"/>
        </w:rPr>
        <w:t>Dohoda o založení pravomoci českých soudů, prorogace</w:t>
      </w:r>
    </w:p>
    <w:p w14:paraId="45BA4E31" w14:textId="77777777" w:rsidR="005C085B" w:rsidRPr="005C085B" w:rsidRDefault="005C085B" w:rsidP="005C085B">
      <w:pPr>
        <w:pStyle w:val="AJAKO1"/>
        <w:numPr>
          <w:ilvl w:val="0"/>
          <w:numId w:val="6"/>
        </w:numPr>
        <w:tabs>
          <w:tab w:val="left" w:pos="397"/>
        </w:tabs>
        <w:spacing w:after="0" w:line="360" w:lineRule="auto"/>
        <w:rPr>
          <w:sz w:val="24"/>
          <w:szCs w:val="24"/>
        </w:rPr>
      </w:pPr>
      <w:r w:rsidRPr="005C085B">
        <w:rPr>
          <w:sz w:val="24"/>
          <w:szCs w:val="24"/>
        </w:rPr>
        <w:t>Smluvní strany se dohodly na pravomoci soudů České republiky k projednání a rozhodnutí sporů a jiných právních věcí vyplývajících z</w:t>
      </w:r>
      <w:r w:rsidR="00E510FD">
        <w:rPr>
          <w:sz w:val="24"/>
          <w:szCs w:val="24"/>
        </w:rPr>
        <w:t>,</w:t>
      </w:r>
      <w:r w:rsidRPr="005C085B">
        <w:rPr>
          <w:sz w:val="24"/>
          <w:szCs w:val="24"/>
        </w:rPr>
        <w:t> touto smlouvou založeného</w:t>
      </w:r>
      <w:r w:rsidR="00E510FD">
        <w:rPr>
          <w:sz w:val="24"/>
          <w:szCs w:val="24"/>
        </w:rPr>
        <w:t>,</w:t>
      </w:r>
      <w:r w:rsidRPr="005C085B">
        <w:rPr>
          <w:sz w:val="24"/>
          <w:szCs w:val="24"/>
        </w:rPr>
        <w:t xml:space="preserve"> právního vztahu, jakož i ze vztahů s tímto vztahem souvisejících.</w:t>
      </w:r>
    </w:p>
    <w:p w14:paraId="17567656" w14:textId="77777777" w:rsidR="005C085B" w:rsidRPr="005C085B" w:rsidRDefault="005C085B" w:rsidP="005C085B">
      <w:pPr>
        <w:pStyle w:val="AJAKO1"/>
        <w:numPr>
          <w:ilvl w:val="0"/>
          <w:numId w:val="6"/>
        </w:numPr>
        <w:tabs>
          <w:tab w:val="left" w:pos="397"/>
        </w:tabs>
        <w:spacing w:after="0" w:line="360" w:lineRule="auto"/>
        <w:rPr>
          <w:sz w:val="24"/>
          <w:szCs w:val="24"/>
        </w:rPr>
      </w:pPr>
      <w:r w:rsidRPr="005C085B">
        <w:rPr>
          <w:sz w:val="24"/>
          <w:szCs w:val="24"/>
        </w:rPr>
        <w:t>Smluvní strany se ve smyslu ustanovení § 89a zákona č. 99/1963 Sb., občanský soudní řád dohodly, že místně příslušným soudem k projednání a rozhodnutí sporů a jiných právních věcí vyplývajících z</w:t>
      </w:r>
      <w:r w:rsidR="00E510FD">
        <w:rPr>
          <w:sz w:val="24"/>
          <w:szCs w:val="24"/>
        </w:rPr>
        <w:t>,</w:t>
      </w:r>
      <w:r w:rsidRPr="005C085B">
        <w:rPr>
          <w:sz w:val="24"/>
          <w:szCs w:val="24"/>
        </w:rPr>
        <w:t> touto smlouvou založeného</w:t>
      </w:r>
      <w:r w:rsidR="00E510FD">
        <w:rPr>
          <w:sz w:val="24"/>
          <w:szCs w:val="24"/>
        </w:rPr>
        <w:t>,</w:t>
      </w:r>
      <w:r w:rsidRPr="005C085B">
        <w:rPr>
          <w:sz w:val="24"/>
          <w:szCs w:val="24"/>
        </w:rPr>
        <w:t xml:space="preserve"> právního vztahu, jakož i ze vztahů s tímto vztahem souvisejících, je v případě, že k projednání věci je věcně příslušný krajský soud, Městský soud v Praze a v případě, že k projednání věci je věcně příslušný okresní soud, Obvodní soud pro Prahu 5.</w:t>
      </w:r>
    </w:p>
    <w:p w14:paraId="6B066E1F" w14:textId="77777777" w:rsidR="005C085B" w:rsidRPr="005C085B" w:rsidRDefault="005C085B" w:rsidP="005C085B">
      <w:pPr>
        <w:pStyle w:val="NADPISCENNETUC"/>
        <w:spacing w:after="0" w:line="360" w:lineRule="auto"/>
        <w:rPr>
          <w:b/>
          <w:sz w:val="24"/>
          <w:szCs w:val="24"/>
        </w:rPr>
      </w:pPr>
    </w:p>
    <w:p w14:paraId="70BB93E5" w14:textId="77777777" w:rsidR="005C085B" w:rsidRPr="005C085B" w:rsidRDefault="005C085B" w:rsidP="005C085B">
      <w:pPr>
        <w:pStyle w:val="NADPISCENNETUC"/>
        <w:spacing w:after="0" w:line="360" w:lineRule="auto"/>
        <w:rPr>
          <w:b/>
          <w:sz w:val="24"/>
          <w:szCs w:val="24"/>
          <w:u w:val="single"/>
        </w:rPr>
      </w:pPr>
      <w:r w:rsidRPr="005C085B">
        <w:rPr>
          <w:b/>
          <w:sz w:val="24"/>
          <w:szCs w:val="24"/>
        </w:rPr>
        <w:t>Článek VII.</w:t>
      </w:r>
      <w:r w:rsidRPr="005C085B">
        <w:rPr>
          <w:b/>
          <w:sz w:val="24"/>
          <w:szCs w:val="24"/>
        </w:rPr>
        <w:br/>
      </w:r>
      <w:r w:rsidRPr="005C085B">
        <w:rPr>
          <w:b/>
          <w:sz w:val="24"/>
          <w:szCs w:val="24"/>
          <w:u w:val="single"/>
        </w:rPr>
        <w:t>Odstoupení od smlouvy</w:t>
      </w:r>
    </w:p>
    <w:p w14:paraId="6725A31D" w14:textId="77777777" w:rsidR="005C085B" w:rsidRPr="005C085B" w:rsidRDefault="005C085B" w:rsidP="005C085B">
      <w:pPr>
        <w:pStyle w:val="AJAKO1"/>
        <w:numPr>
          <w:ilvl w:val="0"/>
          <w:numId w:val="7"/>
        </w:numPr>
        <w:tabs>
          <w:tab w:val="left" w:pos="397"/>
        </w:tabs>
        <w:spacing w:after="0" w:line="360" w:lineRule="auto"/>
        <w:rPr>
          <w:i/>
          <w:sz w:val="24"/>
          <w:szCs w:val="24"/>
        </w:rPr>
      </w:pPr>
      <w:r w:rsidRPr="005C085B">
        <w:rPr>
          <w:sz w:val="24"/>
          <w:szCs w:val="24"/>
        </w:rPr>
        <w:t>Smluvní strany mohou odstoupit od smlouvy z důvodů stanovených občanským zákoníkem.</w:t>
      </w:r>
    </w:p>
    <w:p w14:paraId="29EF712B" w14:textId="77777777" w:rsidR="005C085B" w:rsidRPr="005C085B" w:rsidRDefault="005C085B" w:rsidP="005C085B">
      <w:pPr>
        <w:overflowPunct w:val="0"/>
        <w:autoSpaceDE w:val="0"/>
        <w:autoSpaceDN w:val="0"/>
        <w:adjustRightInd w:val="0"/>
        <w:spacing w:before="60" w:after="60" w:line="360" w:lineRule="auto"/>
        <w:jc w:val="both"/>
        <w:textAlignment w:val="baseline"/>
        <w:rPr>
          <w:rFonts w:ascii="Times New Roman" w:hAnsi="Times New Roman" w:cs="Times New Roman"/>
          <w:sz w:val="24"/>
          <w:szCs w:val="24"/>
        </w:rPr>
      </w:pPr>
    </w:p>
    <w:p w14:paraId="61D54C18" w14:textId="77777777" w:rsidR="004B7099" w:rsidRPr="00EB7003" w:rsidRDefault="00EB7003" w:rsidP="00EB7003">
      <w:pPr>
        <w:pStyle w:val="NADPISCENNETUC"/>
        <w:spacing w:line="360" w:lineRule="auto"/>
        <w:rPr>
          <w:b/>
          <w:sz w:val="24"/>
          <w:szCs w:val="24"/>
        </w:rPr>
      </w:pPr>
      <w:r w:rsidRPr="00EB7003">
        <w:rPr>
          <w:b/>
          <w:sz w:val="24"/>
          <w:szCs w:val="24"/>
        </w:rPr>
        <w:t>Článek VIII.</w:t>
      </w:r>
    </w:p>
    <w:p w14:paraId="4ED52DE1" w14:textId="77777777" w:rsidR="00EB7003" w:rsidRPr="00EB7003" w:rsidRDefault="00EB7003" w:rsidP="00EB7003">
      <w:pPr>
        <w:pStyle w:val="NADPISCENNETUC"/>
        <w:spacing w:line="360" w:lineRule="auto"/>
        <w:rPr>
          <w:b/>
          <w:sz w:val="24"/>
          <w:szCs w:val="24"/>
          <w:u w:val="single"/>
        </w:rPr>
      </w:pPr>
      <w:r w:rsidRPr="00EB7003">
        <w:rPr>
          <w:b/>
          <w:sz w:val="24"/>
          <w:szCs w:val="24"/>
          <w:u w:val="single"/>
        </w:rPr>
        <w:t>Závěrečná ustanovení</w:t>
      </w:r>
    </w:p>
    <w:p w14:paraId="634DDF90" w14:textId="77777777" w:rsidR="001403A3" w:rsidRPr="00442BF1" w:rsidRDefault="007B43E7" w:rsidP="007B43E7">
      <w:pPr>
        <w:spacing w:line="360" w:lineRule="auto"/>
        <w:rPr>
          <w:rFonts w:ascii="Times New Roman" w:hAnsi="Times New Roman" w:cs="Times New Roman"/>
          <w:sz w:val="24"/>
          <w:szCs w:val="24"/>
        </w:rPr>
      </w:pPr>
      <w:r w:rsidRPr="00442BF1">
        <w:rPr>
          <w:rFonts w:ascii="Times New Roman" w:hAnsi="Times New Roman" w:cs="Times New Roman"/>
          <w:sz w:val="24"/>
          <w:szCs w:val="24"/>
        </w:rPr>
        <w:t>1. Tato smlouva nabývá platnosti dnem podpisu obou smluvních stran.</w:t>
      </w:r>
    </w:p>
    <w:p w14:paraId="3D867473" w14:textId="5E1D58BB" w:rsidR="007B43E7" w:rsidRPr="00442BF1" w:rsidRDefault="00083C43" w:rsidP="007B43E7">
      <w:pPr>
        <w:spacing w:line="360" w:lineRule="auto"/>
        <w:rPr>
          <w:rFonts w:ascii="Times New Roman" w:hAnsi="Times New Roman" w:cs="Times New Roman"/>
          <w:sz w:val="24"/>
          <w:szCs w:val="24"/>
        </w:rPr>
      </w:pPr>
      <w:r>
        <w:rPr>
          <w:rFonts w:ascii="Times New Roman" w:hAnsi="Times New Roman" w:cs="Times New Roman"/>
          <w:sz w:val="24"/>
          <w:szCs w:val="24"/>
        </w:rPr>
        <w:t>2. Smlouva nabývá účinnosti</w:t>
      </w:r>
      <w:r w:rsidR="007B43E7" w:rsidRPr="00442BF1">
        <w:rPr>
          <w:rFonts w:ascii="Times New Roman" w:hAnsi="Times New Roman" w:cs="Times New Roman"/>
          <w:sz w:val="24"/>
          <w:szCs w:val="24"/>
        </w:rPr>
        <w:t xml:space="preserve"> </w:t>
      </w:r>
      <w:r w:rsidR="00886373">
        <w:rPr>
          <w:rFonts w:ascii="Times New Roman" w:hAnsi="Times New Roman" w:cs="Times New Roman"/>
          <w:sz w:val="24"/>
          <w:szCs w:val="24"/>
        </w:rPr>
        <w:t>dnem dodání SW a licencí.</w:t>
      </w:r>
    </w:p>
    <w:p w14:paraId="6A2E3126" w14:textId="74569F34" w:rsidR="007B43E7" w:rsidRPr="00442BF1" w:rsidRDefault="007B43E7" w:rsidP="007B43E7">
      <w:pPr>
        <w:spacing w:line="360" w:lineRule="auto"/>
        <w:rPr>
          <w:rFonts w:ascii="Times New Roman" w:hAnsi="Times New Roman" w:cs="Times New Roman"/>
          <w:sz w:val="24"/>
          <w:szCs w:val="24"/>
        </w:rPr>
      </w:pPr>
      <w:r w:rsidRPr="00442BF1">
        <w:rPr>
          <w:rFonts w:ascii="Times New Roman" w:hAnsi="Times New Roman" w:cs="Times New Roman"/>
          <w:sz w:val="24"/>
          <w:szCs w:val="24"/>
        </w:rPr>
        <w:t xml:space="preserve">3. Tato smlouva se sjednává na dobu určitou a to na dobu </w:t>
      </w:r>
      <w:r w:rsidR="00886373" w:rsidRPr="002B02DB">
        <w:rPr>
          <w:rFonts w:ascii="Times New Roman" w:hAnsi="Times New Roman" w:cs="Times New Roman"/>
          <w:sz w:val="24"/>
          <w:szCs w:val="24"/>
        </w:rPr>
        <w:t xml:space="preserve">24 </w:t>
      </w:r>
      <w:r w:rsidRPr="002B02DB">
        <w:rPr>
          <w:rFonts w:ascii="Times New Roman" w:hAnsi="Times New Roman" w:cs="Times New Roman"/>
          <w:sz w:val="24"/>
          <w:szCs w:val="24"/>
        </w:rPr>
        <w:t xml:space="preserve">měsíců </w:t>
      </w:r>
      <w:r w:rsidRPr="00442BF1">
        <w:rPr>
          <w:rFonts w:ascii="Times New Roman" w:hAnsi="Times New Roman" w:cs="Times New Roman"/>
          <w:sz w:val="24"/>
          <w:szCs w:val="24"/>
        </w:rPr>
        <w:t>ode dne nabytí její účinnosti.</w:t>
      </w:r>
    </w:p>
    <w:p w14:paraId="092062B0" w14:textId="77777777" w:rsidR="007B43E7" w:rsidRPr="00442BF1" w:rsidRDefault="007B43E7" w:rsidP="007B43E7">
      <w:pPr>
        <w:spacing w:line="360" w:lineRule="auto"/>
        <w:rPr>
          <w:rFonts w:ascii="Times New Roman" w:hAnsi="Times New Roman" w:cs="Times New Roman"/>
          <w:sz w:val="24"/>
          <w:szCs w:val="24"/>
        </w:rPr>
      </w:pPr>
      <w:r w:rsidRPr="00442BF1">
        <w:rPr>
          <w:rFonts w:ascii="Times New Roman" w:hAnsi="Times New Roman" w:cs="Times New Roman"/>
          <w:sz w:val="24"/>
          <w:szCs w:val="24"/>
        </w:rPr>
        <w:t xml:space="preserve">4. Jakékoliv změny a dodatky k této smlouvě, popřípadě též ukončení této smlouvy musí mít písemnou formu a musí být podepsané oběma smluvními stranami.  Případné dodatky k této smlouvě budou označeny jako „Dodatek“ a vzestupně číslovány v pořadí, v jakém byly postupně </w:t>
      </w:r>
      <w:r w:rsidRPr="00442BF1">
        <w:rPr>
          <w:rFonts w:ascii="Times New Roman" w:hAnsi="Times New Roman" w:cs="Times New Roman"/>
          <w:sz w:val="24"/>
          <w:szCs w:val="24"/>
        </w:rPr>
        <w:lastRenderedPageBreak/>
        <w:t>uzavírány tak, aby dříve uzavřený Dodatek měl vždy číslo nižší, než Dodatek pozdější. Smlouva může být ukončena pouze písemně.</w:t>
      </w:r>
    </w:p>
    <w:p w14:paraId="3A76B249" w14:textId="77777777" w:rsidR="00266CB0" w:rsidRPr="00442BF1" w:rsidRDefault="007B43E7" w:rsidP="00266CB0">
      <w:pPr>
        <w:spacing w:line="360" w:lineRule="auto"/>
        <w:rPr>
          <w:rFonts w:ascii="Times New Roman" w:hAnsi="Times New Roman" w:cs="Times New Roman"/>
          <w:sz w:val="24"/>
          <w:szCs w:val="24"/>
        </w:rPr>
      </w:pPr>
      <w:r w:rsidRPr="00442BF1">
        <w:rPr>
          <w:rFonts w:ascii="Times New Roman" w:hAnsi="Times New Roman" w:cs="Times New Roman"/>
          <w:sz w:val="24"/>
          <w:szCs w:val="24"/>
        </w:rPr>
        <w:t>5. Žádná ze smluvních stran nepostoupí práva a povinnosti vyplývající z této smlouvy, bez předchozího písemného souhlasu druhé smluvní strany. Jakékoliv postoupení v rozporu s podmínkami této smlouvy bude neplatné a neúčinné.</w:t>
      </w:r>
    </w:p>
    <w:p w14:paraId="76A264C5" w14:textId="77777777" w:rsidR="000A524C" w:rsidRPr="00442BF1" w:rsidRDefault="00266CB0" w:rsidP="000A524C">
      <w:pPr>
        <w:spacing w:line="360" w:lineRule="auto"/>
        <w:rPr>
          <w:rFonts w:ascii="Times New Roman" w:hAnsi="Times New Roman" w:cs="Times New Roman"/>
          <w:sz w:val="24"/>
          <w:szCs w:val="24"/>
        </w:rPr>
      </w:pPr>
      <w:r w:rsidRPr="00442BF1">
        <w:rPr>
          <w:rFonts w:ascii="Times New Roman" w:hAnsi="Times New Roman" w:cs="Times New Roman"/>
          <w:sz w:val="24"/>
          <w:szCs w:val="24"/>
        </w:rPr>
        <w:t xml:space="preserve">6. Smluvní strany na závěr této smlouvy výslovně prohlašují, že jim nejsou známy žádné okolnosti bránící v uzavření této smlouvy. </w:t>
      </w:r>
    </w:p>
    <w:p w14:paraId="4F00D9FE" w14:textId="77777777" w:rsidR="000A524C" w:rsidRPr="00442BF1" w:rsidRDefault="000A524C" w:rsidP="000A524C">
      <w:pPr>
        <w:spacing w:line="360" w:lineRule="auto"/>
        <w:rPr>
          <w:rFonts w:ascii="Times New Roman" w:hAnsi="Times New Roman" w:cs="Times New Roman"/>
          <w:sz w:val="24"/>
          <w:szCs w:val="24"/>
        </w:rPr>
      </w:pPr>
      <w:r w:rsidRPr="00442BF1">
        <w:rPr>
          <w:rFonts w:ascii="Times New Roman" w:hAnsi="Times New Roman" w:cs="Times New Roman"/>
          <w:sz w:val="24"/>
          <w:szCs w:val="24"/>
        </w:rPr>
        <w:t>7. Smluvní strany prohlašují, že tuto smlouvu uzavřely svobodně a vážně.</w:t>
      </w:r>
    </w:p>
    <w:p w14:paraId="6EB7CBFF" w14:textId="77777777" w:rsidR="00442BF1" w:rsidRPr="00442BF1" w:rsidRDefault="00442BF1" w:rsidP="00442BF1">
      <w:pPr>
        <w:spacing w:line="360" w:lineRule="auto"/>
        <w:rPr>
          <w:rFonts w:ascii="Times New Roman" w:hAnsi="Times New Roman" w:cs="Times New Roman"/>
          <w:sz w:val="24"/>
          <w:szCs w:val="24"/>
        </w:rPr>
      </w:pPr>
      <w:r w:rsidRPr="00442BF1">
        <w:rPr>
          <w:rFonts w:ascii="Times New Roman" w:hAnsi="Times New Roman" w:cs="Times New Roman"/>
          <w:sz w:val="24"/>
          <w:szCs w:val="24"/>
        </w:rPr>
        <w:t>8. Tato smlouva je vyhotovena ve třech stejnopisech, z nichž nabyvatel obdrží dva stejnopisy a poskytovatel jeden.</w:t>
      </w:r>
    </w:p>
    <w:p w14:paraId="1C19F6F7" w14:textId="77777777" w:rsidR="00442BF1" w:rsidRDefault="00442BF1" w:rsidP="00442BF1">
      <w:pPr>
        <w:spacing w:line="360" w:lineRule="auto"/>
        <w:rPr>
          <w:rFonts w:ascii="Times New Roman" w:hAnsi="Times New Roman" w:cs="Times New Roman"/>
          <w:sz w:val="24"/>
          <w:szCs w:val="24"/>
        </w:rPr>
      </w:pPr>
      <w:r w:rsidRPr="00442BF1">
        <w:rPr>
          <w:rFonts w:ascii="Times New Roman" w:hAnsi="Times New Roman" w:cs="Times New Roman"/>
          <w:sz w:val="24"/>
          <w:szCs w:val="24"/>
        </w:rPr>
        <w:t xml:space="preserve">9. Nedílnou součástí smlouvy je následující příloha: </w:t>
      </w:r>
    </w:p>
    <w:p w14:paraId="2B2428FD" w14:textId="3A267405" w:rsidR="00442BF1" w:rsidRDefault="004C2791" w:rsidP="00442BF1">
      <w:pPr>
        <w:spacing w:line="360" w:lineRule="auto"/>
        <w:rPr>
          <w:rFonts w:ascii="Times New Roman" w:hAnsi="Times New Roman" w:cs="Times New Roman"/>
          <w:sz w:val="24"/>
          <w:szCs w:val="24"/>
        </w:rPr>
      </w:pPr>
      <w:r>
        <w:rPr>
          <w:rFonts w:ascii="Times New Roman" w:hAnsi="Times New Roman" w:cs="Times New Roman"/>
          <w:sz w:val="24"/>
          <w:szCs w:val="24"/>
        </w:rPr>
        <w:t>Příloha č. 1</w:t>
      </w:r>
      <w:r w:rsidR="009055F0">
        <w:rPr>
          <w:rFonts w:ascii="Times New Roman" w:hAnsi="Times New Roman" w:cs="Times New Roman"/>
          <w:sz w:val="24"/>
          <w:szCs w:val="24"/>
        </w:rPr>
        <w:t>:</w:t>
      </w:r>
      <w:r>
        <w:rPr>
          <w:rFonts w:ascii="Times New Roman" w:hAnsi="Times New Roman" w:cs="Times New Roman"/>
          <w:sz w:val="24"/>
          <w:szCs w:val="24"/>
        </w:rPr>
        <w:t xml:space="preserve"> Specifikace předmětu plnění</w:t>
      </w:r>
    </w:p>
    <w:p w14:paraId="4EC04A15" w14:textId="0D450D2A" w:rsidR="009055F0" w:rsidRDefault="007D6E5E" w:rsidP="00442BF1">
      <w:pPr>
        <w:spacing w:line="360" w:lineRule="auto"/>
        <w:rPr>
          <w:rFonts w:ascii="Times New Roman" w:hAnsi="Times New Roman" w:cs="Times New Roman"/>
          <w:sz w:val="24"/>
          <w:szCs w:val="24"/>
        </w:rPr>
      </w:pPr>
      <w:r>
        <w:rPr>
          <w:rFonts w:ascii="Times New Roman" w:hAnsi="Times New Roman" w:cs="Times New Roman"/>
          <w:sz w:val="24"/>
          <w:szCs w:val="24"/>
        </w:rPr>
        <w:t>Příloha č. 2</w:t>
      </w:r>
      <w:r w:rsidR="009055F0">
        <w:rPr>
          <w:rFonts w:ascii="Times New Roman" w:hAnsi="Times New Roman" w:cs="Times New Roman"/>
          <w:sz w:val="24"/>
          <w:szCs w:val="24"/>
        </w:rPr>
        <w:t>: Výpis z obchodního rejstříku prodávajícího</w:t>
      </w:r>
    </w:p>
    <w:p w14:paraId="50697373" w14:textId="41EBF1A2" w:rsidR="009055F0" w:rsidRDefault="007D6E5E" w:rsidP="00442BF1">
      <w:pPr>
        <w:spacing w:line="360" w:lineRule="auto"/>
        <w:rPr>
          <w:rFonts w:ascii="Times New Roman" w:hAnsi="Times New Roman" w:cs="Times New Roman"/>
          <w:sz w:val="24"/>
          <w:szCs w:val="24"/>
        </w:rPr>
      </w:pPr>
      <w:r>
        <w:rPr>
          <w:rFonts w:ascii="Times New Roman" w:hAnsi="Times New Roman" w:cs="Times New Roman"/>
          <w:sz w:val="24"/>
          <w:szCs w:val="24"/>
        </w:rPr>
        <w:t>Příloha č. 3</w:t>
      </w:r>
      <w:r w:rsidR="009055F0">
        <w:rPr>
          <w:rFonts w:ascii="Times New Roman" w:hAnsi="Times New Roman" w:cs="Times New Roman"/>
          <w:sz w:val="24"/>
          <w:szCs w:val="24"/>
        </w:rPr>
        <w:t>: Obchodí podmínky NNH</w:t>
      </w:r>
    </w:p>
    <w:p w14:paraId="5534BAC5" w14:textId="75CABB94" w:rsidR="009055F0" w:rsidRDefault="007D6E5E" w:rsidP="00442BF1">
      <w:pPr>
        <w:spacing w:line="360" w:lineRule="auto"/>
        <w:rPr>
          <w:rFonts w:ascii="Times New Roman" w:hAnsi="Times New Roman" w:cs="Times New Roman"/>
          <w:sz w:val="24"/>
          <w:szCs w:val="24"/>
        </w:rPr>
      </w:pPr>
      <w:r>
        <w:rPr>
          <w:rFonts w:ascii="Times New Roman" w:hAnsi="Times New Roman" w:cs="Times New Roman"/>
          <w:sz w:val="24"/>
          <w:szCs w:val="24"/>
        </w:rPr>
        <w:t>Příloha č. 4</w:t>
      </w:r>
      <w:r w:rsidR="009055F0">
        <w:rPr>
          <w:rFonts w:ascii="Times New Roman" w:hAnsi="Times New Roman" w:cs="Times New Roman"/>
          <w:sz w:val="24"/>
          <w:szCs w:val="24"/>
        </w:rPr>
        <w:t>: Cenová specifikace</w:t>
      </w:r>
    </w:p>
    <w:p w14:paraId="6C500B61" w14:textId="4842258C" w:rsidR="00A02FD3" w:rsidRDefault="00A02FD3" w:rsidP="000A524C">
      <w:pPr>
        <w:spacing w:line="360" w:lineRule="auto"/>
        <w:rPr>
          <w:sz w:val="24"/>
          <w:szCs w:val="24"/>
        </w:rPr>
      </w:pPr>
    </w:p>
    <w:p w14:paraId="55D1825F" w14:textId="77777777" w:rsidR="00A02FD3" w:rsidRDefault="00A02FD3" w:rsidP="00A02FD3">
      <w:pPr>
        <w:tabs>
          <w:tab w:val="left" w:pos="5940"/>
        </w:tabs>
        <w:spacing w:before="120"/>
        <w:rPr>
          <w:sz w:val="24"/>
          <w:szCs w:val="24"/>
        </w:rPr>
      </w:pPr>
    </w:p>
    <w:p w14:paraId="61835359" w14:textId="77777777" w:rsidR="00A02FD3" w:rsidRPr="00596E14" w:rsidRDefault="00A02FD3" w:rsidP="00A02FD3">
      <w:pPr>
        <w:tabs>
          <w:tab w:val="left" w:pos="5940"/>
        </w:tabs>
        <w:spacing w:before="120"/>
        <w:rPr>
          <w:sz w:val="24"/>
          <w:szCs w:val="24"/>
        </w:rPr>
      </w:pPr>
      <w:r w:rsidRPr="00596E14">
        <w:rPr>
          <w:sz w:val="24"/>
          <w:szCs w:val="24"/>
        </w:rPr>
        <w:t>V</w:t>
      </w:r>
      <w:r>
        <w:rPr>
          <w:sz w:val="24"/>
          <w:szCs w:val="24"/>
        </w:rPr>
        <w:t xml:space="preserve"> Praze </w:t>
      </w:r>
      <w:r w:rsidRPr="00596E14">
        <w:rPr>
          <w:sz w:val="24"/>
          <w:szCs w:val="24"/>
        </w:rPr>
        <w:t>dne……………….</w:t>
      </w:r>
      <w:r w:rsidRPr="00596E14">
        <w:rPr>
          <w:sz w:val="24"/>
          <w:szCs w:val="24"/>
        </w:rPr>
        <w:tab/>
        <w:t>V</w:t>
      </w:r>
      <w:r>
        <w:rPr>
          <w:sz w:val="24"/>
          <w:szCs w:val="24"/>
        </w:rPr>
        <w:t xml:space="preserve"> Praze </w:t>
      </w:r>
      <w:r w:rsidRPr="00596E14">
        <w:rPr>
          <w:sz w:val="24"/>
          <w:szCs w:val="24"/>
        </w:rPr>
        <w:t>dne………</w:t>
      </w:r>
      <w:r>
        <w:rPr>
          <w:sz w:val="24"/>
          <w:szCs w:val="24"/>
        </w:rPr>
        <w:t>..</w:t>
      </w:r>
      <w:r w:rsidRPr="00596E14">
        <w:rPr>
          <w:sz w:val="24"/>
          <w:szCs w:val="24"/>
        </w:rPr>
        <w:t>……</w:t>
      </w:r>
    </w:p>
    <w:p w14:paraId="4867A12A" w14:textId="77777777" w:rsidR="00A02FD3" w:rsidRPr="00596E14" w:rsidRDefault="00A02FD3" w:rsidP="00A02FD3">
      <w:pPr>
        <w:tabs>
          <w:tab w:val="left" w:pos="6660"/>
        </w:tabs>
        <w:spacing w:before="120" w:after="0"/>
        <w:rPr>
          <w:sz w:val="24"/>
          <w:szCs w:val="24"/>
        </w:rPr>
      </w:pPr>
    </w:p>
    <w:tbl>
      <w:tblPr>
        <w:tblW w:w="0" w:type="auto"/>
        <w:tblInd w:w="250" w:type="dxa"/>
        <w:tblLook w:val="04A0" w:firstRow="1" w:lastRow="0" w:firstColumn="1" w:lastColumn="0" w:noHBand="0" w:noVBand="1"/>
      </w:tblPr>
      <w:tblGrid>
        <w:gridCol w:w="4536"/>
        <w:gridCol w:w="4426"/>
      </w:tblGrid>
      <w:tr w:rsidR="00A02FD3" w:rsidRPr="00ED7132" w14:paraId="5A15E495" w14:textId="77777777" w:rsidTr="00FF34DF">
        <w:trPr>
          <w:trHeight w:val="1364"/>
        </w:trPr>
        <w:tc>
          <w:tcPr>
            <w:tcW w:w="4536" w:type="dxa"/>
            <w:shd w:val="clear" w:color="auto" w:fill="auto"/>
            <w:vAlign w:val="bottom"/>
          </w:tcPr>
          <w:p w14:paraId="4A9EA578" w14:textId="77777777" w:rsidR="00A02FD3" w:rsidRPr="00ED7132" w:rsidRDefault="00A02FD3" w:rsidP="00FF34DF">
            <w:pPr>
              <w:tabs>
                <w:tab w:val="left" w:pos="6660"/>
              </w:tabs>
              <w:spacing w:before="120"/>
              <w:jc w:val="center"/>
              <w:rPr>
                <w:sz w:val="24"/>
                <w:szCs w:val="24"/>
              </w:rPr>
            </w:pPr>
            <w:r w:rsidRPr="00ED7132">
              <w:rPr>
                <w:sz w:val="24"/>
                <w:szCs w:val="24"/>
              </w:rPr>
              <w:t>……………………………………..</w:t>
            </w:r>
          </w:p>
        </w:tc>
        <w:tc>
          <w:tcPr>
            <w:tcW w:w="4426" w:type="dxa"/>
            <w:shd w:val="clear" w:color="auto" w:fill="auto"/>
            <w:vAlign w:val="bottom"/>
          </w:tcPr>
          <w:p w14:paraId="433EC4EF" w14:textId="77777777" w:rsidR="00A02FD3" w:rsidRPr="00ED7132" w:rsidRDefault="00A02FD3" w:rsidP="00FF34DF">
            <w:pPr>
              <w:tabs>
                <w:tab w:val="left" w:pos="6660"/>
              </w:tabs>
              <w:spacing w:before="120"/>
              <w:jc w:val="center"/>
              <w:rPr>
                <w:sz w:val="24"/>
                <w:szCs w:val="24"/>
              </w:rPr>
            </w:pPr>
            <w:r w:rsidRPr="00ED7132">
              <w:rPr>
                <w:sz w:val="24"/>
                <w:szCs w:val="24"/>
              </w:rPr>
              <w:t>……………………………………..</w:t>
            </w:r>
          </w:p>
        </w:tc>
      </w:tr>
      <w:tr w:rsidR="00A02FD3" w:rsidRPr="00ED7132" w14:paraId="22A3173E" w14:textId="77777777" w:rsidTr="00FF34DF">
        <w:trPr>
          <w:trHeight w:val="846"/>
        </w:trPr>
        <w:tc>
          <w:tcPr>
            <w:tcW w:w="4536" w:type="dxa"/>
            <w:shd w:val="clear" w:color="auto" w:fill="auto"/>
            <w:vAlign w:val="bottom"/>
          </w:tcPr>
          <w:p w14:paraId="14EF0737" w14:textId="77777777" w:rsidR="00A02FD3" w:rsidRDefault="00A02FD3" w:rsidP="00FF34DF">
            <w:pPr>
              <w:tabs>
                <w:tab w:val="left" w:pos="6660"/>
              </w:tabs>
              <w:spacing w:after="0"/>
              <w:jc w:val="center"/>
              <w:rPr>
                <w:sz w:val="24"/>
                <w:szCs w:val="24"/>
              </w:rPr>
            </w:pPr>
            <w:r w:rsidRPr="00ED7132">
              <w:rPr>
                <w:sz w:val="24"/>
                <w:szCs w:val="24"/>
              </w:rPr>
              <w:t>Za poskytovatele:</w:t>
            </w:r>
          </w:p>
          <w:p w14:paraId="30F48FB7" w14:textId="7441E341" w:rsidR="00A02FD3" w:rsidRDefault="00083C43" w:rsidP="00FF34DF">
            <w:pPr>
              <w:tabs>
                <w:tab w:val="left" w:pos="6660"/>
              </w:tabs>
              <w:spacing w:after="0"/>
              <w:jc w:val="center"/>
              <w:rPr>
                <w:sz w:val="24"/>
                <w:szCs w:val="24"/>
              </w:rPr>
            </w:pPr>
            <w:r>
              <w:rPr>
                <w:sz w:val="24"/>
                <w:szCs w:val="24"/>
              </w:rPr>
              <w:t>Ing. Dušan Bruoth a Ing. Jaroslav Štefl</w:t>
            </w:r>
          </w:p>
          <w:p w14:paraId="313A24F1" w14:textId="4B4A5BC6" w:rsidR="00A02FD3" w:rsidRDefault="00083C43" w:rsidP="00FF34DF">
            <w:pPr>
              <w:tabs>
                <w:tab w:val="left" w:pos="6660"/>
              </w:tabs>
              <w:spacing w:after="0"/>
              <w:jc w:val="center"/>
              <w:rPr>
                <w:sz w:val="24"/>
                <w:szCs w:val="24"/>
              </w:rPr>
            </w:pPr>
            <w:r>
              <w:rPr>
                <w:sz w:val="24"/>
                <w:szCs w:val="24"/>
              </w:rPr>
              <w:t>předseda a člen představenstva</w:t>
            </w:r>
          </w:p>
          <w:p w14:paraId="1EA7F3A4" w14:textId="77777777" w:rsidR="00A02FD3" w:rsidRPr="00ED7132" w:rsidRDefault="00A02FD3" w:rsidP="00FF34DF">
            <w:pPr>
              <w:spacing w:after="0"/>
              <w:jc w:val="center"/>
              <w:rPr>
                <w:sz w:val="24"/>
                <w:szCs w:val="24"/>
              </w:rPr>
            </w:pPr>
          </w:p>
        </w:tc>
        <w:tc>
          <w:tcPr>
            <w:tcW w:w="4426" w:type="dxa"/>
            <w:shd w:val="clear" w:color="auto" w:fill="auto"/>
            <w:vAlign w:val="bottom"/>
          </w:tcPr>
          <w:p w14:paraId="2C3A95FF" w14:textId="77777777" w:rsidR="00A02FD3" w:rsidRPr="00ED7132" w:rsidRDefault="00A02FD3" w:rsidP="00FF34DF">
            <w:pPr>
              <w:tabs>
                <w:tab w:val="left" w:pos="6660"/>
              </w:tabs>
              <w:spacing w:after="0"/>
              <w:jc w:val="center"/>
              <w:rPr>
                <w:sz w:val="24"/>
                <w:szCs w:val="24"/>
              </w:rPr>
            </w:pPr>
            <w:r w:rsidRPr="00ED7132">
              <w:rPr>
                <w:sz w:val="24"/>
                <w:szCs w:val="24"/>
              </w:rPr>
              <w:t>Za nabyvatele:</w:t>
            </w:r>
          </w:p>
          <w:p w14:paraId="5E99330C" w14:textId="75E22DD4" w:rsidR="00A02FD3" w:rsidRDefault="00A02FD3" w:rsidP="00FF34DF">
            <w:pPr>
              <w:tabs>
                <w:tab w:val="left" w:pos="6660"/>
              </w:tabs>
              <w:spacing w:after="0"/>
              <w:rPr>
                <w:sz w:val="24"/>
                <w:szCs w:val="24"/>
              </w:rPr>
            </w:pPr>
            <w:r>
              <w:rPr>
                <w:sz w:val="24"/>
                <w:szCs w:val="24"/>
              </w:rPr>
              <w:t xml:space="preserve">                    </w:t>
            </w:r>
            <w:r w:rsidR="00F86ABE">
              <w:rPr>
                <w:sz w:val="24"/>
                <w:szCs w:val="24"/>
              </w:rPr>
              <w:t>Mgr. Michal Kopp</w:t>
            </w:r>
          </w:p>
          <w:p w14:paraId="36484447" w14:textId="0751EAB7" w:rsidR="00A02FD3" w:rsidRPr="00ED7132" w:rsidRDefault="00A02FD3" w:rsidP="00FF34DF">
            <w:pPr>
              <w:tabs>
                <w:tab w:val="left" w:pos="6660"/>
              </w:tabs>
              <w:spacing w:after="0"/>
              <w:rPr>
                <w:sz w:val="24"/>
                <w:szCs w:val="24"/>
              </w:rPr>
            </w:pPr>
            <w:r>
              <w:rPr>
                <w:sz w:val="24"/>
                <w:szCs w:val="24"/>
              </w:rPr>
              <w:t xml:space="preserve">                    </w:t>
            </w:r>
            <w:r w:rsidR="00F86ABE">
              <w:rPr>
                <w:sz w:val="24"/>
                <w:szCs w:val="24"/>
              </w:rPr>
              <w:t xml:space="preserve">   </w:t>
            </w:r>
            <w:bookmarkStart w:id="0" w:name="_GoBack"/>
            <w:bookmarkEnd w:id="0"/>
            <w:r w:rsidR="00F86ABE">
              <w:rPr>
                <w:sz w:val="24"/>
                <w:szCs w:val="24"/>
              </w:rPr>
              <w:t>vedoucí ONVZ</w:t>
            </w:r>
          </w:p>
          <w:p w14:paraId="0D70275F" w14:textId="77777777" w:rsidR="00A02FD3" w:rsidRPr="00ED7132" w:rsidRDefault="00A02FD3" w:rsidP="00FF34DF">
            <w:pPr>
              <w:tabs>
                <w:tab w:val="left" w:pos="6660"/>
              </w:tabs>
              <w:spacing w:after="0"/>
              <w:jc w:val="center"/>
              <w:rPr>
                <w:sz w:val="24"/>
                <w:szCs w:val="24"/>
              </w:rPr>
            </w:pPr>
          </w:p>
        </w:tc>
      </w:tr>
    </w:tbl>
    <w:p w14:paraId="763BDD91" w14:textId="1F06695E" w:rsidR="00DA1F52" w:rsidRDefault="00DA1F52" w:rsidP="00045E75">
      <w:r>
        <w:rPr>
          <w:rFonts w:ascii="Times New Roman" w:hAnsi="Times New Roman" w:cs="Times New Roman"/>
          <w:sz w:val="24"/>
          <w:szCs w:val="24"/>
        </w:rPr>
        <w:br w:type="page"/>
      </w:r>
      <w:r>
        <w:lastRenderedPageBreak/>
        <w:t xml:space="preserve">Příloha č. 1 – specifikace </w:t>
      </w:r>
      <w:r w:rsidR="00306147">
        <w:t>předmětu plnění</w:t>
      </w:r>
    </w:p>
    <w:p w14:paraId="093569DE" w14:textId="77777777" w:rsidR="00DA1F52" w:rsidRDefault="00DA1F52">
      <w:pPr>
        <w:rPr>
          <w:rFonts w:ascii="Times New Roman" w:hAnsi="Times New Roman" w:cs="Times New Roman"/>
          <w:sz w:val="24"/>
          <w:szCs w:val="24"/>
        </w:rPr>
      </w:pPr>
    </w:p>
    <w:p w14:paraId="028E7462" w14:textId="77777777" w:rsidR="00DA1F52" w:rsidRDefault="00DA1F52" w:rsidP="00DA1F52">
      <w:r>
        <w:t>Nemocnice Na Homolce provozuje dvojici firewallů CISCO ASA 5520. Pro vzdálené připojení uživatelů pomocí VPN potřebuje pořídit licence pro tento vzdálený přístup včetně podpory na dva roky.</w:t>
      </w:r>
    </w:p>
    <w:tbl>
      <w:tblPr>
        <w:tblStyle w:val="Mkatabulky"/>
        <w:tblW w:w="0" w:type="auto"/>
        <w:tblLook w:val="04A0" w:firstRow="1" w:lastRow="0" w:firstColumn="1" w:lastColumn="0" w:noHBand="0" w:noVBand="1"/>
      </w:tblPr>
      <w:tblGrid>
        <w:gridCol w:w="1977"/>
        <w:gridCol w:w="6237"/>
        <w:gridCol w:w="842"/>
      </w:tblGrid>
      <w:tr w:rsidR="00DA1F52" w14:paraId="74BC5AE1" w14:textId="77777777" w:rsidTr="000249FC">
        <w:tc>
          <w:tcPr>
            <w:tcW w:w="1977" w:type="dxa"/>
          </w:tcPr>
          <w:p w14:paraId="2E1376AB" w14:textId="77777777" w:rsidR="00DA1F52" w:rsidRDefault="00DA1F52" w:rsidP="000249FC">
            <w:r>
              <w:t>PN</w:t>
            </w:r>
          </w:p>
        </w:tc>
        <w:tc>
          <w:tcPr>
            <w:tcW w:w="6237" w:type="dxa"/>
          </w:tcPr>
          <w:p w14:paraId="3BBC5843" w14:textId="77777777" w:rsidR="00DA1F52" w:rsidRDefault="00DA1F52" w:rsidP="000249FC">
            <w:r>
              <w:t>Popis</w:t>
            </w:r>
          </w:p>
        </w:tc>
        <w:tc>
          <w:tcPr>
            <w:tcW w:w="842" w:type="dxa"/>
          </w:tcPr>
          <w:p w14:paraId="4392E086" w14:textId="77777777" w:rsidR="00DA1F52" w:rsidRDefault="00DA1F52" w:rsidP="000249FC">
            <w:r>
              <w:t>Počet</w:t>
            </w:r>
          </w:p>
        </w:tc>
      </w:tr>
      <w:tr w:rsidR="00DA1F52" w14:paraId="70BC05EC" w14:textId="77777777" w:rsidTr="000249FC">
        <w:tc>
          <w:tcPr>
            <w:tcW w:w="1977" w:type="dxa"/>
          </w:tcPr>
          <w:p w14:paraId="78F760A5" w14:textId="77777777" w:rsidR="00DA1F52" w:rsidRDefault="00DA1F52" w:rsidP="000249FC">
            <w:r w:rsidRPr="004C4889">
              <w:t>L-AC-VPNO-25=</w:t>
            </w:r>
          </w:p>
        </w:tc>
        <w:tc>
          <w:tcPr>
            <w:tcW w:w="6237" w:type="dxa"/>
          </w:tcPr>
          <w:p w14:paraId="4543A455" w14:textId="77777777" w:rsidR="00DA1F52" w:rsidRDefault="00DA1F52" w:rsidP="000249FC">
            <w:r w:rsidRPr="004C4889">
              <w:t>Cisco AnyConnect VPN Only, 25 Simultaneous (eDelivery)</w:t>
            </w:r>
          </w:p>
        </w:tc>
        <w:tc>
          <w:tcPr>
            <w:tcW w:w="842" w:type="dxa"/>
          </w:tcPr>
          <w:p w14:paraId="4F043D99" w14:textId="77777777" w:rsidR="00DA1F52" w:rsidRDefault="00DA1F52" w:rsidP="000249FC">
            <w:pPr>
              <w:jc w:val="center"/>
            </w:pPr>
            <w:r>
              <w:t>1</w:t>
            </w:r>
          </w:p>
        </w:tc>
      </w:tr>
      <w:tr w:rsidR="00DA1F52" w14:paraId="0799C789" w14:textId="77777777" w:rsidTr="000249FC">
        <w:tc>
          <w:tcPr>
            <w:tcW w:w="1977" w:type="dxa"/>
          </w:tcPr>
          <w:p w14:paraId="783C2BC9" w14:textId="77777777" w:rsidR="00DA1F52" w:rsidRDefault="00DA1F52" w:rsidP="000249FC">
            <w:r w:rsidRPr="004C4889">
              <w:t>CON-SAU-ACVO25</w:t>
            </w:r>
          </w:p>
        </w:tc>
        <w:tc>
          <w:tcPr>
            <w:tcW w:w="6237" w:type="dxa"/>
          </w:tcPr>
          <w:p w14:paraId="3768C45E" w14:textId="77777777" w:rsidR="00DA1F52" w:rsidRDefault="00DA1F52" w:rsidP="000249FC">
            <w:r w:rsidRPr="004C4889">
              <w:t>SW APP SUPP + UPGR Cisco AnyConnect VPN Only, 25 Simultaneo</w:t>
            </w:r>
            <w:r>
              <w:t>us</w:t>
            </w:r>
          </w:p>
        </w:tc>
        <w:tc>
          <w:tcPr>
            <w:tcW w:w="842" w:type="dxa"/>
          </w:tcPr>
          <w:p w14:paraId="494217D9" w14:textId="77777777" w:rsidR="00DA1F52" w:rsidRDefault="00DA1F52" w:rsidP="000249FC">
            <w:pPr>
              <w:jc w:val="center"/>
            </w:pPr>
            <w:r>
              <w:t>1</w:t>
            </w:r>
          </w:p>
        </w:tc>
      </w:tr>
    </w:tbl>
    <w:p w14:paraId="079E8704" w14:textId="77777777" w:rsidR="001403A3" w:rsidRPr="00305645" w:rsidRDefault="001403A3" w:rsidP="00305645">
      <w:pPr>
        <w:spacing w:before="120"/>
        <w:rPr>
          <w:rFonts w:ascii="Times New Roman" w:hAnsi="Times New Roman" w:cs="Times New Roman"/>
          <w:sz w:val="24"/>
          <w:szCs w:val="24"/>
        </w:rPr>
      </w:pPr>
    </w:p>
    <w:p w14:paraId="25760263" w14:textId="77777777" w:rsidR="00162C59" w:rsidRPr="00162C59" w:rsidRDefault="00162C59" w:rsidP="00D40DBF"/>
    <w:sectPr w:rsidR="00162C59" w:rsidRPr="00162C59" w:rsidSect="002B02DB">
      <w:pgSz w:w="11906" w:h="16838"/>
      <w:pgMar w:top="1304" w:right="1247" w:bottom="130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D69D2" w14:textId="77777777" w:rsidR="007B2E42" w:rsidRDefault="007B2E42" w:rsidP="00305645">
      <w:pPr>
        <w:spacing w:after="0" w:line="240" w:lineRule="auto"/>
      </w:pPr>
      <w:r>
        <w:separator/>
      </w:r>
    </w:p>
  </w:endnote>
  <w:endnote w:type="continuationSeparator" w:id="0">
    <w:p w14:paraId="2CF3E81B" w14:textId="77777777" w:rsidR="007B2E42" w:rsidRDefault="007B2E42" w:rsidP="00305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3F059" w14:textId="77777777" w:rsidR="007B2E42" w:rsidRDefault="007B2E42" w:rsidP="00305645">
      <w:pPr>
        <w:spacing w:after="0" w:line="240" w:lineRule="auto"/>
      </w:pPr>
      <w:r>
        <w:separator/>
      </w:r>
    </w:p>
  </w:footnote>
  <w:footnote w:type="continuationSeparator" w:id="0">
    <w:p w14:paraId="78B8EB56" w14:textId="77777777" w:rsidR="007B2E42" w:rsidRDefault="007B2E42" w:rsidP="003056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8880F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C27D7"/>
    <w:multiLevelType w:val="hybridMultilevel"/>
    <w:tmpl w:val="4D80A08E"/>
    <w:lvl w:ilvl="0" w:tplc="50AA0402">
      <w:start w:val="1"/>
      <w:numFmt w:val="decimal"/>
      <w:lvlText w:val="%1."/>
      <w:lvlJc w:val="left"/>
      <w:pPr>
        <w:ind w:left="397" w:hanging="284"/>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0625D9"/>
    <w:multiLevelType w:val="hybridMultilevel"/>
    <w:tmpl w:val="6332DE50"/>
    <w:lvl w:ilvl="0" w:tplc="0790779C">
      <w:start w:val="1"/>
      <w:numFmt w:val="decimal"/>
      <w:lvlText w:val="%1."/>
      <w:lvlJc w:val="left"/>
      <w:pPr>
        <w:tabs>
          <w:tab w:val="num" w:pos="397"/>
        </w:tabs>
        <w:ind w:left="397"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4660D04"/>
    <w:multiLevelType w:val="hybridMultilevel"/>
    <w:tmpl w:val="EE6C4882"/>
    <w:lvl w:ilvl="0" w:tplc="EA44F178">
      <w:start w:val="1"/>
      <w:numFmt w:val="decimal"/>
      <w:lvlText w:val="%1."/>
      <w:lvlJc w:val="left"/>
      <w:pPr>
        <w:ind w:left="397" w:hanging="284"/>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E23621"/>
    <w:multiLevelType w:val="singleLevel"/>
    <w:tmpl w:val="37320848"/>
    <w:lvl w:ilvl="0">
      <w:start w:val="1"/>
      <w:numFmt w:val="decimal"/>
      <w:lvlText w:val="%1."/>
      <w:lvlJc w:val="left"/>
      <w:pPr>
        <w:tabs>
          <w:tab w:val="num" w:pos="397"/>
        </w:tabs>
        <w:ind w:left="397" w:hanging="284"/>
      </w:pPr>
      <w:rPr>
        <w:rFonts w:hint="default"/>
        <w:i w:val="0"/>
      </w:rPr>
    </w:lvl>
  </w:abstractNum>
  <w:abstractNum w:abstractNumId="5" w15:restartNumberingAfterBreak="0">
    <w:nsid w:val="28AF75AD"/>
    <w:multiLevelType w:val="hybridMultilevel"/>
    <w:tmpl w:val="976C90CC"/>
    <w:lvl w:ilvl="0" w:tplc="EBBC3966">
      <w:start w:val="1"/>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C33422B"/>
    <w:multiLevelType w:val="hybridMultilevel"/>
    <w:tmpl w:val="3F82B206"/>
    <w:lvl w:ilvl="0" w:tplc="2B82730A">
      <w:start w:val="1"/>
      <w:numFmt w:val="decimal"/>
      <w:lvlText w:val="%1."/>
      <w:lvlJc w:val="left"/>
      <w:pPr>
        <w:tabs>
          <w:tab w:val="num" w:pos="510"/>
        </w:tabs>
        <w:ind w:left="510" w:hanging="284"/>
      </w:pPr>
      <w:rPr>
        <w:rFonts w:ascii="Times New Roman" w:eastAsia="Times New Roman" w:hAnsi="Times New Roman" w:cs="Times New Roman"/>
        <w:b w:val="0"/>
      </w:rPr>
    </w:lvl>
    <w:lvl w:ilvl="1" w:tplc="04050019" w:tentative="1">
      <w:start w:val="1"/>
      <w:numFmt w:val="lowerLetter"/>
      <w:lvlText w:val="%2."/>
      <w:lvlJc w:val="left"/>
      <w:pPr>
        <w:tabs>
          <w:tab w:val="num" w:pos="1553"/>
        </w:tabs>
        <w:ind w:left="1553" w:hanging="360"/>
      </w:pPr>
    </w:lvl>
    <w:lvl w:ilvl="2" w:tplc="0405001B" w:tentative="1">
      <w:start w:val="1"/>
      <w:numFmt w:val="lowerRoman"/>
      <w:lvlText w:val="%3."/>
      <w:lvlJc w:val="right"/>
      <w:pPr>
        <w:tabs>
          <w:tab w:val="num" w:pos="2273"/>
        </w:tabs>
        <w:ind w:left="2273" w:hanging="180"/>
      </w:pPr>
    </w:lvl>
    <w:lvl w:ilvl="3" w:tplc="0405000F" w:tentative="1">
      <w:start w:val="1"/>
      <w:numFmt w:val="decimal"/>
      <w:lvlText w:val="%4."/>
      <w:lvlJc w:val="left"/>
      <w:pPr>
        <w:tabs>
          <w:tab w:val="num" w:pos="2993"/>
        </w:tabs>
        <w:ind w:left="2993" w:hanging="360"/>
      </w:pPr>
    </w:lvl>
    <w:lvl w:ilvl="4" w:tplc="04050019" w:tentative="1">
      <w:start w:val="1"/>
      <w:numFmt w:val="lowerLetter"/>
      <w:lvlText w:val="%5."/>
      <w:lvlJc w:val="left"/>
      <w:pPr>
        <w:tabs>
          <w:tab w:val="num" w:pos="3713"/>
        </w:tabs>
        <w:ind w:left="3713" w:hanging="360"/>
      </w:pPr>
    </w:lvl>
    <w:lvl w:ilvl="5" w:tplc="0405001B" w:tentative="1">
      <w:start w:val="1"/>
      <w:numFmt w:val="lowerRoman"/>
      <w:lvlText w:val="%6."/>
      <w:lvlJc w:val="right"/>
      <w:pPr>
        <w:tabs>
          <w:tab w:val="num" w:pos="4433"/>
        </w:tabs>
        <w:ind w:left="4433" w:hanging="180"/>
      </w:pPr>
    </w:lvl>
    <w:lvl w:ilvl="6" w:tplc="0405000F" w:tentative="1">
      <w:start w:val="1"/>
      <w:numFmt w:val="decimal"/>
      <w:lvlText w:val="%7."/>
      <w:lvlJc w:val="left"/>
      <w:pPr>
        <w:tabs>
          <w:tab w:val="num" w:pos="5153"/>
        </w:tabs>
        <w:ind w:left="5153" w:hanging="360"/>
      </w:pPr>
    </w:lvl>
    <w:lvl w:ilvl="7" w:tplc="04050019" w:tentative="1">
      <w:start w:val="1"/>
      <w:numFmt w:val="lowerLetter"/>
      <w:lvlText w:val="%8."/>
      <w:lvlJc w:val="left"/>
      <w:pPr>
        <w:tabs>
          <w:tab w:val="num" w:pos="5873"/>
        </w:tabs>
        <w:ind w:left="5873" w:hanging="360"/>
      </w:pPr>
    </w:lvl>
    <w:lvl w:ilvl="8" w:tplc="0405001B" w:tentative="1">
      <w:start w:val="1"/>
      <w:numFmt w:val="lowerRoman"/>
      <w:lvlText w:val="%9."/>
      <w:lvlJc w:val="right"/>
      <w:pPr>
        <w:tabs>
          <w:tab w:val="num" w:pos="6593"/>
        </w:tabs>
        <w:ind w:left="6593" w:hanging="180"/>
      </w:pPr>
    </w:lvl>
  </w:abstractNum>
  <w:abstractNum w:abstractNumId="7" w15:restartNumberingAfterBreak="0">
    <w:nsid w:val="41F106AF"/>
    <w:multiLevelType w:val="hybridMultilevel"/>
    <w:tmpl w:val="276840C8"/>
    <w:lvl w:ilvl="0" w:tplc="748EE038">
      <w:start w:val="1"/>
      <w:numFmt w:val="decimal"/>
      <w:lvlText w:val="%1."/>
      <w:lvlJc w:val="left"/>
      <w:pPr>
        <w:ind w:left="397" w:hanging="284"/>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7D956FD"/>
    <w:multiLevelType w:val="singleLevel"/>
    <w:tmpl w:val="91B2C75A"/>
    <w:lvl w:ilvl="0">
      <w:start w:val="1"/>
      <w:numFmt w:val="decimal"/>
      <w:lvlText w:val="%1."/>
      <w:legacy w:legacy="1" w:legacySpace="120" w:legacyIndent="284"/>
      <w:lvlJc w:val="left"/>
      <w:pPr>
        <w:ind w:left="397" w:hanging="284"/>
      </w:pPr>
      <w:rPr>
        <w:b w:val="0"/>
        <w:i w:val="0"/>
      </w:rPr>
    </w:lvl>
  </w:abstractNum>
  <w:num w:numId="1">
    <w:abstractNumId w:val="6"/>
  </w:num>
  <w:num w:numId="2">
    <w:abstractNumId w:val="4"/>
  </w:num>
  <w:num w:numId="3">
    <w:abstractNumId w:val="5"/>
  </w:num>
  <w:num w:numId="4">
    <w:abstractNumId w:val="8"/>
  </w:num>
  <w:num w:numId="5">
    <w:abstractNumId w:val="1"/>
  </w:num>
  <w:num w:numId="6">
    <w:abstractNumId w:val="7"/>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C59"/>
    <w:rsid w:val="00045E75"/>
    <w:rsid w:val="00083C43"/>
    <w:rsid w:val="0008766A"/>
    <w:rsid w:val="000950FB"/>
    <w:rsid w:val="000A524C"/>
    <w:rsid w:val="001403A3"/>
    <w:rsid w:val="00162C59"/>
    <w:rsid w:val="001C7332"/>
    <w:rsid w:val="001F6823"/>
    <w:rsid w:val="00205176"/>
    <w:rsid w:val="00266CB0"/>
    <w:rsid w:val="002B02DB"/>
    <w:rsid w:val="002C3377"/>
    <w:rsid w:val="00305645"/>
    <w:rsid w:val="00306147"/>
    <w:rsid w:val="00407CFA"/>
    <w:rsid w:val="00442BF1"/>
    <w:rsid w:val="004B7099"/>
    <w:rsid w:val="004C2791"/>
    <w:rsid w:val="005766CB"/>
    <w:rsid w:val="005A2C5E"/>
    <w:rsid w:val="005C085B"/>
    <w:rsid w:val="005F1B1A"/>
    <w:rsid w:val="0060095F"/>
    <w:rsid w:val="00641517"/>
    <w:rsid w:val="006A2288"/>
    <w:rsid w:val="006A548A"/>
    <w:rsid w:val="007B2E42"/>
    <w:rsid w:val="007B43E7"/>
    <w:rsid w:val="007D6E5E"/>
    <w:rsid w:val="00886373"/>
    <w:rsid w:val="008B55B1"/>
    <w:rsid w:val="009055F0"/>
    <w:rsid w:val="00926D22"/>
    <w:rsid w:val="00954B1B"/>
    <w:rsid w:val="009F5561"/>
    <w:rsid w:val="00A00E59"/>
    <w:rsid w:val="00A02FD3"/>
    <w:rsid w:val="00A26ED8"/>
    <w:rsid w:val="00BE3C4A"/>
    <w:rsid w:val="00D40DBF"/>
    <w:rsid w:val="00D81D6C"/>
    <w:rsid w:val="00DA1F52"/>
    <w:rsid w:val="00E510FD"/>
    <w:rsid w:val="00EB7003"/>
    <w:rsid w:val="00EE4CF2"/>
    <w:rsid w:val="00F704E6"/>
    <w:rsid w:val="00F86A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7530D"/>
  <w15:chartTrackingRefBased/>
  <w15:docId w15:val="{966516AE-69DE-4234-8375-50C752FA3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unhideWhenUsed/>
    <w:qFormat/>
    <w:rsid w:val="003061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Sdajeosmluvnstran">
    <w:name w:val="TS Údaje o smluvní straně"/>
    <w:basedOn w:val="Normln"/>
    <w:rsid w:val="00305645"/>
    <w:pPr>
      <w:spacing w:after="60" w:line="280" w:lineRule="exact"/>
    </w:pPr>
    <w:rPr>
      <w:rFonts w:ascii="Arial" w:eastAsia="Times New Roman" w:hAnsi="Arial" w:cs="Times New Roman"/>
      <w:szCs w:val="24"/>
    </w:rPr>
  </w:style>
  <w:style w:type="paragraph" w:styleId="Textpoznpodarou">
    <w:name w:val="footnote text"/>
    <w:basedOn w:val="Normln"/>
    <w:link w:val="TextpoznpodarouChar"/>
    <w:semiHidden/>
    <w:unhideWhenUsed/>
    <w:rsid w:val="003056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30564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305645"/>
    <w:rPr>
      <w:vertAlign w:val="superscript"/>
    </w:rPr>
  </w:style>
  <w:style w:type="character" w:styleId="Odkaznakoment">
    <w:name w:val="annotation reference"/>
    <w:semiHidden/>
    <w:rsid w:val="009F5561"/>
    <w:rPr>
      <w:sz w:val="16"/>
      <w:szCs w:val="16"/>
    </w:rPr>
  </w:style>
  <w:style w:type="paragraph" w:styleId="Textkomente">
    <w:name w:val="annotation text"/>
    <w:basedOn w:val="Normln"/>
    <w:link w:val="TextkomenteChar"/>
    <w:semiHidden/>
    <w:rsid w:val="009F5561"/>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9F5561"/>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9F556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F5561"/>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9F5561"/>
    <w:pPr>
      <w:overflowPunct/>
      <w:autoSpaceDE/>
      <w:autoSpaceDN/>
      <w:adjustRightInd/>
      <w:spacing w:before="0" w:after="160"/>
      <w:jc w:val="left"/>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9F5561"/>
    <w:rPr>
      <w:rFonts w:ascii="Times New Roman" w:eastAsia="Times New Roman" w:hAnsi="Times New Roman" w:cs="Times New Roman"/>
      <w:b/>
      <w:bCs/>
      <w:sz w:val="20"/>
      <w:szCs w:val="20"/>
      <w:lang w:eastAsia="cs-CZ"/>
    </w:rPr>
  </w:style>
  <w:style w:type="paragraph" w:customStyle="1" w:styleId="NADPISCENNETUC">
    <w:name w:val="NADPIS CENNETUC"/>
    <w:basedOn w:val="Normln"/>
    <w:rsid w:val="004B7099"/>
    <w:pPr>
      <w:keepNext/>
      <w:keepLines/>
      <w:overflowPunct w:val="0"/>
      <w:autoSpaceDE w:val="0"/>
      <w:autoSpaceDN w:val="0"/>
      <w:adjustRightInd w:val="0"/>
      <w:spacing w:before="120" w:after="60" w:line="240" w:lineRule="auto"/>
      <w:jc w:val="center"/>
      <w:textAlignment w:val="baseline"/>
    </w:pPr>
    <w:rPr>
      <w:rFonts w:ascii="Times New Roman" w:eastAsia="Times New Roman" w:hAnsi="Times New Roman" w:cs="Times New Roman"/>
      <w:sz w:val="20"/>
      <w:szCs w:val="20"/>
      <w:lang w:eastAsia="cs-CZ"/>
    </w:rPr>
  </w:style>
  <w:style w:type="paragraph" w:customStyle="1" w:styleId="BODY1">
    <w:name w:val="BODY (1)"/>
    <w:basedOn w:val="Normln"/>
    <w:rsid w:val="005C085B"/>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0"/>
      <w:szCs w:val="20"/>
      <w:lang w:eastAsia="cs-CZ"/>
    </w:rPr>
  </w:style>
  <w:style w:type="paragraph" w:customStyle="1" w:styleId="AJAKO1">
    <w:name w:val="A) JAKO (1)"/>
    <w:basedOn w:val="Normln"/>
    <w:next w:val="BODY1"/>
    <w:rsid w:val="005C085B"/>
    <w:pPr>
      <w:overflowPunct w:val="0"/>
      <w:autoSpaceDE w:val="0"/>
      <w:autoSpaceDN w:val="0"/>
      <w:adjustRightInd w:val="0"/>
      <w:spacing w:before="120" w:after="60" w:line="240" w:lineRule="auto"/>
      <w:ind w:left="284" w:hanging="284"/>
      <w:jc w:val="both"/>
      <w:textAlignment w:val="baseline"/>
    </w:pPr>
    <w:rPr>
      <w:rFonts w:ascii="Times New Roman" w:eastAsia="Times New Roman" w:hAnsi="Times New Roman" w:cs="Times New Roman"/>
      <w:sz w:val="20"/>
      <w:szCs w:val="20"/>
      <w:lang w:eastAsia="cs-CZ"/>
    </w:rPr>
  </w:style>
  <w:style w:type="paragraph" w:styleId="Zkladntext">
    <w:name w:val="Body Text"/>
    <w:basedOn w:val="Normln"/>
    <w:link w:val="ZkladntextChar"/>
    <w:rsid w:val="007B43E7"/>
    <w:pPr>
      <w:spacing w:after="0" w:line="240" w:lineRule="auto"/>
    </w:pPr>
    <w:rPr>
      <w:rFonts w:ascii="Times New Roman" w:eastAsia="Times New Roman" w:hAnsi="Times New Roman" w:cs="Times New Roman"/>
      <w:sz w:val="24"/>
      <w:szCs w:val="20"/>
      <w:lang w:val="x-none" w:eastAsia="cs-CZ"/>
    </w:rPr>
  </w:style>
  <w:style w:type="character" w:customStyle="1" w:styleId="ZkladntextChar">
    <w:name w:val="Základní text Char"/>
    <w:basedOn w:val="Standardnpsmoodstavce"/>
    <w:link w:val="Zkladntext"/>
    <w:rsid w:val="007B43E7"/>
    <w:rPr>
      <w:rFonts w:ascii="Times New Roman" w:eastAsia="Times New Roman" w:hAnsi="Times New Roman" w:cs="Times New Roman"/>
      <w:sz w:val="24"/>
      <w:szCs w:val="20"/>
      <w:lang w:val="x-none" w:eastAsia="cs-CZ"/>
    </w:rPr>
  </w:style>
  <w:style w:type="table" w:styleId="Mkatabulky">
    <w:name w:val="Table Grid"/>
    <w:basedOn w:val="Normlntabulka"/>
    <w:uiPriority w:val="39"/>
    <w:rsid w:val="00DA1F52"/>
    <w:pPr>
      <w:spacing w:after="0" w:line="240" w:lineRule="auto"/>
    </w:pPr>
    <w:rPr>
      <w:rFonts w:ascii="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30614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7B42F-6ECE-48EA-9095-D8B138247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1256</Words>
  <Characters>7414</Characters>
  <Application>Microsoft Office Word</Application>
  <DocSecurity>0</DocSecurity>
  <Lines>61</Lines>
  <Paragraphs>17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Licenční smlouva</vt:lpstr>
      <vt:lpstr>Licenční smlouva</vt:lpstr>
    </vt:vector>
  </TitlesOfParts>
  <Manager/>
  <Company>Nemocnice Na Homolce</Company>
  <LinksUpToDate>false</LinksUpToDate>
  <CharactersWithSpaces>8653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Licenční smlouva</dc:title>
  <dc:subject/>
  <dc:creator>Václav Minářů</dc:creator>
  <cp:keywords/>
  <dc:description/>
  <cp:lastModifiedBy>Kapusňaková Jindřiška</cp:lastModifiedBy>
  <cp:revision>6</cp:revision>
  <dcterms:created xsi:type="dcterms:W3CDTF">2016-11-10T21:10:00Z</dcterms:created>
  <dcterms:modified xsi:type="dcterms:W3CDTF">2016-12-14T09:01:00Z</dcterms:modified>
  <cp:category/>
</cp:coreProperties>
</file>