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E9" w:rsidRDefault="0072232E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>Smlouva o poskytování technického a systémového servisu</w:t>
      </w:r>
      <w:bookmarkEnd w:id="0"/>
      <w:bookmarkEnd w:id="1"/>
    </w:p>
    <w:p w:rsidR="00DC71E9" w:rsidRDefault="0072232E">
      <w:pPr>
        <w:pStyle w:val="Zkladntext1"/>
        <w:numPr>
          <w:ilvl w:val="0"/>
          <w:numId w:val="1"/>
        </w:numPr>
        <w:shd w:val="clear" w:color="auto" w:fill="auto"/>
        <w:tabs>
          <w:tab w:val="left" w:pos="495"/>
        </w:tabs>
        <w:spacing w:after="0"/>
        <w:ind w:firstLine="140"/>
      </w:pPr>
      <w:r>
        <w:t xml:space="preserve">Objednatel: </w:t>
      </w:r>
      <w:r>
        <w:rPr>
          <w:b/>
          <w:bCs/>
        </w:rPr>
        <w:t>SPORTOVNÍ HALA MOST, a.s.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se sídlem v Mostě, tř. Budovatelů čp. 112/2, PSČ 434 01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IČO: 250 44 001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DIČ: CZ25044001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 xml:space="preserve">Bankovní spojení: </w:t>
      </w:r>
      <w:proofErr w:type="spellStart"/>
      <w:r>
        <w:t>xxx</w:t>
      </w:r>
      <w:proofErr w:type="spellEnd"/>
    </w:p>
    <w:p w:rsidR="00DC71E9" w:rsidRDefault="0072232E">
      <w:pPr>
        <w:pStyle w:val="Zkladntext1"/>
        <w:shd w:val="clear" w:color="auto" w:fill="auto"/>
        <w:tabs>
          <w:tab w:val="left" w:pos="1580"/>
        </w:tabs>
        <w:spacing w:after="0"/>
        <w:ind w:firstLine="140"/>
      </w:pPr>
      <w:r>
        <w:t>zastoupená:</w:t>
      </w:r>
      <w:r>
        <w:tab/>
      </w:r>
      <w:proofErr w:type="spellStart"/>
      <w:r>
        <w:t>xxx</w:t>
      </w:r>
      <w:proofErr w:type="spellEnd"/>
    </w:p>
    <w:p w:rsidR="00DC71E9" w:rsidRDefault="0072232E">
      <w:pPr>
        <w:pStyle w:val="Zkladntext1"/>
        <w:shd w:val="clear" w:color="auto" w:fill="auto"/>
        <w:spacing w:after="1180"/>
        <w:ind w:firstLine="140"/>
      </w:pPr>
      <w:r>
        <w:t xml:space="preserve"> (dále jen objednatel)</w:t>
      </w:r>
    </w:p>
    <w:p w:rsidR="00DC71E9" w:rsidRDefault="0072232E">
      <w:pPr>
        <w:pStyle w:val="Zkladntext1"/>
        <w:shd w:val="clear" w:color="auto" w:fill="auto"/>
        <w:spacing w:after="1180"/>
        <w:ind w:firstLine="140"/>
      </w:pPr>
      <w:r>
        <w:t>a</w:t>
      </w:r>
    </w:p>
    <w:p w:rsidR="00DC71E9" w:rsidRDefault="0072232E">
      <w:pPr>
        <w:pStyle w:val="Zkladntext1"/>
        <w:numPr>
          <w:ilvl w:val="0"/>
          <w:numId w:val="1"/>
        </w:numPr>
        <w:shd w:val="clear" w:color="auto" w:fill="auto"/>
        <w:tabs>
          <w:tab w:val="left" w:pos="524"/>
        </w:tabs>
        <w:spacing w:after="0"/>
        <w:ind w:firstLine="140"/>
      </w:pPr>
      <w:r>
        <w:t xml:space="preserve">Zhotovitel: </w:t>
      </w:r>
      <w:r>
        <w:rPr>
          <w:b/>
          <w:bCs/>
        </w:rPr>
        <w:t>Ferdinand HALMI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se sídlem v Mostě, Komenského 510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IČO: 134 55 702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DIČ: CZ5701177416</w:t>
      </w:r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 xml:space="preserve">Bankovní spojení: </w:t>
      </w:r>
      <w:proofErr w:type="spellStart"/>
      <w:r>
        <w:t>xxx</w:t>
      </w:r>
      <w:proofErr w:type="spellEnd"/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 xml:space="preserve">zastoupená: </w:t>
      </w:r>
      <w:proofErr w:type="spellStart"/>
      <w:r>
        <w:t>xxx</w:t>
      </w:r>
      <w:proofErr w:type="spellEnd"/>
    </w:p>
    <w:p w:rsidR="00DC71E9" w:rsidRDefault="0072232E">
      <w:pPr>
        <w:pStyle w:val="Zkladntext1"/>
        <w:shd w:val="clear" w:color="auto" w:fill="auto"/>
        <w:spacing w:after="200"/>
        <w:ind w:firstLine="140"/>
      </w:pPr>
      <w:r>
        <w:t>(dále jen zhotovitel)</w:t>
      </w:r>
    </w:p>
    <w:p w:rsidR="0072232E" w:rsidRDefault="0072232E">
      <w:pPr>
        <w:pStyle w:val="Zkladntext1"/>
        <w:shd w:val="clear" w:color="auto" w:fill="auto"/>
        <w:spacing w:after="200"/>
        <w:ind w:firstLine="140"/>
      </w:pPr>
    </w:p>
    <w:p w:rsidR="00DC71E9" w:rsidRDefault="0072232E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DC71E9" w:rsidRDefault="0072232E">
      <w:pPr>
        <w:pStyle w:val="Nadpis30"/>
        <w:keepNext/>
        <w:keepLines/>
        <w:shd w:val="clear" w:color="auto" w:fill="auto"/>
        <w:spacing w:after="680"/>
      </w:pPr>
      <w:bookmarkStart w:id="2" w:name="bookmark2"/>
      <w:bookmarkStart w:id="3" w:name="bookmark3"/>
      <w:r>
        <w:t>Předmět plnění</w:t>
      </w:r>
      <w:bookmarkEnd w:id="2"/>
      <w:bookmarkEnd w:id="3"/>
    </w:p>
    <w:p w:rsidR="00DC71E9" w:rsidRDefault="0072232E">
      <w:pPr>
        <w:pStyle w:val="Zkladntext1"/>
        <w:shd w:val="clear" w:color="auto" w:fill="auto"/>
        <w:spacing w:line="271" w:lineRule="auto"/>
        <w:jc w:val="both"/>
      </w:pPr>
      <w:r>
        <w:t xml:space="preserve">Zhotovitel se zavazuje, že bude poskytovat objednateli v rámci jeho provozu kanceláří vybavených </w:t>
      </w:r>
      <w:r>
        <w:lastRenderedPageBreak/>
        <w:t>VT v objektu společnosti, v ulici tř. Budovatelů čp. 112/2 v Mostě s účinností od 1.2.2015 technický a systémový servis výpočetní techniky.</w:t>
      </w:r>
    </w:p>
    <w:p w:rsidR="00DC71E9" w:rsidRDefault="0072232E">
      <w:pPr>
        <w:pStyle w:val="Zkladntext1"/>
        <w:shd w:val="clear" w:color="auto" w:fill="auto"/>
        <w:spacing w:after="680" w:line="276" w:lineRule="auto"/>
        <w:jc w:val="both"/>
      </w:pPr>
      <w:r>
        <w:t>Objednatel se zavazuje uhradit zhotoviteli cenu za prací a služby ve výši dle článku III. této smlouvy.</w:t>
      </w:r>
    </w:p>
    <w:p w:rsidR="00DC71E9" w:rsidRDefault="0072232E">
      <w:pPr>
        <w:pStyle w:val="Zkladntext1"/>
        <w:shd w:val="clear" w:color="auto" w:fill="auto"/>
        <w:spacing w:after="80" w:line="269" w:lineRule="auto"/>
        <w:jc w:val="center"/>
      </w:pPr>
      <w:r>
        <w:rPr>
          <w:b/>
          <w:bCs/>
        </w:rPr>
        <w:t>II.</w:t>
      </w:r>
    </w:p>
    <w:p w:rsidR="00DC71E9" w:rsidRDefault="0072232E">
      <w:pPr>
        <w:pStyle w:val="Nadpis30"/>
        <w:keepNext/>
        <w:keepLines/>
        <w:shd w:val="clear" w:color="auto" w:fill="auto"/>
        <w:spacing w:after="680" w:line="154" w:lineRule="auto"/>
      </w:pPr>
      <w:bookmarkStart w:id="4" w:name="bookmark4"/>
      <w:bookmarkStart w:id="5" w:name="bookmark5"/>
      <w:r>
        <w:br/>
        <w:t>Čas plnění</w:t>
      </w:r>
      <w:bookmarkEnd w:id="4"/>
      <w:bookmarkEnd w:id="5"/>
    </w:p>
    <w:p w:rsidR="00DC71E9" w:rsidRDefault="0072232E">
      <w:pPr>
        <w:pStyle w:val="Zkladntext1"/>
        <w:numPr>
          <w:ilvl w:val="1"/>
          <w:numId w:val="1"/>
        </w:numPr>
        <w:shd w:val="clear" w:color="auto" w:fill="auto"/>
        <w:tabs>
          <w:tab w:val="left" w:pos="538"/>
        </w:tabs>
        <w:spacing w:line="269" w:lineRule="auto"/>
        <w:jc w:val="both"/>
      </w:pPr>
      <w:r>
        <w:t>Zhotovitel se touto smlouvou zavazuje poskytovat služby uvedené v čl. I. Obsahem těchto služeb je udržování hardware v dobrém technickém stavu formou preventivních prohlídek a oprav. Pro účely těchto služeb se hardwarové prostředky dělí na: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servery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pracovní stanice (zapojené v sítí i mimo síť)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tiskárny</w:t>
      </w:r>
    </w:p>
    <w:p w:rsidR="00DC71E9" w:rsidRDefault="0072232E">
      <w:pPr>
        <w:pStyle w:val="Zkladntext1"/>
        <w:shd w:val="clear" w:color="auto" w:fill="auto"/>
        <w:spacing w:after="480"/>
        <w:ind w:left="1060"/>
      </w:pPr>
      <w:r>
        <w:t>síťové prostředky (aktivní prvky sítě, kabeláž)</w:t>
      </w:r>
    </w:p>
    <w:p w:rsidR="00DC71E9" w:rsidRDefault="0072232E">
      <w:pPr>
        <w:pStyle w:val="Zkladntext1"/>
        <w:numPr>
          <w:ilvl w:val="1"/>
          <w:numId w:val="1"/>
        </w:numPr>
        <w:shd w:val="clear" w:color="auto" w:fill="auto"/>
        <w:tabs>
          <w:tab w:val="left" w:pos="538"/>
        </w:tabs>
        <w:spacing w:after="0"/>
      </w:pPr>
      <w:r>
        <w:t>Opravy jednotlivých produktů zahrnují následující činnosti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servery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oprava vadných částí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výměna vadných dílů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konfigurace a správa sítě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odvirování serveru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pracovní stanice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oprava vadných částí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výměna vadných dílů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konfigurace stanice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odvirování stanice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tiskárny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oprava vadných částí</w:t>
      </w:r>
    </w:p>
    <w:p w:rsidR="00DC71E9" w:rsidRDefault="0072232E">
      <w:pPr>
        <w:pStyle w:val="Zkladntext1"/>
        <w:shd w:val="clear" w:color="auto" w:fill="auto"/>
        <w:spacing w:after="0" w:line="230" w:lineRule="auto"/>
        <w:ind w:left="1440"/>
      </w:pPr>
      <w:r>
        <w:t>o výměna vadných dílů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konfigurace tiskárny</w:t>
      </w:r>
    </w:p>
    <w:p w:rsidR="00DC71E9" w:rsidRDefault="0072232E">
      <w:pPr>
        <w:pStyle w:val="Zkladntext1"/>
        <w:shd w:val="clear" w:color="auto" w:fill="auto"/>
        <w:spacing w:after="0"/>
        <w:ind w:left="1060"/>
      </w:pPr>
      <w:r>
        <w:t>síťové prostředky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oprava vadných částí</w:t>
      </w:r>
    </w:p>
    <w:p w:rsidR="00DC71E9" w:rsidRDefault="0072232E">
      <w:pPr>
        <w:pStyle w:val="Zkladntext1"/>
        <w:shd w:val="clear" w:color="auto" w:fill="auto"/>
        <w:spacing w:after="0"/>
        <w:ind w:left="1440"/>
      </w:pPr>
      <w:r>
        <w:t>o výměna vadných dílů</w:t>
      </w:r>
    </w:p>
    <w:p w:rsidR="00DC71E9" w:rsidRDefault="0072232E">
      <w:pPr>
        <w:pStyle w:val="Zkladntext1"/>
        <w:shd w:val="clear" w:color="auto" w:fill="auto"/>
        <w:spacing w:after="40"/>
        <w:ind w:left="1440"/>
        <w:sectPr w:rsidR="00DC71E9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818" w:right="1267" w:bottom="1785" w:left="1133" w:header="0" w:footer="3" w:gutter="0"/>
          <w:pgNumType w:start="1"/>
          <w:cols w:space="720"/>
          <w:noEndnote/>
          <w:titlePg/>
          <w:docGrid w:linePitch="360"/>
        </w:sectPr>
      </w:pPr>
      <w:r>
        <w:t>o konfigurace prostředku</w:t>
      </w:r>
    </w:p>
    <w:p w:rsidR="0072232E" w:rsidRDefault="0072232E">
      <w:pPr>
        <w:pStyle w:val="Zkladntext1"/>
        <w:numPr>
          <w:ilvl w:val="1"/>
          <w:numId w:val="1"/>
        </w:numPr>
        <w:shd w:val="clear" w:color="auto" w:fill="auto"/>
        <w:tabs>
          <w:tab w:val="left" w:pos="478"/>
        </w:tabs>
        <w:spacing w:after="0"/>
        <w:ind w:left="1120" w:hanging="1120"/>
        <w:jc w:val="both"/>
      </w:pPr>
      <w:r>
        <w:t xml:space="preserve">Preventivní prohlídky u všech produktů se provádějí jedenkrát za 1 měsíc a zahrnují: </w:t>
      </w:r>
    </w:p>
    <w:p w:rsidR="0072232E" w:rsidRDefault="0072232E" w:rsidP="0072232E">
      <w:pPr>
        <w:pStyle w:val="Zkladntext1"/>
        <w:shd w:val="clear" w:color="auto" w:fill="auto"/>
        <w:tabs>
          <w:tab w:val="left" w:pos="478"/>
        </w:tabs>
        <w:spacing w:after="0"/>
        <w:ind w:left="1120"/>
        <w:jc w:val="both"/>
      </w:pPr>
      <w:r>
        <w:t xml:space="preserve">kontrolu funkčnosti </w:t>
      </w:r>
    </w:p>
    <w:p w:rsidR="0072232E" w:rsidRDefault="0072232E" w:rsidP="0072232E">
      <w:pPr>
        <w:pStyle w:val="Zkladntext1"/>
        <w:shd w:val="clear" w:color="auto" w:fill="auto"/>
        <w:tabs>
          <w:tab w:val="left" w:pos="478"/>
        </w:tabs>
        <w:spacing w:after="0"/>
        <w:ind w:left="1120"/>
        <w:jc w:val="both"/>
      </w:pPr>
      <w:r>
        <w:t xml:space="preserve">monitoring síťových prostředků </w:t>
      </w:r>
    </w:p>
    <w:p w:rsidR="00DC71E9" w:rsidRDefault="0072232E" w:rsidP="0072232E">
      <w:pPr>
        <w:pStyle w:val="Zkladntext1"/>
        <w:shd w:val="clear" w:color="auto" w:fill="auto"/>
        <w:tabs>
          <w:tab w:val="left" w:pos="478"/>
        </w:tabs>
        <w:spacing w:after="0"/>
        <w:ind w:left="1120"/>
        <w:jc w:val="both"/>
      </w:pPr>
      <w:r>
        <w:t>antivirovou kontrolu</w:t>
      </w:r>
    </w:p>
    <w:p w:rsidR="00DC71E9" w:rsidRDefault="0072232E">
      <w:pPr>
        <w:pStyle w:val="Zkladntext1"/>
        <w:shd w:val="clear" w:color="auto" w:fill="auto"/>
        <w:spacing w:after="680" w:line="276" w:lineRule="auto"/>
      </w:pPr>
      <w:r>
        <w:t>Čištění vnitřku přístroje se provádí jedenkrát za 12 měsíců (při provozu v znečištěném prostředí dle potřeby).</w:t>
      </w:r>
    </w:p>
    <w:p w:rsidR="0072232E" w:rsidRDefault="0072232E">
      <w:pPr>
        <w:pStyle w:val="Zkladntext1"/>
        <w:numPr>
          <w:ilvl w:val="1"/>
          <w:numId w:val="1"/>
        </w:numPr>
        <w:shd w:val="clear" w:color="auto" w:fill="auto"/>
        <w:tabs>
          <w:tab w:val="left" w:pos="475"/>
        </w:tabs>
        <w:spacing w:after="0"/>
      </w:pPr>
      <w:r>
        <w:lastRenderedPageBreak/>
        <w:t xml:space="preserve">Zaručená dostupnost pro nahlášení poruch je v pracovní dny od 8 do 16 hodin. Doba odezvy servisu (čas, do kterého bude zahájena oprava) je pro jednotlivé prostředky stanovená takto: </w:t>
      </w:r>
    </w:p>
    <w:p w:rsidR="0072232E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  <w:r>
        <w:tab/>
        <w:t>servery do 4 hodin od nahlášení poruchy</w:t>
      </w:r>
    </w:p>
    <w:p w:rsidR="0072232E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  <w:r>
        <w:tab/>
        <w:t>síťové prostředky do 8 hodin od nahlášení poruchy pracovní stanice do 24 hodin od nahlášení poruchy</w:t>
      </w:r>
    </w:p>
    <w:p w:rsidR="00DC71E9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  <w:r>
        <w:tab/>
        <w:t>tiskárny do 24 hodin od nahlášení poruchy</w:t>
      </w:r>
    </w:p>
    <w:p w:rsidR="0072232E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</w:p>
    <w:p w:rsidR="0072232E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</w:p>
    <w:p w:rsidR="0072232E" w:rsidRDefault="0072232E" w:rsidP="0072232E">
      <w:pPr>
        <w:pStyle w:val="Zkladntext1"/>
        <w:shd w:val="clear" w:color="auto" w:fill="auto"/>
        <w:tabs>
          <w:tab w:val="left" w:pos="475"/>
        </w:tabs>
        <w:spacing w:after="0"/>
      </w:pPr>
    </w:p>
    <w:p w:rsidR="00DC71E9" w:rsidRDefault="0072232E">
      <w:pPr>
        <w:pStyle w:val="Zkladntext1"/>
        <w:shd w:val="clear" w:color="auto" w:fill="auto"/>
        <w:spacing w:after="160" w:line="266" w:lineRule="auto"/>
        <w:jc w:val="center"/>
      </w:pPr>
      <w:r>
        <w:rPr>
          <w:b/>
          <w:bCs/>
        </w:rPr>
        <w:t>III.</w:t>
      </w:r>
    </w:p>
    <w:p w:rsidR="00DC71E9" w:rsidRDefault="0072232E">
      <w:pPr>
        <w:pStyle w:val="Nadpis30"/>
        <w:keepNext/>
        <w:keepLines/>
        <w:shd w:val="clear" w:color="auto" w:fill="auto"/>
        <w:spacing w:after="680" w:line="266" w:lineRule="auto"/>
      </w:pPr>
      <w:bookmarkStart w:id="6" w:name="bookmark6"/>
      <w:bookmarkStart w:id="7" w:name="bookmark7"/>
      <w:r>
        <w:t>Cena a platební podmínky</w:t>
      </w:r>
      <w:bookmarkEnd w:id="6"/>
      <w:bookmarkEnd w:id="7"/>
    </w:p>
    <w:p w:rsidR="00DC71E9" w:rsidRDefault="0072232E">
      <w:pPr>
        <w:pStyle w:val="Zkladntext1"/>
        <w:numPr>
          <w:ilvl w:val="0"/>
          <w:numId w:val="2"/>
        </w:numPr>
        <w:shd w:val="clear" w:color="auto" w:fill="auto"/>
        <w:tabs>
          <w:tab w:val="left" w:pos="475"/>
        </w:tabs>
        <w:spacing w:after="680" w:line="266" w:lineRule="auto"/>
        <w:jc w:val="both"/>
      </w:pPr>
      <w:r>
        <w:t xml:space="preserve">Pro výkon služeb specifikovaných v odstavci II. této smlouvy je sjednána smluvní cena ve smyslu zákona 526/1990 Sb. mezi jejími účastníky, v měsíční výši </w:t>
      </w:r>
      <w:proofErr w:type="gramStart"/>
      <w:r>
        <w:t>1.500,-</w:t>
      </w:r>
      <w:proofErr w:type="gramEnd"/>
      <w:r>
        <w:t xml:space="preserve"> Kč bez DPH.</w:t>
      </w:r>
    </w:p>
    <w:p w:rsidR="00DC71E9" w:rsidRDefault="0072232E">
      <w:pPr>
        <w:pStyle w:val="Zkladntext1"/>
        <w:numPr>
          <w:ilvl w:val="0"/>
          <w:numId w:val="2"/>
        </w:numPr>
        <w:shd w:val="clear" w:color="auto" w:fill="auto"/>
        <w:tabs>
          <w:tab w:val="left" w:pos="486"/>
        </w:tabs>
        <w:spacing w:after="680" w:line="266" w:lineRule="auto"/>
        <w:jc w:val="both"/>
      </w:pPr>
      <w:r>
        <w:t xml:space="preserve">Smluvní cena bude hrazena na základě daňového </w:t>
      </w:r>
      <w:proofErr w:type="gramStart"/>
      <w:r>
        <w:t>dokladu - faktury</w:t>
      </w:r>
      <w:proofErr w:type="gramEnd"/>
      <w:r>
        <w:t xml:space="preserve">. Faktura je splatná do 14 dnů od doručení objednateli. Cena zahrnuje dopravní náklady zhotovitele, dále zahrnuje opravu vadných součástí a výlohy za práce. V případě prodlení s platbou ze strany objednatele je tento povinen uhradit zhotoviteli smluvní pokutu ve výši </w:t>
      </w:r>
      <w:proofErr w:type="gramStart"/>
      <w:r>
        <w:t>0,5%</w:t>
      </w:r>
      <w:proofErr w:type="gramEnd"/>
      <w:r>
        <w:t xml:space="preserve"> za každý den prodlení z nezaplacené částky. Nezahrnuje cenu náhradních dílů, komponentů a spotřebního materiálu použitého při opravě. Tyto náklady budou účtovány samostatně podle platného ceníku na naších www stránkách.</w:t>
      </w:r>
    </w:p>
    <w:p w:rsidR="00DC71E9" w:rsidRDefault="0072232E">
      <w:pPr>
        <w:pStyle w:val="Zkladntext1"/>
        <w:numPr>
          <w:ilvl w:val="0"/>
          <w:numId w:val="2"/>
        </w:numPr>
        <w:shd w:val="clear" w:color="auto" w:fill="auto"/>
        <w:tabs>
          <w:tab w:val="left" w:pos="475"/>
        </w:tabs>
        <w:spacing w:after="0" w:line="233" w:lineRule="auto"/>
        <w:sectPr w:rsidR="00DC71E9">
          <w:headerReference w:type="default" r:id="rId11"/>
          <w:footerReference w:type="default" r:id="rId12"/>
          <w:type w:val="continuous"/>
          <w:pgSz w:w="11900" w:h="16840"/>
          <w:pgMar w:top="1818" w:right="1267" w:bottom="1785" w:left="1133" w:header="0" w:footer="1357" w:gutter="0"/>
          <w:cols w:space="720"/>
          <w:noEndnote/>
          <w:docGrid w:linePitch="360"/>
        </w:sectPr>
      </w:pPr>
      <w:r>
        <w:t>Při změnách právních předpisů či ekonomických podmínek se ceny způsobem odpovídajícím těmto změnám procentuálně přizpůsobí, přičemž každá změna musí být předem projednána mezi účastníky.</w:t>
      </w:r>
    </w:p>
    <w:p w:rsidR="00DC71E9" w:rsidRDefault="0072232E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lastRenderedPageBreak/>
        <w:t>IV.</w:t>
      </w:r>
    </w:p>
    <w:p w:rsidR="00DC71E9" w:rsidRDefault="0072232E">
      <w:pPr>
        <w:pStyle w:val="Nadpis30"/>
        <w:keepNext/>
        <w:keepLines/>
        <w:shd w:val="clear" w:color="auto" w:fill="auto"/>
        <w:spacing w:after="660"/>
      </w:pPr>
      <w:bookmarkStart w:id="8" w:name="bookmark10"/>
      <w:bookmarkStart w:id="9" w:name="bookmark11"/>
      <w:r>
        <w:t>Odpovědnost za vady</w:t>
      </w:r>
      <w:bookmarkEnd w:id="8"/>
      <w:bookmarkEnd w:id="9"/>
    </w:p>
    <w:p w:rsidR="00DC71E9" w:rsidRDefault="0072232E">
      <w:pPr>
        <w:pStyle w:val="Zkladntext1"/>
        <w:numPr>
          <w:ilvl w:val="0"/>
          <w:numId w:val="3"/>
        </w:numPr>
        <w:shd w:val="clear" w:color="auto" w:fill="auto"/>
        <w:tabs>
          <w:tab w:val="left" w:pos="534"/>
        </w:tabs>
        <w:spacing w:after="660" w:line="269" w:lineRule="auto"/>
        <w:jc w:val="both"/>
      </w:pPr>
      <w:r>
        <w:t>Objednatel je povinen reklamovat zjevné vady kvality a rozsahu služeb a prací okamžitě při jejich zjištění, nejpozději však do tří pracovních dnů ode dne provedené služby nebo práce nebo doby, kdy měla být tato provedena.</w:t>
      </w:r>
    </w:p>
    <w:p w:rsidR="00DC71E9" w:rsidRDefault="0072232E">
      <w:pPr>
        <w:pStyle w:val="Zkladntext1"/>
        <w:numPr>
          <w:ilvl w:val="0"/>
          <w:numId w:val="3"/>
        </w:numPr>
        <w:shd w:val="clear" w:color="auto" w:fill="auto"/>
        <w:tabs>
          <w:tab w:val="left" w:pos="512"/>
        </w:tabs>
        <w:spacing w:after="660" w:line="269" w:lineRule="auto"/>
        <w:jc w:val="both"/>
      </w:pPr>
      <w:r>
        <w:t>Zhotovitel je povinen bezúplatně odstranit právem reklamovanou vadu práce nebo služby a nastoupit na případnou opravu při poruše počítače do 8 hodin. V případě serveru nástup na opravu do 4 hodin v rámci pracovního dne, tj. mezi 08.00 - 15.00 hod.</w:t>
      </w:r>
    </w:p>
    <w:p w:rsidR="00DC71E9" w:rsidRDefault="0072232E">
      <w:pPr>
        <w:pStyle w:val="Zkladntext1"/>
        <w:numPr>
          <w:ilvl w:val="0"/>
          <w:numId w:val="3"/>
        </w:numPr>
        <w:shd w:val="clear" w:color="auto" w:fill="auto"/>
        <w:tabs>
          <w:tab w:val="left" w:pos="512"/>
        </w:tabs>
        <w:spacing w:after="660" w:line="269" w:lineRule="auto"/>
        <w:jc w:val="both"/>
      </w:pPr>
      <w:r>
        <w:t>V případě, že reklamovaná vada není včas a řádně odstraněna, má objednatel právo na přiměřenou slevu z ceny nebo na odstranění vady vlastními pracovníky či třetími osobami na účet zhotovitele.</w:t>
      </w:r>
    </w:p>
    <w:p w:rsidR="00DC71E9" w:rsidRDefault="0072232E">
      <w:pPr>
        <w:pStyle w:val="Zkladntext1"/>
        <w:numPr>
          <w:ilvl w:val="0"/>
          <w:numId w:val="3"/>
        </w:numPr>
        <w:shd w:val="clear" w:color="auto" w:fill="auto"/>
        <w:tabs>
          <w:tab w:val="left" w:pos="508"/>
        </w:tabs>
        <w:spacing w:after="660" w:line="266" w:lineRule="auto"/>
        <w:jc w:val="both"/>
      </w:pPr>
      <w:r>
        <w:t>Objednatel nemá právo na slevu z ceny nebo úhradu nákladů podle předchozího bodu, pokud neumožní zhotoviteli odstranit oprávněně reklamovanou vadu.</w:t>
      </w:r>
    </w:p>
    <w:p w:rsidR="00DC71E9" w:rsidRDefault="0072232E">
      <w:pPr>
        <w:pStyle w:val="Zkladntext1"/>
        <w:shd w:val="clear" w:color="auto" w:fill="auto"/>
        <w:spacing w:after="200" w:line="266" w:lineRule="auto"/>
        <w:jc w:val="center"/>
      </w:pPr>
      <w:r>
        <w:rPr>
          <w:b/>
          <w:bCs/>
        </w:rPr>
        <w:t>V.</w:t>
      </w:r>
    </w:p>
    <w:p w:rsidR="00DC71E9" w:rsidRDefault="0072232E">
      <w:pPr>
        <w:pStyle w:val="Nadpis30"/>
        <w:keepNext/>
        <w:keepLines/>
        <w:shd w:val="clear" w:color="auto" w:fill="auto"/>
        <w:spacing w:after="660" w:line="266" w:lineRule="auto"/>
      </w:pPr>
      <w:bookmarkStart w:id="10" w:name="bookmark12"/>
      <w:bookmarkStart w:id="11" w:name="bookmark13"/>
      <w:r>
        <w:t>Ostatní ujednání</w:t>
      </w:r>
      <w:bookmarkEnd w:id="10"/>
      <w:bookmarkEnd w:id="11"/>
    </w:p>
    <w:p w:rsidR="00DC71E9" w:rsidRDefault="0072232E">
      <w:pPr>
        <w:pStyle w:val="Zkladntext1"/>
        <w:numPr>
          <w:ilvl w:val="0"/>
          <w:numId w:val="4"/>
        </w:numPr>
        <w:shd w:val="clear" w:color="auto" w:fill="auto"/>
        <w:tabs>
          <w:tab w:val="left" w:pos="512"/>
        </w:tabs>
        <w:spacing w:after="660" w:line="269" w:lineRule="auto"/>
        <w:jc w:val="both"/>
      </w:pPr>
      <w:r>
        <w:t>Obě strany se zavazují v průběhu platnosti smlouvy spolupracovat při realizaci jejího předmětu plnění. K tomu účelu určí osoby odpovědné za řešení a vyřizování běžných záležitostí vyplývajících ze vzájemné součinnosti.</w:t>
      </w:r>
    </w:p>
    <w:p w:rsidR="00DC71E9" w:rsidRDefault="0072232E">
      <w:pPr>
        <w:pStyle w:val="Zkladntext1"/>
        <w:numPr>
          <w:ilvl w:val="0"/>
          <w:numId w:val="4"/>
        </w:numPr>
        <w:shd w:val="clear" w:color="auto" w:fill="auto"/>
        <w:tabs>
          <w:tab w:val="left" w:pos="512"/>
        </w:tabs>
        <w:spacing w:after="480"/>
        <w:jc w:val="both"/>
      </w:pPr>
      <w:r>
        <w:t>Obě strany se zavazují nejpozději při ukončení smlouvy vrátit druhé straně veškeré písemnosti, které jí náleží. Rovněž se zavazují utajit znalosti a informace z oblasti druhé smluvní strany, a to jak během trvání smlouvy, tak i po jejím skončení. Případné spory obou stran se budou řešit přednostně dohodou.</w:t>
      </w:r>
    </w:p>
    <w:p w:rsidR="00DC71E9" w:rsidRDefault="0072232E">
      <w:pPr>
        <w:pStyle w:val="Zkladntext1"/>
        <w:numPr>
          <w:ilvl w:val="0"/>
          <w:numId w:val="4"/>
        </w:numPr>
        <w:shd w:val="clear" w:color="auto" w:fill="auto"/>
        <w:tabs>
          <w:tab w:val="left" w:pos="512"/>
        </w:tabs>
        <w:spacing w:after="0" w:line="266" w:lineRule="auto"/>
        <w:jc w:val="both"/>
        <w:sectPr w:rsidR="00DC71E9">
          <w:headerReference w:type="default" r:id="rId13"/>
          <w:footerReference w:type="default" r:id="rId14"/>
          <w:pgSz w:w="11900" w:h="16840"/>
          <w:pgMar w:top="756" w:right="1277" w:bottom="1277" w:left="1122" w:header="0" w:footer="3" w:gutter="0"/>
          <w:cols w:space="720"/>
          <w:noEndnote/>
          <w:docGrid w:linePitch="360"/>
        </w:sectPr>
      </w:pPr>
      <w:r>
        <w:t>Tuto smlouvu je možné vypovědět s měsíční výpovědní lhůtou pro nesplnění podstatných smluvních povinností, přičemž výpovědní lhůta počíná běžet prvním dnem měsíce následujícího po doručení písemné výpovědi druhé straně. Z jiných důvodů nebo i bez udání důvodů je tuto smlouvu možno vypovědět s dvouměsíční výpovědní lhůtou.</w:t>
      </w:r>
    </w:p>
    <w:p w:rsidR="00DC71E9" w:rsidRDefault="0072232E">
      <w:pPr>
        <w:pStyle w:val="Zkladntext1"/>
        <w:numPr>
          <w:ilvl w:val="0"/>
          <w:numId w:val="4"/>
        </w:numPr>
        <w:shd w:val="clear" w:color="auto" w:fill="auto"/>
        <w:tabs>
          <w:tab w:val="left" w:pos="479"/>
        </w:tabs>
        <w:spacing w:after="480"/>
        <w:jc w:val="both"/>
      </w:pPr>
      <w:r>
        <w:lastRenderedPageBreak/>
        <w:t>Za podstatné porušení smluvních povinností ze strany objednatele se považuje opakované prodlení s placením smluvní ceny nebo její části. Za podstatné porušení smluvních povinností ze strany zhotovitele se považuje opakované poskytování nekvalitních prací a služeb, na které byl zhotovitel opakovaně bezvýsledně písemně upozorněn.</w:t>
      </w:r>
    </w:p>
    <w:p w:rsidR="00DC71E9" w:rsidRDefault="00F60AF7">
      <w:pPr>
        <w:pStyle w:val="Zkladntext1"/>
        <w:numPr>
          <w:ilvl w:val="0"/>
          <w:numId w:val="4"/>
        </w:numPr>
        <w:shd w:val="clear" w:color="auto" w:fill="auto"/>
        <w:tabs>
          <w:tab w:val="left" w:pos="479"/>
        </w:tabs>
        <w:spacing w:after="0" w:line="264" w:lineRule="auto"/>
        <w:jc w:val="both"/>
      </w:pPr>
      <w:r>
        <w:rPr>
          <w:noProof/>
        </w:rPr>
        <mc:AlternateContent>
          <mc:Choice Requires="wps">
            <w:drawing>
              <wp:anchor distT="330200" distB="1698625" distL="0" distR="0" simplePos="0" relativeHeight="125829378" behindDoc="0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718185</wp:posOffset>
                </wp:positionV>
                <wp:extent cx="2301240" cy="18288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C71E9" w:rsidRDefault="0072232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Mostě dne:</w:t>
                            </w:r>
                            <w:r w:rsidR="00F60AF7">
                              <w:t xml:space="preserve"> 30.1.2015</w:t>
                            </w:r>
                            <w:r>
                              <w:t xml:space="preserve"> </w:t>
                            </w:r>
                            <w:r w:rsidR="00F60AF7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1" o:spid="_x0000_s1026" type="#_x0000_t202" style="position:absolute;left:0;text-align:left;margin-left:64.2pt;margin-top:56.55pt;width:181.2pt;height:14.4pt;z-index:125829378;visibility:visible;mso-wrap-style:square;mso-width-percent:0;mso-height-percent:0;mso-wrap-distance-left:0;mso-wrap-distance-top:26pt;mso-wrap-distance-right:0;mso-wrap-distance-bottom:133.7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" filled="f" stroked="f">
                <v:textbox inset="0,0,0,0">
                  <w:txbxContent>
                    <w:p w:rsidR="00DC71E9" w:rsidRDefault="0072232E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Mostě dne:</w:t>
                      </w:r>
                      <w:r w:rsidR="00F60AF7">
                        <w:t xml:space="preserve"> 30.1.2015</w:t>
                      </w:r>
                      <w:r>
                        <w:t xml:space="preserve"> </w:t>
                      </w:r>
                      <w:r w:rsidR="00F60AF7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2232E">
        <w:t>Tato smlouva nabývá účinnosti dnem podpisu obou účastníků a je uzavírána na dobu neurčitou. Je vypracována ve dvou vyhoto</w:t>
      </w:r>
      <w:bookmarkStart w:id="12" w:name="_GoBack"/>
      <w:bookmarkEnd w:id="12"/>
      <w:r w:rsidR="0072232E">
        <w:t>veních a je ji možno měnit pouze písemně odsouhlasenými dodatky.</w:t>
      </w:r>
    </w:p>
    <w:p w:rsidR="00DC71E9" w:rsidRDefault="00DC71E9">
      <w:pPr>
        <w:spacing w:line="1" w:lineRule="exact"/>
        <w:sectPr w:rsidR="00DC71E9">
          <w:headerReference w:type="default" r:id="rId15"/>
          <w:footerReference w:type="default" r:id="rId16"/>
          <w:pgSz w:w="11900" w:h="16840"/>
          <w:pgMar w:top="2253" w:right="1169" w:bottom="2822" w:left="1226" w:header="0" w:footer="3" w:gutter="0"/>
          <w:cols w:space="720"/>
          <w:noEndnote/>
          <w:docGrid w:linePitch="360"/>
        </w:sectPr>
      </w:pPr>
    </w:p>
    <w:p w:rsidR="00DC71E9" w:rsidRDefault="00DC71E9">
      <w:pPr>
        <w:spacing w:before="7" w:after="7" w:line="240" w:lineRule="exact"/>
        <w:rPr>
          <w:sz w:val="19"/>
          <w:szCs w:val="19"/>
        </w:rPr>
      </w:pPr>
    </w:p>
    <w:p w:rsidR="00DC71E9" w:rsidRDefault="00DC71E9">
      <w:pPr>
        <w:spacing w:line="1" w:lineRule="exact"/>
        <w:sectPr w:rsidR="00DC71E9">
          <w:type w:val="continuous"/>
          <w:pgSz w:w="11900" w:h="16840"/>
          <w:pgMar w:top="2253" w:right="0" w:bottom="2822" w:left="0" w:header="0" w:footer="3" w:gutter="0"/>
          <w:cols w:space="720"/>
          <w:noEndnote/>
          <w:docGrid w:linePitch="360"/>
        </w:sectPr>
      </w:pPr>
    </w:p>
    <w:p w:rsidR="00DC71E9" w:rsidRDefault="0072232E">
      <w:pPr>
        <w:pStyle w:val="Nadpis30"/>
        <w:keepNext/>
        <w:keepLines/>
        <w:shd w:val="clear" w:color="auto" w:fill="auto"/>
        <w:spacing w:after="200"/>
        <w:jc w:val="left"/>
      </w:pPr>
      <w:bookmarkStart w:id="13" w:name="bookmark14"/>
      <w:bookmarkStart w:id="14" w:name="bookmark15"/>
      <w:r>
        <w:rPr>
          <w:u w:val="single"/>
        </w:rPr>
        <w:t>Servisní služba:</w:t>
      </w:r>
      <w:bookmarkEnd w:id="13"/>
      <w:bookmarkEnd w:id="14"/>
    </w:p>
    <w:p w:rsidR="00DC71E9" w:rsidRDefault="0072232E">
      <w:pPr>
        <w:pStyle w:val="Zkladntext1"/>
        <w:shd w:val="clear" w:color="auto" w:fill="auto"/>
        <w:spacing w:after="200"/>
      </w:pPr>
      <w:r>
        <w:t xml:space="preserve">Požadavky na servisní služby se hlásí </w:t>
      </w:r>
      <w:proofErr w:type="gramStart"/>
      <w:r>
        <w:t>na :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6815"/>
      </w:tblGrid>
      <w:tr w:rsidR="00DC71E9">
        <w:trPr>
          <w:trHeight w:hRule="exact" w:val="868"/>
        </w:trPr>
        <w:tc>
          <w:tcPr>
            <w:tcW w:w="2106" w:type="dxa"/>
            <w:shd w:val="clear" w:color="auto" w:fill="FFFFFF"/>
          </w:tcPr>
          <w:p w:rsidR="00DC71E9" w:rsidRDefault="0072232E">
            <w:pPr>
              <w:pStyle w:val="Jin0"/>
              <w:framePr w:w="8921" w:h="1220" w:vSpace="533" w:wrap="notBeside" w:vAnchor="text" w:hAnchor="text" w:x="292" w:y="534"/>
              <w:shd w:val="clear" w:color="auto" w:fill="auto"/>
              <w:spacing w:after="0"/>
            </w:pPr>
            <w:r>
              <w:t>Technici, tel.:</w:t>
            </w:r>
          </w:p>
        </w:tc>
        <w:tc>
          <w:tcPr>
            <w:tcW w:w="6815" w:type="dxa"/>
            <w:shd w:val="clear" w:color="auto" w:fill="FFFFFF"/>
          </w:tcPr>
          <w:p w:rsidR="00DC71E9" w:rsidRDefault="0072232E">
            <w:pPr>
              <w:pStyle w:val="Jin0"/>
              <w:framePr w:w="8921" w:h="1220" w:vSpace="533" w:wrap="notBeside" w:vAnchor="text" w:hAnchor="text" w:x="292" w:y="534"/>
              <w:shd w:val="clear" w:color="auto" w:fill="auto"/>
              <w:tabs>
                <w:tab w:val="left" w:pos="5213"/>
              </w:tabs>
              <w:spacing w:after="200"/>
              <w:ind w:firstLine="7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  <w:r>
              <w:rPr>
                <w:b/>
                <w:bCs/>
              </w:rPr>
              <w:tab/>
            </w:r>
            <w:hyperlink r:id="rId17" w:history="1">
              <w:r>
                <w:rPr>
                  <w:color w:val="466E91"/>
                  <w:sz w:val="20"/>
                  <w:szCs w:val="20"/>
                  <w:lang w:val="en-US" w:eastAsia="en-US" w:bidi="en-US"/>
                </w:rPr>
                <w:t>xxx</w:t>
              </w:r>
            </w:hyperlink>
          </w:p>
          <w:p w:rsidR="00DC71E9" w:rsidRDefault="0072232E">
            <w:pPr>
              <w:pStyle w:val="Jin0"/>
              <w:framePr w:w="8921" w:h="1220" w:vSpace="533" w:wrap="notBeside" w:vAnchor="text" w:hAnchor="text" w:x="292" w:y="534"/>
              <w:shd w:val="clear" w:color="auto" w:fill="auto"/>
              <w:tabs>
                <w:tab w:val="left" w:pos="5390"/>
              </w:tabs>
              <w:spacing w:after="0"/>
              <w:ind w:firstLine="7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  <w:r>
              <w:rPr>
                <w:b/>
                <w:bCs/>
              </w:rPr>
              <w:tab/>
            </w:r>
            <w:hyperlink r:id="rId18" w:history="1">
              <w:r>
                <w:rPr>
                  <w:color w:val="466E91"/>
                  <w:sz w:val="20"/>
                  <w:szCs w:val="20"/>
                  <w:lang w:val="en-US" w:eastAsia="en-US" w:bidi="en-US"/>
                </w:rPr>
                <w:t>xxx</w:t>
              </w:r>
            </w:hyperlink>
          </w:p>
        </w:tc>
      </w:tr>
      <w:tr w:rsidR="00DC71E9">
        <w:trPr>
          <w:trHeight w:hRule="exact" w:val="353"/>
        </w:trPr>
        <w:tc>
          <w:tcPr>
            <w:tcW w:w="2106" w:type="dxa"/>
            <w:shd w:val="clear" w:color="auto" w:fill="FFFFFF"/>
            <w:vAlign w:val="bottom"/>
          </w:tcPr>
          <w:p w:rsidR="00DC71E9" w:rsidRDefault="0072232E">
            <w:pPr>
              <w:pStyle w:val="Jin0"/>
              <w:framePr w:w="8921" w:h="1220" w:vSpace="533" w:wrap="notBeside" w:vAnchor="text" w:hAnchor="text" w:x="292" w:y="534"/>
              <w:shd w:val="clear" w:color="auto" w:fill="auto"/>
              <w:spacing w:after="0"/>
            </w:pPr>
            <w:r>
              <w:t>IP tel.:</w:t>
            </w:r>
          </w:p>
        </w:tc>
        <w:tc>
          <w:tcPr>
            <w:tcW w:w="6815" w:type="dxa"/>
            <w:shd w:val="clear" w:color="auto" w:fill="FFFFFF"/>
            <w:vAlign w:val="bottom"/>
          </w:tcPr>
          <w:p w:rsidR="00DC71E9" w:rsidRDefault="0072232E">
            <w:pPr>
              <w:pStyle w:val="Jin0"/>
              <w:framePr w:w="8921" w:h="1220" w:vSpace="533" w:wrap="notBeside" w:vAnchor="text" w:hAnchor="text" w:x="292" w:y="534"/>
              <w:shd w:val="clear" w:color="auto" w:fill="auto"/>
              <w:spacing w:after="0"/>
              <w:ind w:firstLine="760"/>
            </w:pPr>
            <w:proofErr w:type="spellStart"/>
            <w:r>
              <w:rPr>
                <w:b/>
                <w:bCs/>
              </w:rPr>
              <w:t>xxx</w:t>
            </w:r>
            <w:proofErr w:type="spellEnd"/>
          </w:p>
        </w:tc>
      </w:tr>
    </w:tbl>
    <w:p w:rsidR="00DC71E9" w:rsidRDefault="0072232E">
      <w:pPr>
        <w:pStyle w:val="Titulektabulky0"/>
        <w:framePr w:w="972" w:h="317" w:hSpace="291" w:wrap="notBeside" w:vAnchor="text" w:hAnchor="text" w:x="299" w:y="1"/>
        <w:shd w:val="clear" w:color="auto" w:fill="auto"/>
      </w:pPr>
      <w:r>
        <w:rPr>
          <w:b w:val="0"/>
          <w:bCs w:val="0"/>
        </w:rPr>
        <w:t>Mob. tel.:</w:t>
      </w:r>
    </w:p>
    <w:p w:rsidR="00DC71E9" w:rsidRDefault="0072232E">
      <w:pPr>
        <w:pStyle w:val="Titulektabulky0"/>
        <w:framePr w:w="4111" w:h="324" w:hSpace="291" w:wrap="notBeside" w:vAnchor="text" w:hAnchor="text" w:x="3154" w:y="8"/>
        <w:shd w:val="clear" w:color="auto" w:fill="auto"/>
      </w:pPr>
      <w:proofErr w:type="spellStart"/>
      <w:r>
        <w:t>xxx</w:t>
      </w:r>
      <w:proofErr w:type="spellEnd"/>
    </w:p>
    <w:p w:rsidR="00DC71E9" w:rsidRDefault="00F60AF7" w:rsidP="0072232E">
      <w:pPr>
        <w:pStyle w:val="Titulektabulky0"/>
        <w:framePr w:w="1783" w:h="284" w:hSpace="291" w:wrap="notBeside" w:vAnchor="text" w:hAnchor="page" w:x="8938" w:y="78"/>
        <w:shd w:val="clear" w:color="auto" w:fill="auto"/>
        <w:rPr>
          <w:sz w:val="20"/>
          <w:szCs w:val="20"/>
        </w:rPr>
      </w:pPr>
      <w:hyperlink r:id="rId19" w:history="1">
        <w:r w:rsidR="0072232E">
          <w:rPr>
            <w:b w:val="0"/>
            <w:bCs w:val="0"/>
            <w:color w:val="466E91"/>
            <w:sz w:val="20"/>
            <w:szCs w:val="20"/>
            <w:lang w:val="en-US" w:eastAsia="en-US" w:bidi="en-US"/>
          </w:rPr>
          <w:t>xxx</w:t>
        </w:r>
      </w:hyperlink>
    </w:p>
    <w:p w:rsidR="00DC71E9" w:rsidRDefault="00DC71E9" w:rsidP="0072232E">
      <w:pPr>
        <w:spacing w:line="1" w:lineRule="exact"/>
      </w:pPr>
    </w:p>
    <w:sectPr w:rsidR="00DC71E9" w:rsidSect="0072232E">
      <w:type w:val="continuous"/>
      <w:pgSz w:w="11900" w:h="16840"/>
      <w:pgMar w:top="2253" w:right="1169" w:bottom="2822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DD" w:rsidRDefault="0072232E">
      <w:r>
        <w:separator/>
      </w:r>
    </w:p>
  </w:endnote>
  <w:endnote w:type="continuationSeparator" w:id="0">
    <w:p w:rsidR="004A55DD" w:rsidRDefault="0072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72232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9888855</wp:posOffset>
              </wp:positionV>
              <wp:extent cx="242570" cy="1054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1E9" w:rsidRDefault="0072232E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68.15pt;margin-top:778.65pt;width:19.1pt;height:8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ovlAEAACEDAAAOAAAAZHJzL2Uyb0RvYy54bWysUsFOwzAMvSPxD1HurN0ED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" filled="f" stroked="f">
              <v:textbox style="mso-fit-shape-to-text:t" inset="0,0,0,0">
                <w:txbxContent>
                  <w:p w:rsidR="00DC71E9" w:rsidRDefault="0072232E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72232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3452495</wp:posOffset>
              </wp:positionH>
              <wp:positionV relativeFrom="page">
                <wp:posOffset>9872980</wp:posOffset>
              </wp:positionV>
              <wp:extent cx="242570" cy="1003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1E9" w:rsidRDefault="0072232E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271.85pt;margin-top:777.4pt;width:19.1pt;height:7.9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" filled="f" stroked="f">
              <v:textbox style="mso-fit-shape-to-text:t" inset="0,0,0,0">
                <w:txbxContent>
                  <w:p w:rsidR="00DC71E9" w:rsidRDefault="0072232E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DC71E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72232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3357880</wp:posOffset>
              </wp:positionH>
              <wp:positionV relativeFrom="page">
                <wp:posOffset>9881870</wp:posOffset>
              </wp:positionV>
              <wp:extent cx="240030" cy="10033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1E9" w:rsidRDefault="0072232E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9" type="#_x0000_t202" style="position:absolute;margin-left:264.4pt;margin-top:778.1pt;width:18.9pt;height:7.9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" filled="f" stroked="f">
              <v:textbox style="mso-fit-shape-to-text:t" inset="0,0,0,0">
                <w:txbxContent>
                  <w:p w:rsidR="00DC71E9" w:rsidRDefault="0072232E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72232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9888855</wp:posOffset>
              </wp:positionV>
              <wp:extent cx="242570" cy="10541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71E9" w:rsidRDefault="0072232E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30" type="#_x0000_t202" style="position:absolute;margin-left:268.15pt;margin-top:778.65pt;width:19.1pt;height:8.3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" filled="f" stroked="f">
              <v:textbox style="mso-fit-shape-to-text:t" inset="0,0,0,0">
                <w:txbxContent>
                  <w:p w:rsidR="00DC71E9" w:rsidRDefault="0072232E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E9" w:rsidRDefault="00DC71E9"/>
  </w:footnote>
  <w:footnote w:type="continuationSeparator" w:id="0">
    <w:p w:rsidR="00DC71E9" w:rsidRDefault="00DC7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DC71E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DC71E9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Pr="0072232E" w:rsidRDefault="00DC71E9" w:rsidP="0072232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DC71E9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E9" w:rsidRDefault="00DC71E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07D"/>
    <w:multiLevelType w:val="multilevel"/>
    <w:tmpl w:val="45205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093940"/>
    <w:multiLevelType w:val="multilevel"/>
    <w:tmpl w:val="FA44B5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2571FB"/>
    <w:multiLevelType w:val="multilevel"/>
    <w:tmpl w:val="DC7E73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8F13F0"/>
    <w:multiLevelType w:val="multilevel"/>
    <w:tmpl w:val="348A1C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E9"/>
    <w:rsid w:val="004A55DD"/>
    <w:rsid w:val="0072232E"/>
    <w:rsid w:val="00DC71E9"/>
    <w:rsid w:val="00F6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969E0"/>
  <w15:docId w15:val="{A88E4354-C366-462E-8A24-E642AB93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466E91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6E91"/>
      <w:sz w:val="80"/>
      <w:szCs w:val="8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6E91"/>
      <w:sz w:val="20"/>
      <w:szCs w:val="20"/>
      <w:u w:val="none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1680"/>
      <w:jc w:val="center"/>
      <w:outlineLvl w:val="1"/>
    </w:pPr>
    <w:rPr>
      <w:rFonts w:ascii="Tahoma" w:eastAsia="Tahoma" w:hAnsi="Tahoma" w:cs="Tahoma"/>
      <w:b/>
      <w:bCs/>
      <w:color w:val="466E91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7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outlineLvl w:val="0"/>
    </w:pPr>
    <w:rPr>
      <w:rFonts w:ascii="Times New Roman" w:eastAsia="Times New Roman" w:hAnsi="Times New Roman" w:cs="Times New Roman"/>
      <w:color w:val="466E91"/>
      <w:sz w:val="80"/>
      <w:szCs w:val="8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right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</w:pPr>
    <w:rPr>
      <w:rFonts w:ascii="Times New Roman" w:eastAsia="Times New Roman" w:hAnsi="Times New Roman" w:cs="Times New Roman"/>
      <w:color w:val="466E91"/>
      <w:sz w:val="20"/>
      <w:szCs w:val="20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722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32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22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3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yperlink" Target="mailto:neuzil@halmi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holecek@halmi.cz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yperlink" Target="mailto:halmi@halmi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814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22C-6e-20180913140648</dc:title>
  <dc:subject/>
  <dc:creator/>
  <cp:keywords/>
  <cp:lastModifiedBy>Miroslava</cp:lastModifiedBy>
  <cp:revision>3</cp:revision>
  <dcterms:created xsi:type="dcterms:W3CDTF">2019-03-11T10:00:00Z</dcterms:created>
  <dcterms:modified xsi:type="dcterms:W3CDTF">2019-06-14T13:27:00Z</dcterms:modified>
</cp:coreProperties>
</file>