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F2" w:rsidRDefault="00601B68" w:rsidP="00DA1261">
      <w:pPr>
        <w:pStyle w:val="Nadpis1"/>
        <w:jc w:val="both"/>
        <w:rPr>
          <w:rFonts w:ascii="Arial" w:hAnsi="Arial" w:cs="Arial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-884555</wp:posOffset>
                </wp:positionV>
                <wp:extent cx="3267075" cy="8534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00" w:rsidRDefault="005E6300" w:rsidP="005E63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5E6300" w:rsidRDefault="005E6300" w:rsidP="005E63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  <w:p w:rsidR="005E6300" w:rsidRPr="00402ED0" w:rsidRDefault="005E6300" w:rsidP="005E63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 w:rsidRPr="00402ED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 w:eastAsia="x-none"/>
                              </w:rPr>
                              <w:t xml:space="preserve">Evidenční číslo smlouvy: </w:t>
                            </w:r>
                            <w:r w:rsidRPr="00402E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11702019</w:t>
                            </w:r>
                          </w:p>
                          <w:p w:rsidR="005E6300" w:rsidRPr="00BB6945" w:rsidRDefault="005E6300" w:rsidP="005E63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6300" w:rsidRPr="00BB6945" w:rsidRDefault="005E6300" w:rsidP="005E63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5pt;margin-top:-69.65pt;width:257.25pt;height: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qs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Rrc7Q6xScHnpwM3s4hi47prq/l+V3jYRcNlRs2K1ScmgYrSC70N70L66O&#10;ONqCrIdPsoIwdGukA9rXqrOlg2IgQIcuPZ06Y1Mp4XASTWfBLMaoBNs8nhDi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HSji5ERTK8GVqFxrDeXtuL4ohU3/XApo97HRTrBWo6NazX69BxSr4rWsnkC6&#10;SoKyQJ8w72DRSPUTowFmR4b1jy1VDKP2owD5J6HVJzJuQ+JZBBt1aVlfWqgoASrDBqNxuTTjgNr2&#10;im8aiDQ+OCFv4cnU3Kn5nNXhocF8cKQOs8wOoMu98zpP3MVvAAAA//8DAFBLAwQUAAYACAAAACEA&#10;OiRji+AAAAAMAQAADwAAAGRycy9kb3ducmV2LnhtbEyPwU7DMBBE70j8g7VI3Fq7TVOREKeqiriC&#10;KAWJ2zbeJhHxOordJvw97gmOszOafVNsJtuJCw2+daxhMVcgiCtnWq41HN6fZw8gfEA22DkmDT/k&#10;YVPe3hSYGzfyG132oRaxhH2OGpoQ+lxKXzVk0c9dTxy9kxsshiiHWpoBx1huO7lUai0tthw/NNjT&#10;rqHqe3+2Gj5eTl+fK/VaP9m0H92kJNtMan1/N20fQQSawl8YrvgRHcrIdHRnNl50GtJlGrcEDbNF&#10;kiUgrhGVZCmIY7ytMpBlIf+PKH8BAAD//wMAUEsBAi0AFAAGAAgAAAAhALaDOJL+AAAA4QEAABMA&#10;AAAAAAAAAAAAAAAAAAAAAFtDb250ZW50X1R5cGVzXS54bWxQSwECLQAUAAYACAAAACEAOP0h/9YA&#10;AACUAQAACwAAAAAAAAAAAAAAAAAvAQAAX3JlbHMvLnJlbHNQSwECLQAUAAYACAAAACEAUr4KrLcC&#10;AAC5BQAADgAAAAAAAAAAAAAAAAAuAgAAZHJzL2Uyb0RvYy54bWxQSwECLQAUAAYACAAAACEAOiRj&#10;i+AAAAAMAQAADwAAAAAAAAAAAAAAAAARBQAAZHJzL2Rvd25yZXYueG1sUEsFBgAAAAAEAAQA8wAA&#10;AB4GAAAAAA==&#10;" filled="f" stroked="f">
                <v:textbox>
                  <w:txbxContent>
                    <w:p w:rsidR="005E6300" w:rsidRDefault="005E6300" w:rsidP="005E6300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x-none"/>
                        </w:rPr>
                      </w:pPr>
                    </w:p>
                    <w:p w:rsidR="005E6300" w:rsidRDefault="005E6300" w:rsidP="005E6300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x-none"/>
                        </w:rPr>
                      </w:pPr>
                    </w:p>
                    <w:p w:rsidR="005E6300" w:rsidRPr="00402ED0" w:rsidRDefault="005E6300" w:rsidP="005E630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x-none" w:eastAsia="x-none"/>
                        </w:rPr>
                      </w:pPr>
                      <w:r w:rsidRPr="00402ED0">
                        <w:rPr>
                          <w:rFonts w:ascii="Arial" w:hAnsi="Arial" w:cs="Arial"/>
                          <w:sz w:val="22"/>
                          <w:szCs w:val="22"/>
                          <w:lang w:val="x-none" w:eastAsia="x-none"/>
                        </w:rPr>
                        <w:t xml:space="preserve">Evidenční číslo smlouvy: </w:t>
                      </w:r>
                      <w:r w:rsidRPr="00402ED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x-none" w:eastAsia="x-none"/>
                        </w:rPr>
                        <w:t>11702019</w:t>
                      </w:r>
                    </w:p>
                    <w:p w:rsidR="005E6300" w:rsidRPr="00BB6945" w:rsidRDefault="005E6300" w:rsidP="005E6300">
                      <w:pPr>
                        <w:rPr>
                          <w:rFonts w:ascii="Arial" w:hAnsi="Arial" w:cs="Arial"/>
                        </w:rPr>
                      </w:pPr>
                    </w:p>
                    <w:p w:rsidR="005E6300" w:rsidRPr="00BB6945" w:rsidRDefault="005E6300" w:rsidP="005E630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300" w:rsidRPr="00242B34" w:rsidRDefault="00601B68" w:rsidP="005E6300">
      <w:pPr>
        <w:pStyle w:val="Nadpis1"/>
        <w:jc w:val="both"/>
        <w:rPr>
          <w:rFonts w:ascii="Arial" w:hAnsi="Arial" w:cs="Arial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-836930</wp:posOffset>
                </wp:positionV>
                <wp:extent cx="2190750" cy="3187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00" w:rsidRDefault="005E6300" w:rsidP="005E630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5pt;margin-top:-65.9pt;width:172.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qx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ujaVmfodQpODz24mRGOocsuU93fy/KbRkKuGiq27FYpOTSMVsAutDf9i6sT&#10;jrYgm+GjrCAM3RnpgMZadbZ0UAwE6NClp1NnLJUSDqMwCRYzMJVguw7jxcK1zqfp8XavtHnPZIfs&#10;IsMKOu/Q6f5eG8uGpkcXG0zIgret634rnh2A43QCseGqtVkWrpk/kyBZx+uYeCSarz0S5Ll3W6yI&#10;Ny/CxSy/zlerPPxl44YkbXhVMWHDHIUVkj9r3EHikyRO0tKy5ZWFs5S02m5WrUJ7CsIu3OdqDpaz&#10;m/+chisC5PIipTAiwV2UeMU8XnikIDMvWQSxF4TJXTIPSELy4nlK91ywf08JDRlOZtFsEtOZ9Ivc&#10;Ave9zo2mHTcwOlreZTg+OdHUSnAtKtdaQ3k7rS9KYemfSwHtPjbaCdZqdFKrGTejexlOzVbMG1k9&#10;gYKVBIGBFmHswaKR6gdGA4yQDOvvO6oYRu0HAa8gCQmxM8dtyGwRwUZdWjaXFipKgMqwwWharsw0&#10;p3a94tsGIk3vTshbeDk1d6I+szq8NxgTLrfDSLNz6HLvvM6Dd/kbAAD//wMAUEsDBBQABgAIAAAA&#10;IQBy30Bo4AAAAAwBAAAPAAAAZHJzL2Rvd25yZXYueG1sTI9BT8MwDIXvSPyHyEjctqQtjK1rOiEQ&#10;VxDbQOKWNV5b0ThVk63l3+Od4Gb7PT1/r9hMrhNnHELrSUMyVyCQKm9bqjXsdy+zJYgQDVnTeUIN&#10;PxhgU15fFSa3fqR3PG9jLTiEQm40NDH2uZShatCZMPc9EmtHPzgTeR1qaQczcrjrZKrUQjrTEn9o&#10;TI9PDVbf25PT8PF6/Pq8U2/1s7vvRz8pSW4ltb69mR7XICJO8c8MF3xGh5KZDv5ENohOwyxJH9h6&#10;GbKES7Aly9IMxIFPy2QBsizk/xLlLwAAAP//AwBQSwECLQAUAAYACAAAACEAtoM4kv4AAADhAQAA&#10;EwAAAAAAAAAAAAAAAAAAAAAAW0NvbnRlbnRfVHlwZXNdLnhtbFBLAQItABQABgAIAAAAIQA4/SH/&#10;1gAAAJQBAAALAAAAAAAAAAAAAAAAAC8BAABfcmVscy8ucmVsc1BLAQItABQABgAIAAAAIQCUeFqx&#10;uQIAAMAFAAAOAAAAAAAAAAAAAAAAAC4CAABkcnMvZTJvRG9jLnhtbFBLAQItABQABgAIAAAAIQBy&#10;30Bo4AAAAAwBAAAPAAAAAAAAAAAAAAAAABMFAABkcnMvZG93bnJldi54bWxQSwUGAAAAAAQABADz&#10;AAAAIAYAAAAA&#10;" filled="f" stroked="f">
                <v:textbox>
                  <w:txbxContent>
                    <w:p w:rsidR="005E6300" w:rsidRDefault="005E6300" w:rsidP="005E630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300" w:rsidRPr="00242B34">
        <w:rPr>
          <w:rFonts w:ascii="Arial" w:hAnsi="Arial" w:cs="Arial"/>
          <w:sz w:val="24"/>
        </w:rPr>
        <w:t>Plzeňský kraj</w:t>
      </w:r>
    </w:p>
    <w:p w:rsidR="005E6300" w:rsidRPr="00242B34" w:rsidRDefault="005E6300" w:rsidP="005E6300">
      <w:pPr>
        <w:tabs>
          <w:tab w:val="left" w:pos="3480"/>
        </w:tabs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sídlo: </w:t>
      </w:r>
      <w:r w:rsidRPr="00242B34">
        <w:rPr>
          <w:rFonts w:ascii="Arial" w:hAnsi="Arial" w:cs="Arial"/>
        </w:rPr>
        <w:tab/>
        <w:t>Škroupova 18, 306 13  Plzeň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k podpisu smlouvy </w:t>
      </w:r>
      <w:r>
        <w:rPr>
          <w:rFonts w:ascii="Arial" w:hAnsi="Arial" w:cs="Arial"/>
        </w:rPr>
        <w:t>oprávněn</w:t>
      </w:r>
      <w:r w:rsidRPr="00242B34">
        <w:rPr>
          <w:rFonts w:ascii="Arial" w:hAnsi="Arial" w:cs="Arial"/>
        </w:rPr>
        <w:t>:</w:t>
      </w:r>
      <w:r w:rsidRPr="00242B34">
        <w:rPr>
          <w:rFonts w:ascii="Arial" w:hAnsi="Arial" w:cs="Arial"/>
        </w:rPr>
        <w:tab/>
      </w:r>
      <w:r>
        <w:rPr>
          <w:rFonts w:ascii="Arial" w:hAnsi="Arial" w:cs="Arial"/>
        </w:rPr>
        <w:t>Ing. Vladislav Vilímec</w:t>
      </w:r>
      <w:r w:rsidRPr="00CF4A34">
        <w:rPr>
          <w:rFonts w:ascii="Arial" w:hAnsi="Arial" w:cs="Arial"/>
        </w:rPr>
        <w:t>, náměstek hejtmana Plzeňského kraje pro oblast kultury a památkové péče dle usnes</w:t>
      </w:r>
      <w:r>
        <w:rPr>
          <w:rFonts w:ascii="Arial" w:hAnsi="Arial" w:cs="Arial"/>
        </w:rPr>
        <w:t>ení Rady Plzeňského kraje č. </w:t>
      </w:r>
      <w:r w:rsidR="00D4592F">
        <w:rPr>
          <w:rFonts w:ascii="Arial" w:hAnsi="Arial" w:cs="Arial"/>
        </w:rPr>
        <w:t xml:space="preserve">3212/19 ze dne </w:t>
      </w:r>
      <w:proofErr w:type="gramStart"/>
      <w:r w:rsidR="00D4592F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D4592F">
        <w:rPr>
          <w:rFonts w:ascii="Arial" w:hAnsi="Arial" w:cs="Arial"/>
        </w:rPr>
        <w:t>3.2019</w:t>
      </w:r>
      <w:proofErr w:type="gramEnd"/>
      <w:r w:rsidRPr="00CF4A34">
        <w:rPr>
          <w:rFonts w:ascii="Arial" w:hAnsi="Arial" w:cs="Arial"/>
        </w:rPr>
        <w:t>.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IČO: </w:t>
      </w:r>
      <w:r w:rsidRPr="00CF4A34">
        <w:rPr>
          <w:rFonts w:ascii="Arial" w:hAnsi="Arial" w:cs="Arial"/>
        </w:rPr>
        <w:tab/>
        <w:t>70890366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>DIČ:</w:t>
      </w:r>
      <w:r w:rsidRPr="00CF4A34">
        <w:rPr>
          <w:rFonts w:ascii="Arial" w:hAnsi="Arial" w:cs="Arial"/>
        </w:rPr>
        <w:tab/>
        <w:t>CZ70890366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>bankovní spojení:</w:t>
      </w:r>
      <w:r w:rsidRPr="00CF4A34">
        <w:rPr>
          <w:rFonts w:ascii="Arial" w:hAnsi="Arial" w:cs="Arial"/>
        </w:rPr>
        <w:tab/>
      </w:r>
      <w:proofErr w:type="spellStart"/>
      <w:r w:rsidRPr="00CF4A34">
        <w:rPr>
          <w:rFonts w:ascii="Arial" w:hAnsi="Arial" w:cs="Arial"/>
        </w:rPr>
        <w:t>Raiffeisenbank</w:t>
      </w:r>
      <w:proofErr w:type="spellEnd"/>
      <w:r w:rsidRPr="00CF4A34">
        <w:rPr>
          <w:rFonts w:ascii="Arial" w:hAnsi="Arial" w:cs="Arial"/>
        </w:rPr>
        <w:t>, a.s., pobočka Plzeň</w:t>
      </w:r>
    </w:p>
    <w:p w:rsidR="005E6300" w:rsidRPr="00242B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číslo účtu:                                    </w:t>
      </w:r>
      <w:r w:rsidRPr="00CF4A34">
        <w:rPr>
          <w:rFonts w:ascii="Arial" w:hAnsi="Arial" w:cs="Arial"/>
          <w:iCs/>
        </w:rPr>
        <w:t>1063003350/5500</w:t>
      </w:r>
      <w:r>
        <w:rPr>
          <w:rFonts w:ascii="Arial" w:hAnsi="Arial" w:cs="Arial"/>
        </w:rPr>
        <w:t xml:space="preserve"> </w:t>
      </w:r>
    </w:p>
    <w:p w:rsidR="005E6300" w:rsidRPr="00242B34" w:rsidRDefault="005E6300" w:rsidP="005E6300">
      <w:pPr>
        <w:jc w:val="both"/>
        <w:rPr>
          <w:rFonts w:ascii="Arial" w:hAnsi="Arial" w:cs="Arial"/>
        </w:rPr>
      </w:pPr>
    </w:p>
    <w:p w:rsidR="005E6300" w:rsidRPr="00242B34" w:rsidRDefault="005E6300" w:rsidP="005E6300">
      <w:pPr>
        <w:pStyle w:val="UStext"/>
        <w:rPr>
          <w:rFonts w:cs="Arial"/>
        </w:rPr>
      </w:pPr>
      <w:r w:rsidRPr="00242B34">
        <w:rPr>
          <w:rFonts w:cs="Arial"/>
        </w:rPr>
        <w:t>na straně jedné jako poskytovatel finanční dotace</w:t>
      </w:r>
    </w:p>
    <w:p w:rsidR="005E6300" w:rsidRPr="00242B34" w:rsidRDefault="005E6300" w:rsidP="005E63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/dále jen „P</w:t>
      </w:r>
      <w:r w:rsidRPr="00242B34">
        <w:rPr>
          <w:rFonts w:ascii="Arial" w:hAnsi="Arial" w:cs="Arial"/>
        </w:rPr>
        <w:t>oskytovatel“/</w:t>
      </w:r>
    </w:p>
    <w:p w:rsidR="005E6300" w:rsidRPr="00242B34" w:rsidRDefault="005E6300" w:rsidP="005E6300">
      <w:pPr>
        <w:jc w:val="both"/>
        <w:rPr>
          <w:rFonts w:ascii="Arial" w:hAnsi="Arial" w:cs="Arial"/>
        </w:rPr>
      </w:pPr>
    </w:p>
    <w:p w:rsidR="005E6300" w:rsidRPr="00242B34" w:rsidRDefault="005E6300" w:rsidP="005E6300">
      <w:pPr>
        <w:pStyle w:val="UStext"/>
        <w:rPr>
          <w:rFonts w:cs="Arial"/>
        </w:rPr>
      </w:pPr>
      <w:r w:rsidRPr="00242B34">
        <w:rPr>
          <w:rFonts w:cs="Arial"/>
        </w:rPr>
        <w:t>a</w:t>
      </w:r>
    </w:p>
    <w:p w:rsidR="005E6300" w:rsidRPr="00242B34" w:rsidRDefault="005E6300" w:rsidP="005E6300">
      <w:pPr>
        <w:jc w:val="both"/>
        <w:rPr>
          <w:rFonts w:ascii="Arial" w:hAnsi="Arial" w:cs="Arial"/>
        </w:rPr>
      </w:pP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  <w:b/>
        </w:rPr>
      </w:pPr>
      <w:proofErr w:type="spellStart"/>
      <w:r w:rsidRPr="00CF4A34">
        <w:rPr>
          <w:rFonts w:ascii="Arial" w:hAnsi="Arial" w:cs="Arial"/>
          <w:b/>
          <w:bCs/>
        </w:rPr>
        <w:t>ArtProm</w:t>
      </w:r>
      <w:proofErr w:type="spellEnd"/>
      <w:r w:rsidRPr="00CF4A34">
        <w:rPr>
          <w:rFonts w:ascii="Arial" w:hAnsi="Arial" w:cs="Arial"/>
          <w:b/>
          <w:bCs/>
        </w:rPr>
        <w:t xml:space="preserve"> s.r.o.</w:t>
      </w:r>
    </w:p>
    <w:p w:rsidR="005E6300" w:rsidRPr="00CF4A34" w:rsidRDefault="00454AD6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5E6300" w:rsidRPr="00CF4A34">
        <w:rPr>
          <w:rFonts w:ascii="Arial" w:hAnsi="Arial" w:cs="Arial"/>
        </w:rPr>
        <w:t xml:space="preserve">: </w:t>
      </w:r>
      <w:r w:rsidR="005E6300" w:rsidRPr="00CF4A34">
        <w:rPr>
          <w:rFonts w:ascii="Arial" w:hAnsi="Arial" w:cs="Arial"/>
        </w:rPr>
        <w:tab/>
      </w:r>
      <w:r w:rsidR="005E6300" w:rsidRPr="00CF4A34">
        <w:rPr>
          <w:rFonts w:ascii="Arial" w:hAnsi="Arial" w:cs="Arial"/>
        </w:rPr>
        <w:tab/>
      </w:r>
      <w:r w:rsidR="005E6300" w:rsidRPr="00CF4A34">
        <w:rPr>
          <w:rFonts w:ascii="Arial" w:hAnsi="Arial" w:cs="Arial"/>
        </w:rPr>
        <w:tab/>
      </w:r>
      <w:r w:rsidR="005E6300" w:rsidRPr="00CF4A34">
        <w:rPr>
          <w:rFonts w:ascii="Arial" w:hAnsi="Arial" w:cs="Arial"/>
          <w:bCs/>
        </w:rPr>
        <w:t xml:space="preserve">Sokolovská 626/104a, 18600 Praha 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osoba oprávněná k podpisu smlouvy: </w:t>
      </w:r>
      <w:r w:rsidRPr="00CF4A34">
        <w:rPr>
          <w:rFonts w:ascii="Arial" w:hAnsi="Arial" w:cs="Arial"/>
        </w:rPr>
        <w:tab/>
      </w:r>
      <w:r w:rsidR="00454AD6">
        <w:rPr>
          <w:rFonts w:ascii="Arial" w:hAnsi="Arial" w:cs="Arial"/>
        </w:rPr>
        <w:t>Jakub Vedral - jednatel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IČO: </w:t>
      </w:r>
      <w:r w:rsidRPr="00CF4A34">
        <w:rPr>
          <w:rFonts w:ascii="Arial" w:hAnsi="Arial" w:cs="Arial"/>
        </w:rPr>
        <w:tab/>
      </w:r>
      <w:r w:rsidRPr="00CF4A34">
        <w:rPr>
          <w:rFonts w:ascii="Arial" w:hAnsi="Arial" w:cs="Arial"/>
        </w:rPr>
        <w:tab/>
      </w:r>
      <w:r w:rsidRPr="00CF4A34">
        <w:rPr>
          <w:rFonts w:ascii="Arial" w:hAnsi="Arial" w:cs="Arial"/>
        </w:rPr>
        <w:tab/>
      </w:r>
      <w:r w:rsidRPr="00CF4A34">
        <w:rPr>
          <w:rFonts w:ascii="Arial" w:hAnsi="Arial" w:cs="Arial"/>
          <w:bCs/>
        </w:rPr>
        <w:t>24174505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bankovní spojení: </w:t>
      </w:r>
      <w:r w:rsidRPr="00CF4A34">
        <w:rPr>
          <w:rFonts w:ascii="Arial" w:hAnsi="Arial" w:cs="Arial"/>
        </w:rPr>
        <w:tab/>
        <w:t xml:space="preserve"> </w:t>
      </w:r>
      <w:r w:rsidRPr="00CF4A34">
        <w:rPr>
          <w:rFonts w:ascii="Arial" w:hAnsi="Arial" w:cs="Arial"/>
        </w:rPr>
        <w:tab/>
      </w:r>
      <w:proofErr w:type="spellStart"/>
      <w:r w:rsidRPr="00CF4A34">
        <w:rPr>
          <w:rFonts w:ascii="Arial" w:hAnsi="Arial" w:cs="Arial"/>
          <w:bCs/>
        </w:rPr>
        <w:t>Fio</w:t>
      </w:r>
      <w:proofErr w:type="spellEnd"/>
      <w:r w:rsidRPr="00CF4A34">
        <w:rPr>
          <w:rFonts w:ascii="Arial" w:hAnsi="Arial" w:cs="Arial"/>
          <w:bCs/>
        </w:rPr>
        <w:t xml:space="preserve"> banka, a.s.</w:t>
      </w:r>
    </w:p>
    <w:p w:rsidR="005E6300" w:rsidRPr="00CF4A34" w:rsidRDefault="005E6300" w:rsidP="005E630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 xml:space="preserve">číslo účtu:                                     </w:t>
      </w:r>
      <w:r w:rsidRPr="00CF4A34">
        <w:rPr>
          <w:rFonts w:ascii="Arial" w:hAnsi="Arial" w:cs="Arial"/>
        </w:rPr>
        <w:tab/>
      </w:r>
      <w:r w:rsidRPr="00CF4A34">
        <w:rPr>
          <w:rFonts w:ascii="Arial" w:hAnsi="Arial" w:cs="Arial"/>
          <w:bCs/>
        </w:rPr>
        <w:t>2800189410/2010</w:t>
      </w:r>
    </w:p>
    <w:p w:rsidR="005E6300" w:rsidRDefault="005E6300" w:rsidP="005E6300">
      <w:pPr>
        <w:jc w:val="both"/>
        <w:rPr>
          <w:rFonts w:ascii="Arial" w:hAnsi="Arial" w:cs="Arial"/>
        </w:rPr>
      </w:pPr>
    </w:p>
    <w:p w:rsidR="005E6300" w:rsidRPr="00454AD6" w:rsidRDefault="005E6300" w:rsidP="005E6300">
      <w:pPr>
        <w:jc w:val="both"/>
        <w:rPr>
          <w:rFonts w:ascii="Arial" w:hAnsi="Arial" w:cs="Arial"/>
        </w:rPr>
      </w:pPr>
      <w:r w:rsidRPr="00454AD6">
        <w:rPr>
          <w:rFonts w:ascii="Arial" w:hAnsi="Arial" w:cs="Arial"/>
        </w:rPr>
        <w:t>zapsán v</w:t>
      </w:r>
      <w:r w:rsidR="00454AD6" w:rsidRPr="00454AD6">
        <w:rPr>
          <w:rFonts w:ascii="Arial" w:hAnsi="Arial" w:cs="Arial"/>
        </w:rPr>
        <w:t xml:space="preserve"> obchodním</w:t>
      </w:r>
      <w:r w:rsidRPr="00454AD6">
        <w:rPr>
          <w:rFonts w:ascii="Arial" w:hAnsi="Arial" w:cs="Arial"/>
        </w:rPr>
        <w:t xml:space="preserve"> rejstříku pod </w:t>
      </w:r>
      <w:proofErr w:type="spellStart"/>
      <w:r w:rsidRPr="00454AD6">
        <w:rPr>
          <w:rFonts w:ascii="Arial" w:hAnsi="Arial" w:cs="Arial"/>
        </w:rPr>
        <w:t>sp</w:t>
      </w:r>
      <w:proofErr w:type="spellEnd"/>
      <w:r w:rsidRPr="00454AD6">
        <w:rPr>
          <w:rFonts w:ascii="Arial" w:hAnsi="Arial" w:cs="Arial"/>
        </w:rPr>
        <w:t xml:space="preserve">. </w:t>
      </w:r>
      <w:proofErr w:type="spellStart"/>
      <w:r w:rsidRPr="00454AD6">
        <w:rPr>
          <w:rFonts w:ascii="Arial" w:hAnsi="Arial" w:cs="Arial"/>
        </w:rPr>
        <w:t>zn</w:t>
      </w:r>
      <w:proofErr w:type="spellEnd"/>
      <w:r w:rsidRPr="00454AD6">
        <w:rPr>
          <w:rFonts w:ascii="Arial" w:hAnsi="Arial" w:cs="Arial"/>
        </w:rPr>
        <w:t xml:space="preserve">: </w:t>
      </w:r>
      <w:r w:rsidR="00454AD6" w:rsidRPr="00454AD6">
        <w:rPr>
          <w:rFonts w:ascii="Arial" w:hAnsi="Arial" w:cs="Arial"/>
        </w:rPr>
        <w:t>C 185564</w:t>
      </w:r>
      <w:r w:rsidRPr="00454AD6">
        <w:rPr>
          <w:rFonts w:ascii="Arial" w:hAnsi="Arial" w:cs="Arial"/>
        </w:rPr>
        <w:t xml:space="preserve"> vedenou u </w:t>
      </w:r>
      <w:r w:rsidR="00454AD6" w:rsidRPr="00454AD6">
        <w:rPr>
          <w:rFonts w:ascii="Arial" w:hAnsi="Arial" w:cs="Arial"/>
        </w:rPr>
        <w:t xml:space="preserve">Městského </w:t>
      </w:r>
      <w:r w:rsidRPr="00454AD6">
        <w:rPr>
          <w:rFonts w:ascii="Arial" w:hAnsi="Arial" w:cs="Arial"/>
        </w:rPr>
        <w:t xml:space="preserve">soudu v  Praze </w:t>
      </w:r>
    </w:p>
    <w:p w:rsidR="005E6300" w:rsidRPr="00454AD6" w:rsidRDefault="005E6300" w:rsidP="005E6300">
      <w:pPr>
        <w:jc w:val="both"/>
        <w:rPr>
          <w:rFonts w:ascii="Arial" w:hAnsi="Arial" w:cs="Arial"/>
        </w:rPr>
      </w:pPr>
    </w:p>
    <w:p w:rsidR="005E6300" w:rsidRPr="00CF4A34" w:rsidRDefault="005E6300" w:rsidP="005E6300">
      <w:pPr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>na straně druhé jako příjemce finanční dotace</w:t>
      </w:r>
    </w:p>
    <w:p w:rsidR="00971CAF" w:rsidRPr="00242B34" w:rsidRDefault="005E6300" w:rsidP="005E6300">
      <w:pPr>
        <w:spacing w:after="12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>/dále jen „Příjemce“/</w:t>
      </w:r>
    </w:p>
    <w:p w:rsidR="00363AF2" w:rsidRDefault="00363AF2" w:rsidP="00DA1261">
      <w:pPr>
        <w:spacing w:after="120"/>
        <w:jc w:val="both"/>
        <w:rPr>
          <w:rFonts w:ascii="Arial" w:hAnsi="Arial" w:cs="Arial"/>
        </w:rPr>
      </w:pPr>
    </w:p>
    <w:p w:rsidR="005E6300" w:rsidRDefault="005E6300" w:rsidP="005E6300">
      <w:pPr>
        <w:spacing w:after="120"/>
        <w:jc w:val="both"/>
        <w:rPr>
          <w:rFonts w:ascii="Arial" w:hAnsi="Arial" w:cs="Arial"/>
        </w:rPr>
      </w:pPr>
      <w:r w:rsidRPr="00CF4A34">
        <w:rPr>
          <w:rFonts w:ascii="Arial" w:hAnsi="Arial" w:cs="Arial"/>
        </w:rPr>
        <w:t>uzavírají mezi sebou tuto</w:t>
      </w:r>
    </w:p>
    <w:p w:rsidR="005E6300" w:rsidRDefault="005E6300" w:rsidP="00DA1261">
      <w:pPr>
        <w:spacing w:after="120"/>
        <w:jc w:val="both"/>
        <w:rPr>
          <w:rFonts w:ascii="Arial" w:hAnsi="Arial" w:cs="Arial"/>
        </w:rPr>
      </w:pPr>
    </w:p>
    <w:p w:rsidR="00ED453E" w:rsidRPr="00242B34" w:rsidRDefault="00ED453E" w:rsidP="00DA1261">
      <w:pPr>
        <w:spacing w:after="120"/>
        <w:jc w:val="both"/>
        <w:rPr>
          <w:rFonts w:ascii="Arial" w:hAnsi="Arial" w:cs="Arial"/>
        </w:rPr>
      </w:pPr>
    </w:p>
    <w:p w:rsidR="00971CAF" w:rsidRPr="00242B34" w:rsidRDefault="00971CAF" w:rsidP="00702642">
      <w:pPr>
        <w:pStyle w:val="Nadpis1"/>
        <w:spacing w:after="120"/>
      </w:pPr>
      <w:r w:rsidRPr="00242B34">
        <w:rPr>
          <w:rFonts w:ascii="Arial" w:hAnsi="Arial" w:cs="Arial"/>
          <w:bCs w:val="0"/>
          <w:sz w:val="24"/>
        </w:rPr>
        <w:t xml:space="preserve">S M L O </w:t>
      </w:r>
      <w:r w:rsidR="00702642">
        <w:rPr>
          <w:rFonts w:ascii="Arial" w:hAnsi="Arial" w:cs="Arial"/>
          <w:bCs w:val="0"/>
          <w:sz w:val="24"/>
        </w:rPr>
        <w:t>U</w:t>
      </w:r>
      <w:r w:rsidR="00135D76">
        <w:rPr>
          <w:rFonts w:ascii="Arial" w:hAnsi="Arial" w:cs="Arial"/>
          <w:bCs w:val="0"/>
          <w:sz w:val="24"/>
        </w:rPr>
        <w:t xml:space="preserve"> </w:t>
      </w:r>
      <w:r w:rsidR="00702642">
        <w:rPr>
          <w:rFonts w:ascii="Arial" w:hAnsi="Arial" w:cs="Arial"/>
          <w:bCs w:val="0"/>
          <w:sz w:val="24"/>
        </w:rPr>
        <w:t>V</w:t>
      </w:r>
      <w:r w:rsidR="00135D76">
        <w:rPr>
          <w:rFonts w:ascii="Arial" w:hAnsi="Arial" w:cs="Arial"/>
          <w:bCs w:val="0"/>
          <w:sz w:val="24"/>
        </w:rPr>
        <w:t xml:space="preserve"> </w:t>
      </w:r>
      <w:r w:rsidR="00702642">
        <w:rPr>
          <w:rFonts w:ascii="Arial" w:hAnsi="Arial" w:cs="Arial"/>
          <w:bCs w:val="0"/>
          <w:sz w:val="24"/>
        </w:rPr>
        <w:t>U</w:t>
      </w:r>
    </w:p>
    <w:p w:rsidR="00971CAF" w:rsidRDefault="00971CAF" w:rsidP="00AA7306">
      <w:pPr>
        <w:jc w:val="center"/>
        <w:rPr>
          <w:rFonts w:ascii="Arial" w:hAnsi="Arial" w:cs="Arial"/>
          <w:b/>
        </w:rPr>
      </w:pPr>
      <w:r w:rsidRPr="00242B34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poskytnutí účelové dotace</w:t>
      </w:r>
      <w:r w:rsidR="000A43D7">
        <w:rPr>
          <w:rFonts w:ascii="Arial" w:hAnsi="Arial" w:cs="Arial"/>
          <w:b/>
          <w:bCs/>
        </w:rPr>
        <w:t xml:space="preserve"> z rozpočtu Plzeňského kraje v rámci </w:t>
      </w:r>
      <w:r w:rsidR="00635523">
        <w:rPr>
          <w:rFonts w:ascii="Arial" w:hAnsi="Arial" w:cs="Arial"/>
          <w:b/>
          <w:bCs/>
        </w:rPr>
        <w:br/>
      </w:r>
      <w:r w:rsidR="00363AF2">
        <w:rPr>
          <w:rFonts w:ascii="Arial" w:hAnsi="Arial" w:cs="Arial"/>
          <w:b/>
        </w:rPr>
        <w:t>programu „Podpora kultury v Plzeňském kraji pro rok 201</w:t>
      </w:r>
      <w:r w:rsidR="006A5F87">
        <w:rPr>
          <w:rFonts w:ascii="Arial" w:hAnsi="Arial" w:cs="Arial"/>
          <w:b/>
        </w:rPr>
        <w:t>9</w:t>
      </w:r>
      <w:r w:rsidR="00363AF2">
        <w:rPr>
          <w:rFonts w:ascii="Arial" w:hAnsi="Arial" w:cs="Arial"/>
          <w:b/>
        </w:rPr>
        <w:t>“</w:t>
      </w:r>
    </w:p>
    <w:p w:rsidR="003B01D5" w:rsidRDefault="003B01D5" w:rsidP="00AA7306">
      <w:pPr>
        <w:jc w:val="center"/>
        <w:rPr>
          <w:rFonts w:ascii="Arial" w:hAnsi="Arial" w:cs="Arial"/>
          <w:b/>
        </w:rPr>
      </w:pPr>
    </w:p>
    <w:p w:rsidR="003B01D5" w:rsidRDefault="003B01D5" w:rsidP="003B01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§ 10a zák. č. 250/2000 Sb., ve znění pozdějších předpisů</w:t>
      </w:r>
    </w:p>
    <w:p w:rsidR="00BB7004" w:rsidRDefault="00BB7004" w:rsidP="00AA7306">
      <w:pPr>
        <w:jc w:val="center"/>
        <w:rPr>
          <w:rFonts w:ascii="Arial" w:hAnsi="Arial" w:cs="Arial"/>
          <w:b/>
          <w:bCs/>
        </w:rPr>
      </w:pPr>
    </w:p>
    <w:p w:rsidR="00702642" w:rsidRPr="00242B34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702642">
        <w:rPr>
          <w:rFonts w:ascii="Arial" w:hAnsi="Arial" w:cs="Arial"/>
          <w:b/>
          <w:bCs/>
        </w:rPr>
        <w:t>.</w:t>
      </w:r>
      <w:r w:rsidR="005E6300">
        <w:rPr>
          <w:rFonts w:ascii="Arial" w:hAnsi="Arial" w:cs="Arial"/>
          <w:b/>
          <w:bCs/>
        </w:rPr>
        <w:t xml:space="preserve"> K</w:t>
      </w:r>
      <w:r w:rsidR="00454AD6">
        <w:rPr>
          <w:rFonts w:ascii="Arial" w:hAnsi="Arial" w:cs="Arial"/>
          <w:b/>
          <w:bCs/>
        </w:rPr>
        <w:t>028</w:t>
      </w:r>
      <w:r w:rsidR="005E6300">
        <w:rPr>
          <w:rFonts w:ascii="Arial" w:hAnsi="Arial" w:cs="Arial"/>
          <w:b/>
          <w:bCs/>
        </w:rPr>
        <w:t>/19</w:t>
      </w:r>
    </w:p>
    <w:p w:rsidR="00971CAF" w:rsidRPr="00242B34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</w:p>
    <w:p w:rsidR="00C36D96" w:rsidRDefault="00C36D96" w:rsidP="00C46EC8">
      <w:pPr>
        <w:pStyle w:val="Nadpis2"/>
        <w:spacing w:after="120" w:line="306" w:lineRule="exact"/>
        <w:rPr>
          <w:rFonts w:ascii="Arial" w:hAnsi="Arial" w:cs="Arial"/>
          <w:bCs w:val="0"/>
        </w:rPr>
      </w:pPr>
      <w:r w:rsidRPr="00242B34">
        <w:rPr>
          <w:rFonts w:ascii="Arial" w:hAnsi="Arial" w:cs="Arial"/>
          <w:bCs w:val="0"/>
        </w:rPr>
        <w:lastRenderedPageBreak/>
        <w:t>I.</w:t>
      </w:r>
    </w:p>
    <w:p w:rsidR="00363AF2" w:rsidRDefault="005E6300" w:rsidP="00C46EC8">
      <w:pPr>
        <w:spacing w:after="120" w:line="3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poskytnutí účelové finanční dotace (dále také „dotace“) určené na projekt </w:t>
      </w:r>
      <w:r w:rsidRPr="00DA730A">
        <w:rPr>
          <w:rFonts w:ascii="Arial" w:hAnsi="Arial" w:cs="Arial"/>
          <w:b/>
        </w:rPr>
        <w:t>„</w:t>
      </w:r>
      <w:r w:rsidRPr="00C20F8B">
        <w:rPr>
          <w:rFonts w:ascii="Arial" w:hAnsi="Arial" w:cs="Arial"/>
          <w:b/>
          <w:bCs/>
        </w:rPr>
        <w:t>Živá ulice 2019</w:t>
      </w:r>
      <w:r>
        <w:rPr>
          <w:rFonts w:ascii="Arial" w:hAnsi="Arial" w:cs="Arial"/>
          <w:b/>
          <w:bCs/>
        </w:rPr>
        <w:t>“</w:t>
      </w:r>
      <w:r w:rsidRPr="00CF4A34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účelově na </w:t>
      </w:r>
      <w:r w:rsidR="00454AD6">
        <w:rPr>
          <w:rFonts w:ascii="Arial" w:hAnsi="Arial" w:cs="Arial"/>
        </w:rPr>
        <w:t xml:space="preserve">honoráře a technické zajištění akce </w:t>
      </w:r>
      <w:r w:rsidR="00AB6B58">
        <w:rPr>
          <w:rFonts w:ascii="Arial" w:hAnsi="Arial" w:cs="Arial"/>
        </w:rPr>
        <w:t xml:space="preserve">- </w:t>
      </w:r>
      <w:r w:rsidR="00454AD6">
        <w:rPr>
          <w:rFonts w:ascii="Arial" w:hAnsi="Arial" w:cs="Arial"/>
        </w:rPr>
        <w:t>zvuk, světla, podium a práce zvukařů, osvětlovačů a techniků</w:t>
      </w:r>
      <w:bookmarkStart w:id="0" w:name="_GoBack"/>
      <w:bookmarkEnd w:id="0"/>
      <w:r w:rsidR="00454AD6">
        <w:rPr>
          <w:rFonts w:ascii="Arial" w:hAnsi="Arial" w:cs="Arial"/>
        </w:rPr>
        <w:t xml:space="preserve"> </w:t>
      </w:r>
      <w:r w:rsidRPr="00D7693F">
        <w:rPr>
          <w:rFonts w:ascii="Arial" w:hAnsi="Arial" w:cs="Arial"/>
        </w:rPr>
        <w:t>(</w:t>
      </w:r>
      <w:r>
        <w:rPr>
          <w:rFonts w:ascii="Arial" w:hAnsi="Arial" w:cs="Arial"/>
        </w:rPr>
        <w:t>dále též „Projekt“). Projekt bude realizován v souladu s podanou žádostí Příjemce. Podkladem pro poskytnutí účelové finanční dotace je elektronická žádost Příjemce o poskytnutí dotace č. ev. </w:t>
      </w:r>
      <w:r w:rsidRPr="00C20F8B">
        <w:rPr>
          <w:rFonts w:ascii="Arial" w:hAnsi="Arial" w:cs="Arial"/>
          <w:bCs/>
        </w:rPr>
        <w:t>099K100148</w:t>
      </w:r>
      <w:r w:rsidRPr="00C2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 dne </w:t>
      </w:r>
      <w:r w:rsidRPr="00C20F8B">
        <w:rPr>
          <w:rFonts w:ascii="Arial" w:hAnsi="Arial" w:cs="Arial"/>
          <w:bCs/>
        </w:rPr>
        <w:t>18. 2. 2019</w:t>
      </w:r>
      <w:r>
        <w:rPr>
          <w:rFonts w:ascii="Arial" w:hAnsi="Arial" w:cs="Arial"/>
        </w:rPr>
        <w:t>, č. j. PK-KPP/</w:t>
      </w:r>
      <w:r w:rsidR="00454AD6">
        <w:rPr>
          <w:rFonts w:ascii="Arial" w:hAnsi="Arial" w:cs="Arial"/>
        </w:rPr>
        <w:t>745</w:t>
      </w:r>
      <w:r w:rsidRPr="00C20F8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19,</w:t>
      </w:r>
      <w:r w:rsidRPr="00C2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podaná prostřednictvím systému </w:t>
      </w:r>
      <w:proofErr w:type="spellStart"/>
      <w:r>
        <w:rPr>
          <w:rFonts w:ascii="Arial" w:hAnsi="Arial" w:cs="Arial"/>
        </w:rPr>
        <w:t>eDotace</w:t>
      </w:r>
      <w:proofErr w:type="spellEnd"/>
      <w:r>
        <w:rPr>
          <w:rFonts w:ascii="Arial" w:hAnsi="Arial" w:cs="Arial"/>
        </w:rPr>
        <w:t>.</w:t>
      </w:r>
    </w:p>
    <w:p w:rsidR="00363AF2" w:rsidRDefault="00363AF2" w:rsidP="00C46EC8">
      <w:pPr>
        <w:spacing w:after="120" w:line="306" w:lineRule="exact"/>
        <w:jc w:val="both"/>
        <w:rPr>
          <w:rFonts w:ascii="Arial" w:hAnsi="Arial" w:cs="Arial"/>
        </w:rPr>
      </w:pPr>
    </w:p>
    <w:p w:rsidR="00BB7004" w:rsidRDefault="00BB7004" w:rsidP="00C46EC8">
      <w:pPr>
        <w:spacing w:after="120" w:line="306" w:lineRule="exact"/>
        <w:jc w:val="both"/>
        <w:rPr>
          <w:rFonts w:ascii="Arial" w:hAnsi="Arial" w:cs="Arial"/>
        </w:rPr>
      </w:pPr>
    </w:p>
    <w:p w:rsidR="00C36D96" w:rsidRDefault="00C36D96" w:rsidP="00C46EC8">
      <w:pPr>
        <w:pStyle w:val="Nadpis2"/>
        <w:spacing w:after="120" w:line="306" w:lineRule="exact"/>
        <w:rPr>
          <w:rFonts w:ascii="Arial" w:hAnsi="Arial" w:cs="Arial"/>
          <w:bCs w:val="0"/>
          <w:lang w:val="cs-CZ"/>
        </w:rPr>
      </w:pPr>
      <w:r>
        <w:rPr>
          <w:rFonts w:ascii="Arial" w:hAnsi="Arial" w:cs="Arial"/>
          <w:bCs w:val="0"/>
        </w:rPr>
        <w:t>I</w:t>
      </w:r>
      <w:r w:rsidRPr="00242B34">
        <w:rPr>
          <w:rFonts w:ascii="Arial" w:hAnsi="Arial" w:cs="Arial"/>
          <w:bCs w:val="0"/>
        </w:rPr>
        <w:t>I.</w:t>
      </w:r>
    </w:p>
    <w:p w:rsidR="004B3D85" w:rsidRDefault="00C36D96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FB7B21">
        <w:rPr>
          <w:rFonts w:ascii="Arial" w:hAnsi="Arial" w:cs="Arial"/>
        </w:rPr>
        <w:t xml:space="preserve">Poskytovatel </w:t>
      </w:r>
      <w:r>
        <w:rPr>
          <w:rFonts w:ascii="Arial" w:hAnsi="Arial" w:cs="Arial"/>
        </w:rPr>
        <w:t xml:space="preserve">se zavazuje </w:t>
      </w:r>
      <w:r w:rsidRPr="00FB7B21">
        <w:rPr>
          <w:rFonts w:ascii="Arial" w:hAnsi="Arial" w:cs="Arial"/>
        </w:rPr>
        <w:t>poskyt</w:t>
      </w:r>
      <w:r>
        <w:rPr>
          <w:rFonts w:ascii="Arial" w:hAnsi="Arial" w:cs="Arial"/>
        </w:rPr>
        <w:t>nout</w:t>
      </w:r>
      <w:r w:rsidRPr="00FB7B21">
        <w:rPr>
          <w:rFonts w:ascii="Arial" w:hAnsi="Arial" w:cs="Arial"/>
        </w:rPr>
        <w:t xml:space="preserve"> finanční dotaci ve výši </w:t>
      </w:r>
      <w:r w:rsidR="005E6300" w:rsidRPr="00CF4A34">
        <w:rPr>
          <w:rFonts w:ascii="Arial" w:hAnsi="Arial" w:cs="Arial"/>
          <w:b/>
          <w:bCs/>
        </w:rPr>
        <w:t>70 000</w:t>
      </w:r>
      <w:r w:rsidRPr="00FB7B21">
        <w:rPr>
          <w:rFonts w:ascii="Arial" w:hAnsi="Arial" w:cs="Arial"/>
        </w:rPr>
        <w:t xml:space="preserve"> </w:t>
      </w:r>
      <w:r w:rsidRPr="005E6300">
        <w:rPr>
          <w:rFonts w:ascii="Arial" w:hAnsi="Arial" w:cs="Arial"/>
          <w:b/>
        </w:rPr>
        <w:t>Kč</w:t>
      </w:r>
      <w:r w:rsidRPr="00FB7B21">
        <w:rPr>
          <w:rFonts w:ascii="Arial" w:hAnsi="Arial" w:cs="Arial"/>
        </w:rPr>
        <w:t xml:space="preserve"> (slovy: </w:t>
      </w:r>
      <w:r w:rsidR="00454AD6">
        <w:rPr>
          <w:rFonts w:ascii="Arial" w:hAnsi="Arial" w:cs="Arial"/>
        </w:rPr>
        <w:t xml:space="preserve">sedmdesát </w:t>
      </w:r>
      <w:r w:rsidR="005E6300">
        <w:rPr>
          <w:rFonts w:ascii="Arial" w:hAnsi="Arial" w:cs="Arial"/>
        </w:rPr>
        <w:t xml:space="preserve">tisíc </w:t>
      </w:r>
      <w:r w:rsidR="00D4577E">
        <w:rPr>
          <w:rFonts w:ascii="Arial" w:hAnsi="Arial" w:cs="Arial"/>
        </w:rPr>
        <w:t>korun českých</w:t>
      </w:r>
      <w:r w:rsidRPr="00FB7B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Příjemc</w:t>
      </w:r>
      <w:r w:rsidRPr="00FB7B21">
        <w:rPr>
          <w:rFonts w:ascii="Arial" w:hAnsi="Arial" w:cs="Arial"/>
        </w:rPr>
        <w:t>i jako účelovou dotaci pro</w:t>
      </w:r>
      <w:r w:rsidR="009A301B">
        <w:rPr>
          <w:rFonts w:ascii="Arial" w:hAnsi="Arial" w:cs="Arial"/>
        </w:rPr>
        <w:t> </w:t>
      </w:r>
      <w:r w:rsidRPr="00FB7B21">
        <w:rPr>
          <w:rFonts w:ascii="Arial" w:hAnsi="Arial" w:cs="Arial"/>
        </w:rPr>
        <w:t>účel uvedený v článku I.</w:t>
      </w:r>
      <w:r w:rsidR="00676EAF">
        <w:rPr>
          <w:rFonts w:ascii="Arial" w:hAnsi="Arial" w:cs="Arial"/>
        </w:rPr>
        <w:t> </w:t>
      </w:r>
      <w:r w:rsidRPr="00FB7B21">
        <w:rPr>
          <w:rFonts w:ascii="Arial" w:hAnsi="Arial" w:cs="Arial"/>
        </w:rPr>
        <w:t>této smlouvy</w:t>
      </w:r>
      <w:r>
        <w:rPr>
          <w:rFonts w:ascii="Arial" w:hAnsi="Arial" w:cs="Arial"/>
        </w:rPr>
        <w:t xml:space="preserve">, a to za podmínek stanovených touto smlouvou a </w:t>
      </w:r>
      <w:r w:rsidRPr="00FB7B21">
        <w:rPr>
          <w:rFonts w:ascii="Arial" w:hAnsi="Arial" w:cs="Arial"/>
        </w:rPr>
        <w:t>Pravid</w:t>
      </w:r>
      <w:r>
        <w:rPr>
          <w:rFonts w:ascii="Arial" w:hAnsi="Arial" w:cs="Arial"/>
        </w:rPr>
        <w:t>ly</w:t>
      </w:r>
      <w:r w:rsidRPr="00FB7B21">
        <w:rPr>
          <w:rFonts w:ascii="Arial" w:hAnsi="Arial" w:cs="Arial"/>
        </w:rPr>
        <w:t xml:space="preserve"> </w:t>
      </w:r>
      <w:r w:rsidR="004B3D85" w:rsidRPr="003401D6">
        <w:rPr>
          <w:rFonts w:ascii="Arial" w:hAnsi="Arial" w:cs="Arial"/>
        </w:rPr>
        <w:t>pro</w:t>
      </w:r>
      <w:r w:rsidR="00254D08">
        <w:rPr>
          <w:rFonts w:ascii="Arial" w:hAnsi="Arial" w:cs="Arial"/>
        </w:rPr>
        <w:t> </w:t>
      </w:r>
      <w:r w:rsidR="004B3D85" w:rsidRPr="003401D6">
        <w:rPr>
          <w:rFonts w:ascii="Arial" w:hAnsi="Arial" w:cs="Arial"/>
        </w:rPr>
        <w:t>žadatele a příjemce dotace z dotačního programu</w:t>
      </w:r>
      <w:r w:rsidR="004B3D85">
        <w:rPr>
          <w:rFonts w:ascii="Arial" w:hAnsi="Arial" w:cs="Arial"/>
        </w:rPr>
        <w:t xml:space="preserve"> „</w:t>
      </w:r>
      <w:r w:rsidR="00DD6F57" w:rsidRPr="00DD6F57">
        <w:rPr>
          <w:rFonts w:ascii="Arial" w:hAnsi="Arial" w:cs="Arial"/>
        </w:rPr>
        <w:t>Podpora kultury v Plzeňském kraji pro rok 201</w:t>
      </w:r>
      <w:r w:rsidR="006A5F87">
        <w:rPr>
          <w:rFonts w:ascii="Arial" w:hAnsi="Arial" w:cs="Arial"/>
        </w:rPr>
        <w:t>9</w:t>
      </w:r>
      <w:r w:rsidR="001164BF">
        <w:rPr>
          <w:rFonts w:ascii="Arial" w:hAnsi="Arial" w:cs="Arial"/>
        </w:rPr>
        <w:t>“</w:t>
      </w:r>
      <w:r w:rsidR="004B3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schválenými usnesením R</w:t>
      </w:r>
      <w:r w:rsidR="00D4577E">
        <w:rPr>
          <w:rFonts w:ascii="Arial" w:hAnsi="Arial" w:cs="Arial"/>
        </w:rPr>
        <w:t>ady Plzeňského kraje</w:t>
      </w:r>
      <w:r w:rsidR="00A15670">
        <w:rPr>
          <w:rFonts w:ascii="Arial" w:hAnsi="Arial" w:cs="Arial"/>
        </w:rPr>
        <w:t xml:space="preserve"> </w:t>
      </w:r>
      <w:r w:rsidR="006A5F87" w:rsidRPr="006A5F87">
        <w:rPr>
          <w:rFonts w:ascii="Arial" w:hAnsi="Arial" w:cs="Arial"/>
          <w:bCs/>
        </w:rPr>
        <w:t>č. 2823/18 ze dne </w:t>
      </w:r>
      <w:proofErr w:type="gramStart"/>
      <w:r w:rsidR="006A5F87" w:rsidRPr="006A5F87">
        <w:rPr>
          <w:rFonts w:ascii="Arial" w:hAnsi="Arial" w:cs="Arial"/>
          <w:bCs/>
        </w:rPr>
        <w:t>10.12.2018</w:t>
      </w:r>
      <w:proofErr w:type="gramEnd"/>
      <w:r w:rsidR="004B3D85">
        <w:rPr>
          <w:rFonts w:ascii="Arial" w:hAnsi="Arial" w:cs="Arial"/>
        </w:rPr>
        <w:t xml:space="preserve"> (dále</w:t>
      </w:r>
      <w:r w:rsidR="00A525E0">
        <w:rPr>
          <w:rFonts w:ascii="Arial" w:hAnsi="Arial" w:cs="Arial"/>
        </w:rPr>
        <w:t xml:space="preserve"> jen „Pravidla dotačního programu“)</w:t>
      </w:r>
      <w:r w:rsidR="004B3D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Dotace se poskytuje jako </w:t>
      </w:r>
      <w:r w:rsidR="004B3D85" w:rsidRPr="004B3D85">
        <w:rPr>
          <w:rFonts w:ascii="Arial" w:hAnsi="Arial" w:cs="Arial"/>
          <w:b/>
        </w:rPr>
        <w:t>ne</w:t>
      </w:r>
      <w:r w:rsidRPr="004B3D85">
        <w:rPr>
          <w:rFonts w:ascii="Arial" w:hAnsi="Arial" w:cs="Arial"/>
          <w:b/>
        </w:rPr>
        <w:t>investiční</w:t>
      </w:r>
      <w:r w:rsidR="004B3D85">
        <w:rPr>
          <w:rFonts w:ascii="Arial" w:hAnsi="Arial" w:cs="Arial"/>
        </w:rPr>
        <w:t>.</w:t>
      </w:r>
    </w:p>
    <w:p w:rsidR="004B3D85" w:rsidRDefault="00C36D96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4B3D85">
        <w:rPr>
          <w:rFonts w:ascii="Arial" w:hAnsi="Arial" w:cs="Arial"/>
        </w:rPr>
        <w:t>Příjemce se zavazuje tuto finanční dotaci přijmout, využít ji pouze k výše uvedenému účelu a splnit podmínky stanovené touto smlouvou a Pravidly dotačního programu.</w:t>
      </w:r>
      <w:r w:rsidRPr="004B3D85" w:rsidDel="008A5D8C">
        <w:rPr>
          <w:rFonts w:ascii="Arial" w:hAnsi="Arial" w:cs="Arial"/>
        </w:rPr>
        <w:t xml:space="preserve"> </w:t>
      </w:r>
      <w:r w:rsidRPr="004B3D85">
        <w:rPr>
          <w:rFonts w:ascii="Arial" w:hAnsi="Arial" w:cs="Arial"/>
        </w:rPr>
        <w:t xml:space="preserve"> </w:t>
      </w:r>
    </w:p>
    <w:p w:rsidR="003B01D5" w:rsidRPr="009F75A2" w:rsidRDefault="00EA0B1F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4960A9">
        <w:rPr>
          <w:rFonts w:ascii="Arial" w:hAnsi="Arial" w:cs="Arial"/>
        </w:rPr>
        <w:t>Příjemce je oprávněn a současně povinen čerpat poskytnutou finanční dotaci</w:t>
      </w:r>
      <w:r w:rsidR="00FB3667" w:rsidRPr="004960A9">
        <w:rPr>
          <w:rFonts w:ascii="Arial" w:hAnsi="Arial" w:cs="Arial"/>
        </w:rPr>
        <w:t xml:space="preserve"> ke krytí nákladů, které Příjemci vzniknou v souvislosti s realizací Projektu</w:t>
      </w:r>
      <w:r w:rsidRPr="004960A9">
        <w:rPr>
          <w:rFonts w:ascii="Arial" w:hAnsi="Arial" w:cs="Arial"/>
        </w:rPr>
        <w:t xml:space="preserve"> v období od jejího převedení na účet uvedený Příjemcem do </w:t>
      </w:r>
      <w:proofErr w:type="gramStart"/>
      <w:r w:rsidRPr="004960A9">
        <w:rPr>
          <w:rFonts w:ascii="Arial" w:hAnsi="Arial" w:cs="Arial"/>
          <w:b/>
        </w:rPr>
        <w:t>31.12.201</w:t>
      </w:r>
      <w:r w:rsidR="006A5F87">
        <w:rPr>
          <w:rFonts w:ascii="Arial" w:hAnsi="Arial" w:cs="Arial"/>
          <w:b/>
        </w:rPr>
        <w:t>9</w:t>
      </w:r>
      <w:proofErr w:type="gramEnd"/>
      <w:r w:rsidRPr="004960A9">
        <w:rPr>
          <w:rFonts w:ascii="Arial" w:hAnsi="Arial" w:cs="Arial"/>
        </w:rPr>
        <w:t xml:space="preserve">, pokud není v souladu s Pravidly dotačního programu dotace použita ke krytí </w:t>
      </w:r>
      <w:r w:rsidR="00641F99" w:rsidRPr="004960A9">
        <w:rPr>
          <w:rFonts w:ascii="Arial" w:hAnsi="Arial" w:cs="Arial"/>
        </w:rPr>
        <w:t xml:space="preserve">uznatelných </w:t>
      </w:r>
      <w:r w:rsidRPr="004960A9">
        <w:rPr>
          <w:rFonts w:ascii="Arial" w:hAnsi="Arial" w:cs="Arial"/>
        </w:rPr>
        <w:t>nákladů</w:t>
      </w:r>
      <w:r w:rsidR="00641F99" w:rsidRPr="004960A9">
        <w:rPr>
          <w:rFonts w:ascii="Arial" w:hAnsi="Arial" w:cs="Arial"/>
        </w:rPr>
        <w:t xml:space="preserve"> </w:t>
      </w:r>
      <w:r w:rsidRPr="004960A9">
        <w:rPr>
          <w:rFonts w:ascii="Arial" w:hAnsi="Arial" w:cs="Arial"/>
        </w:rPr>
        <w:t>předfinancovaných Příjemcem</w:t>
      </w:r>
      <w:r w:rsidR="00641F99" w:rsidRPr="004960A9">
        <w:rPr>
          <w:rFonts w:ascii="Arial" w:hAnsi="Arial" w:cs="Arial"/>
        </w:rPr>
        <w:t xml:space="preserve"> (uznatelné jsou náklady</w:t>
      </w:r>
      <w:r w:rsidR="00B0749F" w:rsidRPr="004960A9">
        <w:rPr>
          <w:rFonts w:ascii="Arial" w:hAnsi="Arial" w:cs="Arial"/>
        </w:rPr>
        <w:t xml:space="preserve"> odpovídající účelu dotace</w:t>
      </w:r>
      <w:r w:rsidR="00641F99" w:rsidRPr="004960A9">
        <w:rPr>
          <w:rFonts w:ascii="Arial" w:hAnsi="Arial" w:cs="Arial"/>
        </w:rPr>
        <w:t xml:space="preserve"> vynaložené na projekt od 01.01.201</w:t>
      </w:r>
      <w:r w:rsidR="006A5F87">
        <w:rPr>
          <w:rFonts w:ascii="Arial" w:hAnsi="Arial" w:cs="Arial"/>
        </w:rPr>
        <w:t>9</w:t>
      </w:r>
      <w:r w:rsidR="00A45A66" w:rsidRPr="004960A9">
        <w:rPr>
          <w:rFonts w:ascii="Arial" w:hAnsi="Arial" w:cs="Arial"/>
        </w:rPr>
        <w:t xml:space="preserve"> do termínu dosažení</w:t>
      </w:r>
      <w:r w:rsidR="00F52AA0" w:rsidRPr="004960A9">
        <w:rPr>
          <w:rFonts w:ascii="Arial" w:hAnsi="Arial" w:cs="Arial"/>
        </w:rPr>
        <w:t xml:space="preserve"> stanoveného</w:t>
      </w:r>
      <w:r w:rsidR="00A45A66" w:rsidRPr="004960A9">
        <w:rPr>
          <w:rFonts w:ascii="Arial" w:hAnsi="Arial" w:cs="Arial"/>
        </w:rPr>
        <w:t xml:space="preserve"> účelu dotace</w:t>
      </w:r>
      <w:r w:rsidR="00641F99" w:rsidRPr="004960A9">
        <w:rPr>
          <w:rFonts w:ascii="Arial" w:hAnsi="Arial" w:cs="Arial"/>
        </w:rPr>
        <w:t>)</w:t>
      </w:r>
      <w:r w:rsidRPr="004960A9">
        <w:rPr>
          <w:rFonts w:ascii="Arial" w:hAnsi="Arial" w:cs="Arial"/>
        </w:rPr>
        <w:t xml:space="preserve">. </w:t>
      </w:r>
      <w:r w:rsidR="00A45A66" w:rsidRPr="004960A9">
        <w:rPr>
          <w:rFonts w:ascii="Arial" w:hAnsi="Arial" w:cs="Arial"/>
        </w:rPr>
        <w:t>Stanoveného účelu dotace má být dosaženo do</w:t>
      </w:r>
      <w:r w:rsidR="00A45A66" w:rsidRPr="004960A9">
        <w:rPr>
          <w:rFonts w:ascii="Arial" w:hAnsi="Arial" w:cs="Arial"/>
          <w:b/>
        </w:rPr>
        <w:t xml:space="preserve"> </w:t>
      </w:r>
      <w:proofErr w:type="gramStart"/>
      <w:r w:rsidRPr="004960A9">
        <w:rPr>
          <w:rFonts w:ascii="Arial" w:hAnsi="Arial" w:cs="Arial"/>
          <w:b/>
        </w:rPr>
        <w:t>31.12.201</w:t>
      </w:r>
      <w:r w:rsidR="006A5F87">
        <w:rPr>
          <w:rFonts w:ascii="Arial" w:hAnsi="Arial" w:cs="Arial"/>
          <w:b/>
        </w:rPr>
        <w:t>9</w:t>
      </w:r>
      <w:proofErr w:type="gramEnd"/>
      <w:r w:rsidR="004960A9" w:rsidRPr="004960A9">
        <w:rPr>
          <w:rFonts w:ascii="Arial" w:hAnsi="Arial" w:cs="Arial"/>
          <w:b/>
        </w:rPr>
        <w:t>.</w:t>
      </w:r>
    </w:p>
    <w:p w:rsidR="006664BE" w:rsidRPr="00FB3667" w:rsidRDefault="006664BE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FB3667">
        <w:rPr>
          <w:rFonts w:ascii="Arial" w:hAnsi="Arial" w:cs="Arial"/>
        </w:rPr>
        <w:t>Příjemce se zavazuje zajistit úhradu veškerých výdajů na Projekt, které nebudou pokryty dotací poskytnutou dle této smlouvy.</w:t>
      </w:r>
    </w:p>
    <w:p w:rsidR="00D619D5" w:rsidRPr="009F0F0A" w:rsidRDefault="00A525E0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FB3667">
        <w:rPr>
          <w:rFonts w:ascii="Arial" w:hAnsi="Arial" w:cs="Arial"/>
        </w:rPr>
        <w:t>Dotace se poskytuje do výše 80</w:t>
      </w:r>
      <w:r w:rsidR="00C36D96" w:rsidRPr="00FB3667">
        <w:rPr>
          <w:rFonts w:ascii="Arial" w:hAnsi="Arial" w:cs="Arial"/>
        </w:rPr>
        <w:t xml:space="preserve"> % </w:t>
      </w:r>
      <w:r w:rsidR="00FB3667">
        <w:rPr>
          <w:rFonts w:ascii="Arial" w:hAnsi="Arial" w:cs="Arial"/>
        </w:rPr>
        <w:t xml:space="preserve">celkových způsobilých </w:t>
      </w:r>
      <w:r w:rsidR="00C36D96" w:rsidRPr="00FB3667">
        <w:rPr>
          <w:rFonts w:ascii="Arial" w:hAnsi="Arial" w:cs="Arial"/>
        </w:rPr>
        <w:t>nákladů projektu</w:t>
      </w:r>
      <w:r w:rsidR="00D619D5" w:rsidRPr="00FB3667">
        <w:rPr>
          <w:rFonts w:ascii="Arial" w:hAnsi="Arial" w:cs="Arial"/>
        </w:rPr>
        <w:t xml:space="preserve"> </w:t>
      </w:r>
      <w:r w:rsidR="006079B5">
        <w:rPr>
          <w:rFonts w:ascii="Arial" w:hAnsi="Arial" w:cs="Arial"/>
        </w:rPr>
        <w:br/>
      </w:r>
      <w:r w:rsidR="00D619D5" w:rsidRPr="00FB3667">
        <w:rPr>
          <w:rFonts w:ascii="Arial" w:hAnsi="Arial" w:cs="Arial"/>
        </w:rPr>
        <w:t>a</w:t>
      </w:r>
      <w:r w:rsidR="009A301B">
        <w:rPr>
          <w:rFonts w:ascii="Arial" w:hAnsi="Arial" w:cs="Arial"/>
        </w:rPr>
        <w:t> </w:t>
      </w:r>
      <w:r w:rsidR="00D619D5" w:rsidRPr="00FB3667">
        <w:rPr>
          <w:rFonts w:ascii="Arial" w:hAnsi="Arial" w:cs="Arial"/>
        </w:rPr>
        <w:t>je-li předmětem projektu vydávání hudby a</w:t>
      </w:r>
      <w:r w:rsidR="00FB3667">
        <w:rPr>
          <w:rFonts w:ascii="Arial" w:hAnsi="Arial" w:cs="Arial"/>
        </w:rPr>
        <w:t xml:space="preserve"> / nebo</w:t>
      </w:r>
      <w:r w:rsidR="00D619D5" w:rsidRPr="00FB3667">
        <w:rPr>
          <w:rFonts w:ascii="Arial" w:hAnsi="Arial" w:cs="Arial"/>
        </w:rPr>
        <w:t xml:space="preserve"> literatury, pak pouz</w:t>
      </w:r>
      <w:r w:rsidR="00363AF2" w:rsidRPr="00FB3667">
        <w:rPr>
          <w:rFonts w:ascii="Arial" w:hAnsi="Arial" w:cs="Arial"/>
        </w:rPr>
        <w:t>e do</w:t>
      </w:r>
      <w:r w:rsidR="009A301B">
        <w:rPr>
          <w:rFonts w:ascii="Arial" w:hAnsi="Arial" w:cs="Arial"/>
        </w:rPr>
        <w:t> </w:t>
      </w:r>
      <w:r w:rsidR="00363AF2" w:rsidRPr="00FB3667">
        <w:rPr>
          <w:rFonts w:ascii="Arial" w:hAnsi="Arial" w:cs="Arial"/>
        </w:rPr>
        <w:t xml:space="preserve">výše 70 % </w:t>
      </w:r>
      <w:r w:rsidR="00FB3667">
        <w:rPr>
          <w:rFonts w:ascii="Arial" w:hAnsi="Arial" w:cs="Arial"/>
        </w:rPr>
        <w:t xml:space="preserve">celkových způsobilých </w:t>
      </w:r>
      <w:r w:rsidR="00363AF2" w:rsidRPr="00FB3667">
        <w:rPr>
          <w:rFonts w:ascii="Arial" w:hAnsi="Arial" w:cs="Arial"/>
        </w:rPr>
        <w:t>nákladů projektu</w:t>
      </w:r>
      <w:r w:rsidR="00C36D96" w:rsidRPr="00FB3667">
        <w:rPr>
          <w:rFonts w:ascii="Arial" w:hAnsi="Arial" w:cs="Arial"/>
        </w:rPr>
        <w:t>. Pokud dojde ke snížení nákladů na realizaci projektu, dojde ke snížení celkové částky poskytnuté dotace tak, aby byl za</w:t>
      </w:r>
      <w:r w:rsidR="00C36D96" w:rsidRPr="00A525E0">
        <w:rPr>
          <w:rFonts w:ascii="Arial" w:hAnsi="Arial" w:cs="Arial"/>
        </w:rPr>
        <w:t>chován procentní poměr dotace k vynaloženým nákladům</w:t>
      </w:r>
      <w:r>
        <w:rPr>
          <w:rFonts w:ascii="Arial" w:hAnsi="Arial" w:cs="Arial"/>
        </w:rPr>
        <w:t>, a </w:t>
      </w:r>
      <w:r w:rsidR="00C36D96" w:rsidRPr="00A525E0">
        <w:rPr>
          <w:rFonts w:ascii="Arial" w:hAnsi="Arial" w:cs="Arial"/>
        </w:rPr>
        <w:t>Příjemce je povinen příslušnou část dotace vrátit</w:t>
      </w:r>
      <w:r w:rsidR="006664BE">
        <w:rPr>
          <w:rFonts w:ascii="Arial" w:hAnsi="Arial" w:cs="Arial"/>
        </w:rPr>
        <w:t xml:space="preserve"> Poskytovateli / příslušná část dotace nebude Příjemci vyplacena</w:t>
      </w:r>
      <w:r w:rsidR="00C36D96" w:rsidRPr="00A525E0">
        <w:rPr>
          <w:rFonts w:ascii="Arial" w:hAnsi="Arial" w:cs="Arial"/>
        </w:rPr>
        <w:t xml:space="preserve">. </w:t>
      </w:r>
    </w:p>
    <w:p w:rsidR="00A46E37" w:rsidRDefault="00C36D96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363AF2">
        <w:rPr>
          <w:rFonts w:ascii="Arial" w:hAnsi="Arial" w:cs="Arial"/>
        </w:rPr>
        <w:t xml:space="preserve">Příjemce je povinen informovat Poskytovatele, že obdržel dotaci na shodný účel uvedený v čl. I. </w:t>
      </w:r>
      <w:r w:rsidR="00A46E37" w:rsidRPr="00363AF2">
        <w:rPr>
          <w:rFonts w:ascii="Arial" w:hAnsi="Arial" w:cs="Arial"/>
        </w:rPr>
        <w:t xml:space="preserve">této smlouvy od jiného subjektu, při porušení této povinnosti je Příjemce povinen dotaci </w:t>
      </w:r>
      <w:r w:rsidR="006664BE">
        <w:rPr>
          <w:rFonts w:ascii="Arial" w:hAnsi="Arial" w:cs="Arial"/>
        </w:rPr>
        <w:t>P</w:t>
      </w:r>
      <w:r w:rsidR="00A46E37" w:rsidRPr="00363AF2">
        <w:rPr>
          <w:rFonts w:ascii="Arial" w:hAnsi="Arial" w:cs="Arial"/>
        </w:rPr>
        <w:t>oskytovateli vrátit.</w:t>
      </w:r>
    </w:p>
    <w:p w:rsidR="00676EAF" w:rsidRPr="003F1949" w:rsidRDefault="00676EAF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3F1949">
        <w:rPr>
          <w:rFonts w:ascii="Arial" w:hAnsi="Arial" w:cs="Arial"/>
        </w:rPr>
        <w:lastRenderedPageBreak/>
        <w:t>Příjemce je povinen zajistit, aby celková částka dotací na projekt od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>Poskytovatele a jiných subjektů nepřekročila 100 % celkových nákladů na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 xml:space="preserve">projekt. Zároveň </w:t>
      </w:r>
      <w:r w:rsidR="004317AA" w:rsidRPr="003F1949">
        <w:rPr>
          <w:rFonts w:ascii="Arial" w:hAnsi="Arial" w:cs="Arial"/>
        </w:rPr>
        <w:t xml:space="preserve">úhrn veřejné podpory poskytnuté </w:t>
      </w:r>
      <w:r w:rsidRPr="003F1949">
        <w:rPr>
          <w:rFonts w:ascii="Arial" w:hAnsi="Arial" w:cs="Arial"/>
        </w:rPr>
        <w:t>z veřejných zdrojů na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>projekt nesmí přesáhnout 80 % (70 % na projekty vydávání hudby a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 xml:space="preserve">literatury) celkových způsobilých nákladů na projekt ve smyslu ustanovení  </w:t>
      </w:r>
      <w:r w:rsidR="00E505BD" w:rsidRPr="003F1949">
        <w:rPr>
          <w:rFonts w:ascii="Arial" w:hAnsi="Arial" w:cs="Arial"/>
        </w:rPr>
        <w:t>čl.</w:t>
      </w:r>
      <w:r w:rsidR="00FB38AC">
        <w:rPr>
          <w:rFonts w:ascii="Arial" w:hAnsi="Arial" w:cs="Arial"/>
        </w:rPr>
        <w:t> </w:t>
      </w:r>
      <w:r w:rsidR="00E505BD" w:rsidRPr="003F1949">
        <w:rPr>
          <w:rFonts w:ascii="Arial" w:hAnsi="Arial" w:cs="Arial"/>
        </w:rPr>
        <w:t xml:space="preserve">8 a </w:t>
      </w:r>
      <w:r w:rsidRPr="003F1949">
        <w:rPr>
          <w:rFonts w:ascii="Arial" w:hAnsi="Arial" w:cs="Arial"/>
        </w:rPr>
        <w:t xml:space="preserve">čl. 53 </w:t>
      </w:r>
      <w:r w:rsidR="003F1949" w:rsidRPr="003F1949">
        <w:rPr>
          <w:rFonts w:ascii="Arial" w:hAnsi="Arial" w:cs="Arial"/>
        </w:rPr>
        <w:t xml:space="preserve">Nařízení Komise (EU) č. 651/2014 ze dne </w:t>
      </w:r>
      <w:proofErr w:type="gramStart"/>
      <w:r w:rsidR="003F1949" w:rsidRPr="003F1949">
        <w:rPr>
          <w:rFonts w:ascii="Arial" w:hAnsi="Arial" w:cs="Arial"/>
        </w:rPr>
        <w:t>17.06.2014</w:t>
      </w:r>
      <w:proofErr w:type="gramEnd"/>
      <w:r w:rsidR="003F1949" w:rsidRPr="003F1949">
        <w:rPr>
          <w:rFonts w:ascii="Arial" w:hAnsi="Arial" w:cs="Arial"/>
        </w:rPr>
        <w:t>, kterým se v</w:t>
      </w:r>
      <w:r w:rsidR="00FB38AC">
        <w:rPr>
          <w:rFonts w:ascii="Arial" w:hAnsi="Arial" w:cs="Arial"/>
        </w:rPr>
        <w:t> </w:t>
      </w:r>
      <w:r w:rsidR="003F1949" w:rsidRPr="003F1949">
        <w:rPr>
          <w:rFonts w:ascii="Arial" w:hAnsi="Arial" w:cs="Arial"/>
        </w:rPr>
        <w:t>souladu s články 107 a 108 Smlouvy prohlašují určité kategorie podpory za</w:t>
      </w:r>
      <w:r w:rsidR="00FB38AC">
        <w:rPr>
          <w:rFonts w:ascii="Arial" w:hAnsi="Arial" w:cs="Arial"/>
        </w:rPr>
        <w:t> </w:t>
      </w:r>
      <w:r w:rsidR="003F1949" w:rsidRPr="003F1949">
        <w:rPr>
          <w:rFonts w:ascii="Arial" w:hAnsi="Arial" w:cs="Arial"/>
        </w:rPr>
        <w:t>slučitelné s vnitřním trhem, zveřejněného v Úředním věstníku Evropské unie L</w:t>
      </w:r>
      <w:r w:rsidR="00FB38AC">
        <w:rPr>
          <w:rFonts w:ascii="Arial" w:hAnsi="Arial" w:cs="Arial"/>
        </w:rPr>
        <w:t> </w:t>
      </w:r>
      <w:r w:rsidR="003F1949" w:rsidRPr="003F1949">
        <w:rPr>
          <w:rFonts w:ascii="Arial" w:hAnsi="Arial" w:cs="Arial"/>
        </w:rPr>
        <w:t>187 dne 26.06.2014, ve zněn</w:t>
      </w:r>
      <w:r w:rsidR="00A708B0">
        <w:rPr>
          <w:rFonts w:ascii="Arial" w:hAnsi="Arial" w:cs="Arial"/>
        </w:rPr>
        <w:t>í Nařízení Komise (EU) 2017/1084</w:t>
      </w:r>
      <w:r w:rsidR="003F1949" w:rsidRPr="003F1949">
        <w:rPr>
          <w:rFonts w:ascii="Arial" w:hAnsi="Arial" w:cs="Arial"/>
        </w:rPr>
        <w:t xml:space="preserve"> ze dne 14.06.2017. </w:t>
      </w:r>
      <w:r w:rsidRPr="003F1949">
        <w:rPr>
          <w:rFonts w:ascii="Arial" w:hAnsi="Arial" w:cs="Arial"/>
        </w:rPr>
        <w:t xml:space="preserve">V případě porušení povinnosti dle věty prvé </w:t>
      </w:r>
      <w:proofErr w:type="gramStart"/>
      <w:r w:rsidRPr="003F1949">
        <w:rPr>
          <w:rFonts w:ascii="Arial" w:hAnsi="Arial" w:cs="Arial"/>
        </w:rPr>
        <w:t>tohoto</w:t>
      </w:r>
      <w:proofErr w:type="gramEnd"/>
      <w:r w:rsidRPr="003F1949">
        <w:rPr>
          <w:rFonts w:ascii="Arial" w:hAnsi="Arial" w:cs="Arial"/>
        </w:rPr>
        <w:t xml:space="preserve"> odstavce je</w:t>
      </w:r>
      <w:r w:rsidR="00FB38AC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>Příjemce povinen vrátit Poskytovateli část dotace, která přesahuje 100 % nákladů na projekt</w:t>
      </w:r>
      <w:r w:rsidR="008341F5" w:rsidRPr="003F1949">
        <w:rPr>
          <w:rFonts w:ascii="Arial" w:hAnsi="Arial" w:cs="Arial"/>
        </w:rPr>
        <w:t xml:space="preserve"> / nebude Příjemci příslušná část dotace vyplacena</w:t>
      </w:r>
      <w:r w:rsidRPr="003F1949">
        <w:rPr>
          <w:rFonts w:ascii="Arial" w:hAnsi="Arial" w:cs="Arial"/>
        </w:rPr>
        <w:t>. V případě porušení věty druhé tohoto odstavce je Příjemce povinen vrátit Poskytovateli část dotace, která přesahuje 80 % (resp. 70 % u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>projektů vydávání hudby a</w:t>
      </w:r>
      <w:r w:rsidR="00041365">
        <w:rPr>
          <w:rFonts w:ascii="Arial" w:hAnsi="Arial" w:cs="Arial"/>
        </w:rPr>
        <w:t xml:space="preserve"> / nebo</w:t>
      </w:r>
      <w:r w:rsidRPr="003F1949">
        <w:rPr>
          <w:rFonts w:ascii="Arial" w:hAnsi="Arial" w:cs="Arial"/>
        </w:rPr>
        <w:t xml:space="preserve"> literatury) celkových způsobilých nákladů na</w:t>
      </w:r>
      <w:r w:rsidR="009A301B" w:rsidRPr="003F1949">
        <w:rPr>
          <w:rFonts w:ascii="Arial" w:hAnsi="Arial" w:cs="Arial"/>
        </w:rPr>
        <w:t> </w:t>
      </w:r>
      <w:r w:rsidRPr="003F1949">
        <w:rPr>
          <w:rFonts w:ascii="Arial" w:hAnsi="Arial" w:cs="Arial"/>
        </w:rPr>
        <w:t>projekt</w:t>
      </w:r>
      <w:r w:rsidR="008341F5" w:rsidRPr="003F1949">
        <w:rPr>
          <w:rFonts w:ascii="Arial" w:hAnsi="Arial" w:cs="Arial"/>
        </w:rPr>
        <w:t xml:space="preserve"> / nebude Příjemci příslušná část dotace vyplacena</w:t>
      </w:r>
      <w:r w:rsidRPr="003F1949">
        <w:rPr>
          <w:rFonts w:ascii="Arial" w:hAnsi="Arial" w:cs="Arial"/>
        </w:rPr>
        <w:t>.</w:t>
      </w:r>
    </w:p>
    <w:p w:rsidR="00D17424" w:rsidRPr="000A51E2" w:rsidRDefault="00D17424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 případě, kdy má Příjemce právní formu příspěvkové orga</w:t>
      </w:r>
      <w:r w:rsidR="006A3292">
        <w:rPr>
          <w:rFonts w:ascii="Arial" w:hAnsi="Arial" w:cs="Arial"/>
          <w:bCs/>
        </w:rPr>
        <w:t>nizace zřizované obcí, poukáže P</w:t>
      </w:r>
      <w:r>
        <w:rPr>
          <w:rFonts w:ascii="Arial" w:hAnsi="Arial" w:cs="Arial"/>
          <w:bCs/>
        </w:rPr>
        <w:t>oskytovatel dotaci prostřednictvím bankovního účtu zřizovatele Příjemce, a to v souladu s § 27 a násl. zákona č. 250/2000 Sb., o</w:t>
      </w:r>
      <w:r w:rsidR="009A301B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rozpočtových pravidlech územních rozpočtů, ve znění pozdějších předpisů.</w:t>
      </w:r>
    </w:p>
    <w:p w:rsidR="00A525E0" w:rsidRPr="00BB7004" w:rsidRDefault="00D17424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0A51E2">
        <w:rPr>
          <w:rFonts w:ascii="Arial" w:hAnsi="Arial" w:cs="Arial"/>
        </w:rPr>
        <w:t>Finanční</w:t>
      </w:r>
      <w:r w:rsidRPr="000A51E2">
        <w:rPr>
          <w:rFonts w:ascii="Arial" w:hAnsi="Arial" w:cs="Arial"/>
          <w:bCs/>
        </w:rPr>
        <w:t xml:space="preserve"> prostředky budou jednorázově připsány na účet Příjemce</w:t>
      </w:r>
      <w:r w:rsidR="00B775A7">
        <w:rPr>
          <w:rFonts w:ascii="Arial" w:hAnsi="Arial" w:cs="Arial"/>
          <w:bCs/>
        </w:rPr>
        <w:t> </w:t>
      </w:r>
      <w:r w:rsidRPr="000A51E2">
        <w:rPr>
          <w:rFonts w:ascii="Arial" w:hAnsi="Arial" w:cs="Arial"/>
          <w:bCs/>
        </w:rPr>
        <w:t xml:space="preserve">ve lhůtě </w:t>
      </w:r>
      <w:r w:rsidRPr="000A51E2">
        <w:rPr>
          <w:rFonts w:ascii="Arial" w:hAnsi="Arial" w:cs="Arial"/>
        </w:rPr>
        <w:t>do 40 dnů od</w:t>
      </w:r>
      <w:r>
        <w:rPr>
          <w:rFonts w:ascii="Arial" w:hAnsi="Arial" w:cs="Arial"/>
        </w:rPr>
        <w:t xml:space="preserve"> účinnosti této smlouvy</w:t>
      </w:r>
      <w:r w:rsidR="00820B9B">
        <w:rPr>
          <w:rFonts w:ascii="Arial" w:hAnsi="Arial" w:cs="Arial"/>
        </w:rPr>
        <w:t xml:space="preserve">, </w:t>
      </w:r>
      <w:r w:rsidR="00820B9B" w:rsidRPr="000A51E2">
        <w:rPr>
          <w:rFonts w:ascii="Arial" w:hAnsi="Arial" w:cs="Arial"/>
        </w:rPr>
        <w:t>pokud nevznikne některý z důvodů pro neposkytnutí dotace</w:t>
      </w:r>
      <w:r w:rsidRPr="000A51E2">
        <w:rPr>
          <w:rFonts w:ascii="Arial" w:hAnsi="Arial" w:cs="Arial"/>
          <w:bCs/>
        </w:rPr>
        <w:t>.</w:t>
      </w:r>
    </w:p>
    <w:p w:rsidR="003721D1" w:rsidRPr="000414BC" w:rsidRDefault="003721D1" w:rsidP="00C46EC8">
      <w:pPr>
        <w:numPr>
          <w:ilvl w:val="0"/>
          <w:numId w:val="12"/>
        </w:numPr>
        <w:spacing w:after="120" w:line="306" w:lineRule="exact"/>
        <w:ind w:left="709" w:hanging="709"/>
        <w:jc w:val="both"/>
        <w:rPr>
          <w:rFonts w:ascii="Arial" w:hAnsi="Arial" w:cs="Arial"/>
        </w:rPr>
      </w:pPr>
      <w:r w:rsidRPr="000414BC">
        <w:rPr>
          <w:rFonts w:ascii="Arial" w:hAnsi="Arial" w:cs="Arial"/>
        </w:rPr>
        <w:t xml:space="preserve">Příjemce se zavazuje uchovat smlouvu a ostatní dokumentaci k poskytnutí dotace po dobu deseti let od </w:t>
      </w:r>
      <w:proofErr w:type="gramStart"/>
      <w:r w:rsidR="00A15670">
        <w:rPr>
          <w:rFonts w:ascii="Arial" w:hAnsi="Arial" w:cs="Arial"/>
        </w:rPr>
        <w:t>0</w:t>
      </w:r>
      <w:r w:rsidRPr="000414BC">
        <w:rPr>
          <w:rFonts w:ascii="Arial" w:hAnsi="Arial" w:cs="Arial"/>
        </w:rPr>
        <w:t>1.</w:t>
      </w:r>
      <w:r w:rsidR="00A15670">
        <w:rPr>
          <w:rFonts w:ascii="Arial" w:hAnsi="Arial" w:cs="Arial"/>
        </w:rPr>
        <w:t>0</w:t>
      </w:r>
      <w:r w:rsidR="00EF7B26">
        <w:rPr>
          <w:rFonts w:ascii="Arial" w:hAnsi="Arial" w:cs="Arial"/>
        </w:rPr>
        <w:t>1.2020</w:t>
      </w:r>
      <w:proofErr w:type="gramEnd"/>
      <w:r w:rsidRPr="000414BC">
        <w:rPr>
          <w:rFonts w:ascii="Arial" w:hAnsi="Arial" w:cs="Arial"/>
        </w:rPr>
        <w:t xml:space="preserve"> pro účely kontroly ze strany Evropské komise. </w:t>
      </w:r>
    </w:p>
    <w:p w:rsidR="00ED453E" w:rsidRPr="00C46EC8" w:rsidRDefault="00ED453E" w:rsidP="00C46EC8">
      <w:pPr>
        <w:pStyle w:val="Odstavecseseznamem"/>
        <w:spacing w:line="306" w:lineRule="exact"/>
        <w:rPr>
          <w:rFonts w:ascii="Arial" w:hAnsi="Arial" w:cs="Arial"/>
        </w:rPr>
      </w:pPr>
    </w:p>
    <w:p w:rsidR="00C36D96" w:rsidRDefault="00C36D96" w:rsidP="00C46EC8">
      <w:pPr>
        <w:spacing w:after="120" w:line="306" w:lineRule="exact"/>
        <w:rPr>
          <w:rFonts w:ascii="Arial" w:hAnsi="Arial" w:cs="Arial"/>
          <w:b/>
        </w:rPr>
      </w:pPr>
    </w:p>
    <w:p w:rsidR="00C36D96" w:rsidRPr="00BB6945" w:rsidRDefault="00C36D96" w:rsidP="00C46EC8">
      <w:pPr>
        <w:spacing w:after="120" w:line="306" w:lineRule="exact"/>
        <w:jc w:val="center"/>
        <w:rPr>
          <w:rFonts w:ascii="Arial" w:hAnsi="Arial" w:cs="Arial"/>
          <w:b/>
          <w:i/>
        </w:rPr>
      </w:pPr>
      <w:r w:rsidRPr="00BB6945">
        <w:rPr>
          <w:rFonts w:ascii="Arial" w:hAnsi="Arial" w:cs="Arial"/>
          <w:b/>
          <w:i/>
        </w:rPr>
        <w:t>III.</w:t>
      </w:r>
    </w:p>
    <w:p w:rsidR="005F0B1D" w:rsidRDefault="00C36D96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 w:rsidRPr="00861020">
        <w:rPr>
          <w:rFonts w:ascii="Arial" w:hAnsi="Arial" w:cs="Arial"/>
        </w:rPr>
        <w:t xml:space="preserve">Příjemce se zavazuje při jakékoli formě publicity </w:t>
      </w:r>
      <w:r>
        <w:rPr>
          <w:rFonts w:ascii="Arial" w:hAnsi="Arial" w:cs="Arial"/>
        </w:rPr>
        <w:t>projektu</w:t>
      </w:r>
      <w:r w:rsidR="00254D08">
        <w:rPr>
          <w:rFonts w:ascii="Arial" w:hAnsi="Arial" w:cs="Arial"/>
        </w:rPr>
        <w:t xml:space="preserve"> uvádět, že </w:t>
      </w:r>
      <w:r w:rsidRPr="00861020">
        <w:rPr>
          <w:rFonts w:ascii="Arial" w:hAnsi="Arial" w:cs="Arial"/>
        </w:rPr>
        <w:t>byl</w:t>
      </w:r>
      <w:r w:rsidR="00254D08">
        <w:rPr>
          <w:rFonts w:ascii="Arial" w:hAnsi="Arial" w:cs="Arial"/>
        </w:rPr>
        <w:t> </w:t>
      </w:r>
      <w:r w:rsidRPr="005E6300">
        <w:rPr>
          <w:rFonts w:ascii="Arial" w:hAnsi="Arial" w:cs="Arial"/>
          <w:b/>
        </w:rPr>
        <w:t>uskutečněn za finanční podpory Plzeňského kraje</w:t>
      </w:r>
      <w:r w:rsidRPr="00861020">
        <w:rPr>
          <w:rFonts w:ascii="Arial" w:hAnsi="Arial" w:cs="Arial"/>
        </w:rPr>
        <w:t xml:space="preserve">. </w:t>
      </w:r>
    </w:p>
    <w:p w:rsidR="005F0B1D" w:rsidRDefault="005F0B1D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 w:rsidRPr="005F0B1D">
        <w:rPr>
          <w:rFonts w:ascii="Arial" w:hAnsi="Arial" w:cs="Arial"/>
        </w:rPr>
        <w:t>V případě, že projekt v době podpisu této smlouvy nebyl realizován, zavazuje se </w:t>
      </w:r>
      <w:r w:rsidR="009C4018">
        <w:rPr>
          <w:rFonts w:ascii="Arial" w:hAnsi="Arial" w:cs="Arial"/>
        </w:rPr>
        <w:t>P</w:t>
      </w:r>
      <w:r w:rsidRPr="005F0B1D">
        <w:rPr>
          <w:rFonts w:ascii="Arial" w:hAnsi="Arial" w:cs="Arial"/>
        </w:rPr>
        <w:t xml:space="preserve">říjemce, že na </w:t>
      </w:r>
      <w:r>
        <w:rPr>
          <w:rFonts w:ascii="Arial" w:hAnsi="Arial" w:cs="Arial"/>
        </w:rPr>
        <w:t xml:space="preserve">veškeré </w:t>
      </w:r>
      <w:r w:rsidRPr="005F0B1D">
        <w:rPr>
          <w:rFonts w:ascii="Arial" w:hAnsi="Arial" w:cs="Arial"/>
        </w:rPr>
        <w:t xml:space="preserve">propagační materiály související s předmětem smlouvy, při akcích souvisejících s předmětem smlouvy a na webových stránkách, které odkazují na projekt, </w:t>
      </w:r>
      <w:r w:rsidRPr="005E6300">
        <w:rPr>
          <w:rFonts w:ascii="Arial" w:hAnsi="Arial" w:cs="Arial"/>
          <w:b/>
        </w:rPr>
        <w:t>viditelně umístí logo Plzeňského kraje a</w:t>
      </w:r>
      <w:r w:rsidR="00254D08" w:rsidRPr="005E6300">
        <w:rPr>
          <w:rFonts w:ascii="Arial" w:hAnsi="Arial" w:cs="Arial"/>
          <w:b/>
        </w:rPr>
        <w:t> </w:t>
      </w:r>
      <w:r w:rsidRPr="005E6300">
        <w:rPr>
          <w:rFonts w:ascii="Arial" w:hAnsi="Arial" w:cs="Arial"/>
          <w:b/>
        </w:rPr>
        <w:t>odkaz na turistický portál Plzeňského kraje www.turisturaj.cz</w:t>
      </w:r>
      <w:r w:rsidRPr="005F0B1D">
        <w:rPr>
          <w:rFonts w:ascii="Arial" w:hAnsi="Arial" w:cs="Arial"/>
        </w:rPr>
        <w:t xml:space="preserve">. </w:t>
      </w:r>
    </w:p>
    <w:p w:rsidR="009F0F0A" w:rsidRDefault="00676EAF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 w:rsidRPr="00705AD8">
        <w:rPr>
          <w:rFonts w:ascii="Arial" w:hAnsi="Arial" w:cs="Arial"/>
        </w:rPr>
        <w:t xml:space="preserve">V případě, že předmět smlouvy byl již realizován, zavazuje se </w:t>
      </w:r>
      <w:r w:rsidR="009C4018">
        <w:rPr>
          <w:rFonts w:ascii="Arial" w:hAnsi="Arial" w:cs="Arial"/>
        </w:rPr>
        <w:t>P</w:t>
      </w:r>
      <w:r w:rsidRPr="00705AD8">
        <w:rPr>
          <w:rFonts w:ascii="Arial" w:hAnsi="Arial" w:cs="Arial"/>
        </w:rPr>
        <w:t>říjemce, že umístí viditelně logo</w:t>
      </w:r>
      <w:r>
        <w:rPr>
          <w:rFonts w:ascii="Arial" w:hAnsi="Arial" w:cs="Arial"/>
        </w:rPr>
        <w:t xml:space="preserve"> Plzeňského kraje </w:t>
      </w:r>
      <w:r w:rsidRPr="00705AD8">
        <w:rPr>
          <w:rFonts w:ascii="Arial" w:hAnsi="Arial" w:cs="Arial"/>
        </w:rPr>
        <w:t xml:space="preserve">na své webové stránky, které odkazují na předmět smlouvy. </w:t>
      </w:r>
    </w:p>
    <w:p w:rsidR="00676EAF" w:rsidRPr="00705AD8" w:rsidRDefault="00676EAF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 w:rsidRPr="00705AD8">
        <w:rPr>
          <w:rFonts w:ascii="Arial" w:hAnsi="Arial" w:cs="Arial"/>
        </w:rPr>
        <w:t>Příjemce se zavazuje, s ohledem na charakter realizace dotovaného projektu:</w:t>
      </w:r>
    </w:p>
    <w:p w:rsidR="00304D1C" w:rsidRDefault="00304D1C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kdy je předmětem nebo jedním z předmětů</w:t>
      </w:r>
      <w:r w:rsidRPr="00D9025E">
        <w:rPr>
          <w:rFonts w:ascii="Arial" w:hAnsi="Arial" w:cs="Arial"/>
        </w:rPr>
        <w:t xml:space="preserve"> projektu vytvoření knižní publikace, umístit na</w:t>
      </w:r>
      <w:r>
        <w:rPr>
          <w:rFonts w:ascii="Arial" w:hAnsi="Arial" w:cs="Arial"/>
        </w:rPr>
        <w:t> </w:t>
      </w:r>
      <w:r w:rsidRPr="00D9025E">
        <w:rPr>
          <w:rFonts w:ascii="Arial" w:hAnsi="Arial" w:cs="Arial"/>
        </w:rPr>
        <w:t>samostatnou stránku v</w:t>
      </w:r>
      <w:r w:rsidR="00CE19A4">
        <w:rPr>
          <w:rFonts w:ascii="Arial" w:hAnsi="Arial" w:cs="Arial"/>
        </w:rPr>
        <w:t> </w:t>
      </w:r>
      <w:r w:rsidRPr="00D9025E">
        <w:rPr>
          <w:rFonts w:ascii="Arial" w:hAnsi="Arial" w:cs="Arial"/>
        </w:rPr>
        <w:t>publikaci</w:t>
      </w:r>
      <w:r w:rsidR="00CE19A4">
        <w:rPr>
          <w:rFonts w:ascii="Arial" w:hAnsi="Arial" w:cs="Arial"/>
        </w:rPr>
        <w:t xml:space="preserve"> (týká se všech výtisků včetně dotisku)</w:t>
      </w:r>
      <w:r w:rsidRPr="00D9025E">
        <w:rPr>
          <w:rFonts w:ascii="Arial" w:hAnsi="Arial" w:cs="Arial"/>
        </w:rPr>
        <w:t xml:space="preserve"> </w:t>
      </w:r>
      <w:r w:rsidRPr="005E6300">
        <w:rPr>
          <w:rFonts w:ascii="Arial" w:hAnsi="Arial" w:cs="Arial"/>
          <w:b/>
        </w:rPr>
        <w:t>logo Plzeňského kraje</w:t>
      </w:r>
      <w:r w:rsidRPr="00D9025E">
        <w:rPr>
          <w:rFonts w:ascii="Arial" w:hAnsi="Arial" w:cs="Arial"/>
        </w:rPr>
        <w:t xml:space="preserve"> společně s informací, že publikace byla vydána za finanční podpory Plzeňského kraje</w:t>
      </w:r>
      <w:r w:rsidR="00CE19A4">
        <w:rPr>
          <w:rFonts w:ascii="Arial" w:hAnsi="Arial" w:cs="Arial"/>
        </w:rPr>
        <w:t>,</w:t>
      </w:r>
      <w:r w:rsidR="00D3691F">
        <w:rPr>
          <w:rFonts w:ascii="Arial" w:hAnsi="Arial" w:cs="Arial"/>
        </w:rPr>
        <w:t xml:space="preserve"> a to viditelně a důstojně v souladu aktuálními </w:t>
      </w:r>
      <w:r w:rsidR="00D3691F" w:rsidRPr="001D45C1">
        <w:rPr>
          <w:rFonts w:ascii="Arial" w:hAnsi="Arial" w:cs="Arial"/>
        </w:rPr>
        <w:t>Pravidly Rady Plzeňského kraje pro užívání loga Plzeňského kraje</w:t>
      </w:r>
      <w:r w:rsidR="00D3691F">
        <w:rPr>
          <w:rFonts w:ascii="Arial" w:hAnsi="Arial" w:cs="Arial"/>
        </w:rPr>
        <w:t xml:space="preserve"> (viz též níže),</w:t>
      </w:r>
    </w:p>
    <w:p w:rsidR="00DA55A5" w:rsidRPr="00D9025E" w:rsidRDefault="00DA55A5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D9025E">
        <w:rPr>
          <w:rFonts w:ascii="Arial" w:hAnsi="Arial" w:cs="Arial"/>
        </w:rPr>
        <w:t xml:space="preserve">v případě, kdy je </w:t>
      </w:r>
      <w:r w:rsidR="00BE25EA">
        <w:rPr>
          <w:rFonts w:ascii="Arial" w:hAnsi="Arial" w:cs="Arial"/>
        </w:rPr>
        <w:t>předmětem</w:t>
      </w:r>
      <w:r w:rsidR="00B775A7">
        <w:rPr>
          <w:rFonts w:ascii="Arial" w:hAnsi="Arial" w:cs="Arial"/>
        </w:rPr>
        <w:t xml:space="preserve"> nebo jedním z </w:t>
      </w:r>
      <w:r w:rsidR="00BE25EA">
        <w:rPr>
          <w:rFonts w:ascii="Arial" w:hAnsi="Arial" w:cs="Arial"/>
        </w:rPr>
        <w:t>předmětů</w:t>
      </w:r>
      <w:r w:rsidRPr="00D9025E">
        <w:rPr>
          <w:rFonts w:ascii="Arial" w:hAnsi="Arial" w:cs="Arial"/>
        </w:rPr>
        <w:t xml:space="preserve"> projektu vytvoření </w:t>
      </w:r>
      <w:r>
        <w:rPr>
          <w:rFonts w:ascii="Arial" w:hAnsi="Arial" w:cs="Arial"/>
        </w:rPr>
        <w:t>autorského díla,</w:t>
      </w:r>
      <w:r w:rsidR="00304D1C">
        <w:rPr>
          <w:rFonts w:ascii="Arial" w:hAnsi="Arial" w:cs="Arial"/>
        </w:rPr>
        <w:t xml:space="preserve"> které není knižní publikací, ale</w:t>
      </w:r>
      <w:r w:rsidR="000F45CD">
        <w:rPr>
          <w:rFonts w:ascii="Arial" w:hAnsi="Arial" w:cs="Arial"/>
        </w:rPr>
        <w:t xml:space="preserve"> umožňuje preze</w:t>
      </w:r>
      <w:r>
        <w:rPr>
          <w:rFonts w:ascii="Arial" w:hAnsi="Arial" w:cs="Arial"/>
        </w:rPr>
        <w:t>n</w:t>
      </w:r>
      <w:r w:rsidR="000F45CD">
        <w:rPr>
          <w:rFonts w:ascii="Arial" w:hAnsi="Arial" w:cs="Arial"/>
        </w:rPr>
        <w:t>t</w:t>
      </w:r>
      <w:r>
        <w:rPr>
          <w:rFonts w:ascii="Arial" w:hAnsi="Arial" w:cs="Arial"/>
        </w:rPr>
        <w:t>aci</w:t>
      </w:r>
      <w:r w:rsidRPr="00D9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loga</w:t>
      </w:r>
      <w:r w:rsidRPr="00D9025E">
        <w:rPr>
          <w:rFonts w:ascii="Arial" w:hAnsi="Arial" w:cs="Arial"/>
        </w:rPr>
        <w:t xml:space="preserve"> Plzeňského kraje</w:t>
      </w:r>
      <w:r w:rsidR="00BE25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775A7">
        <w:rPr>
          <w:rFonts w:ascii="Arial" w:hAnsi="Arial" w:cs="Arial"/>
        </w:rPr>
        <w:t>zajistit</w:t>
      </w:r>
      <w:r w:rsidR="00BE25EA">
        <w:rPr>
          <w:rFonts w:ascii="Arial" w:hAnsi="Arial" w:cs="Arial"/>
        </w:rPr>
        <w:t xml:space="preserve"> tuto</w:t>
      </w:r>
      <w:r w:rsidR="00B775A7">
        <w:rPr>
          <w:rFonts w:ascii="Arial" w:hAnsi="Arial" w:cs="Arial"/>
        </w:rPr>
        <w:t xml:space="preserve"> </w:t>
      </w:r>
      <w:r w:rsidR="00BE25EA">
        <w:rPr>
          <w:rFonts w:ascii="Arial" w:hAnsi="Arial" w:cs="Arial"/>
        </w:rPr>
        <w:t>prezentaci</w:t>
      </w:r>
      <w:r w:rsidR="00B775A7">
        <w:rPr>
          <w:rFonts w:ascii="Arial" w:hAnsi="Arial" w:cs="Arial"/>
        </w:rPr>
        <w:t xml:space="preserve"> </w:t>
      </w:r>
      <w:r w:rsidR="00BE25EA">
        <w:rPr>
          <w:rFonts w:ascii="Arial" w:hAnsi="Arial" w:cs="Arial"/>
        </w:rPr>
        <w:t xml:space="preserve">na díle včetně rozmnoženin, a zároveň na přebalu díla, pokud je s dílem distribuován, </w:t>
      </w:r>
      <w:r w:rsidR="00BE25EA" w:rsidRPr="00D9025E">
        <w:rPr>
          <w:rFonts w:ascii="Arial" w:hAnsi="Arial" w:cs="Arial"/>
        </w:rPr>
        <w:t xml:space="preserve">společně s informací, že </w:t>
      </w:r>
      <w:r w:rsidR="00BE25EA">
        <w:rPr>
          <w:rFonts w:ascii="Arial" w:hAnsi="Arial" w:cs="Arial"/>
        </w:rPr>
        <w:t>dílo bylo vydáno / realizováno</w:t>
      </w:r>
      <w:r w:rsidR="00BE25EA" w:rsidRPr="00D9025E">
        <w:rPr>
          <w:rFonts w:ascii="Arial" w:hAnsi="Arial" w:cs="Arial"/>
        </w:rPr>
        <w:t xml:space="preserve"> za finanční podpory Plzeňského kraje</w:t>
      </w:r>
      <w:r w:rsidR="00BE25EA">
        <w:rPr>
          <w:rFonts w:ascii="Arial" w:hAnsi="Arial" w:cs="Arial"/>
        </w:rPr>
        <w:t>, a to samostatně</w:t>
      </w:r>
      <w:r w:rsidR="00B775A7">
        <w:rPr>
          <w:rFonts w:ascii="Arial" w:hAnsi="Arial" w:cs="Arial"/>
        </w:rPr>
        <w:t>, viditelně a důstojně v</w:t>
      </w:r>
      <w:r w:rsidR="00B75A90">
        <w:rPr>
          <w:rFonts w:ascii="Arial" w:hAnsi="Arial" w:cs="Arial"/>
        </w:rPr>
        <w:t xml:space="preserve"> souladu aktuálními </w:t>
      </w:r>
      <w:r w:rsidR="00B75A90" w:rsidRPr="001D45C1">
        <w:rPr>
          <w:rFonts w:ascii="Arial" w:hAnsi="Arial" w:cs="Arial"/>
        </w:rPr>
        <w:t>Pravidly Rady Plzeňského kraje pro užívání loga Plzeňského kraje</w:t>
      </w:r>
      <w:r w:rsidR="00EA0B1F">
        <w:rPr>
          <w:rFonts w:ascii="Arial" w:hAnsi="Arial" w:cs="Arial"/>
        </w:rPr>
        <w:t xml:space="preserve"> (viz též níže)</w:t>
      </w:r>
      <w:r w:rsidR="00B75A90">
        <w:rPr>
          <w:rFonts w:ascii="Arial" w:hAnsi="Arial" w:cs="Arial"/>
        </w:rPr>
        <w:t>,</w:t>
      </w:r>
      <w:r w:rsidR="00B775A7">
        <w:rPr>
          <w:rFonts w:ascii="Arial" w:hAnsi="Arial" w:cs="Arial"/>
        </w:rPr>
        <w:t xml:space="preserve"> </w:t>
      </w:r>
    </w:p>
    <w:p w:rsidR="00467B31" w:rsidRDefault="00C36D96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D9025E">
        <w:rPr>
          <w:rFonts w:ascii="Arial" w:hAnsi="Arial" w:cs="Arial"/>
        </w:rPr>
        <w:t xml:space="preserve">umožnit </w:t>
      </w:r>
      <w:r>
        <w:rPr>
          <w:rFonts w:ascii="Arial" w:hAnsi="Arial" w:cs="Arial"/>
        </w:rPr>
        <w:t>Poskytovatel</w:t>
      </w:r>
      <w:r w:rsidRPr="00D9025E">
        <w:rPr>
          <w:rFonts w:ascii="Arial" w:hAnsi="Arial" w:cs="Arial"/>
        </w:rPr>
        <w:t>i při</w:t>
      </w:r>
      <w:r w:rsidRPr="00A95592">
        <w:rPr>
          <w:rFonts w:ascii="Arial" w:hAnsi="Arial" w:cs="Arial"/>
        </w:rPr>
        <w:t xml:space="preserve"> realizaci projektu</w:t>
      </w:r>
      <w:r>
        <w:rPr>
          <w:rFonts w:ascii="Arial" w:hAnsi="Arial" w:cs="Arial"/>
        </w:rPr>
        <w:t xml:space="preserve"> účast na kontrolních dnech</w:t>
      </w:r>
      <w:r w:rsidRPr="00A955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informovat Poskytovatele o</w:t>
      </w:r>
      <w:r w:rsidRPr="00A9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termínu slavnostního uvedení projektu do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provozu (o</w:t>
      </w:r>
      <w:r w:rsidRPr="00A95592">
        <w:rPr>
          <w:rFonts w:ascii="Arial" w:hAnsi="Arial" w:cs="Arial"/>
        </w:rPr>
        <w:t xml:space="preserve"> termínu konání kontrolních dnů</w:t>
      </w:r>
      <w:r>
        <w:rPr>
          <w:rFonts w:ascii="Arial" w:hAnsi="Arial" w:cs="Arial"/>
        </w:rPr>
        <w:t>,</w:t>
      </w:r>
      <w:r w:rsidRPr="00A9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popř. slavnostní uvedení projektu do provozu je Příjemce</w:t>
      </w:r>
      <w:r w:rsidRPr="00A9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povinen </w:t>
      </w:r>
      <w:r w:rsidRPr="00A95592">
        <w:rPr>
          <w:rFonts w:ascii="Arial" w:hAnsi="Arial" w:cs="Arial"/>
        </w:rPr>
        <w:t>inform</w:t>
      </w:r>
      <w:r>
        <w:rPr>
          <w:rFonts w:ascii="Arial" w:hAnsi="Arial" w:cs="Arial"/>
        </w:rPr>
        <w:t>ovat Poskytovatel</w:t>
      </w:r>
      <w:r w:rsidRPr="00A95592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A95592">
        <w:rPr>
          <w:rFonts w:ascii="Arial" w:hAnsi="Arial" w:cs="Arial"/>
        </w:rPr>
        <w:t xml:space="preserve"> </w:t>
      </w:r>
      <w:r w:rsidR="00254D08">
        <w:rPr>
          <w:rFonts w:ascii="Arial" w:hAnsi="Arial" w:cs="Arial"/>
        </w:rPr>
        <w:t>a </w:t>
      </w:r>
      <w:r>
        <w:rPr>
          <w:rFonts w:ascii="Arial" w:hAnsi="Arial" w:cs="Arial"/>
        </w:rPr>
        <w:t>to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prostřednictvím Oddělení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marketingu, </w:t>
      </w:r>
      <w:r w:rsidRPr="00472756">
        <w:rPr>
          <w:rFonts w:ascii="Arial" w:hAnsi="Arial" w:cs="Arial"/>
        </w:rPr>
        <w:t>Odbor</w:t>
      </w:r>
      <w:r>
        <w:rPr>
          <w:rFonts w:ascii="Arial" w:hAnsi="Arial" w:cs="Arial"/>
        </w:rPr>
        <w:t>u</w:t>
      </w:r>
      <w:r w:rsidRPr="00472756">
        <w:rPr>
          <w:rFonts w:ascii="Arial" w:hAnsi="Arial" w:cs="Arial"/>
        </w:rPr>
        <w:t xml:space="preserve"> kancelář hejtmana Krajského úřadu Plzeňského kraje</w:t>
      </w:r>
      <w:r w:rsidR="00DA55A5">
        <w:rPr>
          <w:rFonts w:ascii="Arial" w:hAnsi="Arial" w:cs="Arial"/>
        </w:rPr>
        <w:t xml:space="preserve"> a zároveň prostřednictvím Odboru kultury, památkové péče a cestovního ruchu Krajského úřadu Plzeňského kraje</w:t>
      </w:r>
      <w:r w:rsidR="00467B31">
        <w:rPr>
          <w:rFonts w:ascii="Arial" w:hAnsi="Arial" w:cs="Arial"/>
        </w:rPr>
        <w:t>),</w:t>
      </w:r>
    </w:p>
    <w:p w:rsidR="00C36D96" w:rsidRPr="00A95592" w:rsidRDefault="001D45C1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4B2807">
        <w:rPr>
          <w:rFonts w:ascii="Arial" w:hAnsi="Arial" w:cs="Arial"/>
        </w:rPr>
        <w:t xml:space="preserve">u projektu, který má </w:t>
      </w:r>
      <w:r w:rsidR="000F45CD">
        <w:rPr>
          <w:rFonts w:ascii="Arial" w:hAnsi="Arial" w:cs="Arial"/>
        </w:rPr>
        <w:t>charakter kulturní akce, do 14</w:t>
      </w:r>
      <w:r w:rsidRPr="004B2807">
        <w:rPr>
          <w:rFonts w:ascii="Arial" w:hAnsi="Arial" w:cs="Arial"/>
        </w:rPr>
        <w:t xml:space="preserve"> dnů před</w:t>
      </w:r>
      <w:r w:rsidR="00FB38AC">
        <w:rPr>
          <w:rFonts w:ascii="Arial" w:hAnsi="Arial" w:cs="Arial"/>
        </w:rPr>
        <w:t> </w:t>
      </w:r>
      <w:r w:rsidRPr="004B2807">
        <w:rPr>
          <w:rFonts w:ascii="Arial" w:hAnsi="Arial" w:cs="Arial"/>
        </w:rPr>
        <w:t>uskutečněním akce oznámit termín a místo konání akce Odboru kultury, památkové péče a cestovního ruchu Krajského úřadu Plzeňského kraje, a to buď prostřednictvím e-mailu na adresu:</w:t>
      </w:r>
      <w:r w:rsidRPr="003401D6">
        <w:rPr>
          <w:rFonts w:ascii="Arial" w:hAnsi="Arial" w:cs="Arial"/>
        </w:rPr>
        <w:t xml:space="preserve"> </w:t>
      </w:r>
      <w:r w:rsidRPr="00254D08">
        <w:rPr>
          <w:rFonts w:ascii="Arial" w:hAnsi="Arial" w:cs="Arial"/>
        </w:rPr>
        <w:t>pavlina.steidlova@plzensky-kraj.cz</w:t>
      </w:r>
      <w:r w:rsidRPr="004B2807">
        <w:rPr>
          <w:rFonts w:ascii="Arial" w:hAnsi="Arial" w:cs="Arial"/>
        </w:rPr>
        <w:t xml:space="preserve"> a</w:t>
      </w:r>
      <w:r w:rsidR="00DA55A5">
        <w:rPr>
          <w:rFonts w:ascii="Arial" w:hAnsi="Arial" w:cs="Arial"/>
        </w:rPr>
        <w:t> </w:t>
      </w:r>
      <w:r w:rsidR="00254D08" w:rsidRPr="00254D08">
        <w:rPr>
          <w:rFonts w:ascii="Arial" w:hAnsi="Arial" w:cs="Arial"/>
        </w:rPr>
        <w:t>zdenek.valenta@plzensky-kraj.cz</w:t>
      </w:r>
      <w:r w:rsidRPr="004B2807">
        <w:rPr>
          <w:rFonts w:ascii="Arial" w:hAnsi="Arial" w:cs="Arial"/>
        </w:rPr>
        <w:t xml:space="preserve">, </w:t>
      </w:r>
      <w:r w:rsidR="00254D08">
        <w:rPr>
          <w:rFonts w:ascii="Arial" w:hAnsi="Arial" w:cs="Arial"/>
        </w:rPr>
        <w:t xml:space="preserve">nebo </w:t>
      </w:r>
      <w:r w:rsidRPr="004B2807">
        <w:rPr>
          <w:rFonts w:ascii="Arial" w:hAnsi="Arial" w:cs="Arial"/>
        </w:rPr>
        <w:t>poštou či do datové schránky a</w:t>
      </w:r>
      <w:r w:rsidR="00DA55A5">
        <w:rPr>
          <w:rFonts w:ascii="Arial" w:hAnsi="Arial" w:cs="Arial"/>
        </w:rPr>
        <w:t> </w:t>
      </w:r>
      <w:r w:rsidRPr="004B2807">
        <w:rPr>
          <w:rFonts w:ascii="Arial" w:hAnsi="Arial" w:cs="Arial"/>
        </w:rPr>
        <w:t>umožnit provedení kontroly realizace projektu pracovníkem Odboru kultury, památkové péče a</w:t>
      </w:r>
      <w:r w:rsidR="00254D08">
        <w:rPr>
          <w:rFonts w:ascii="Arial" w:hAnsi="Arial" w:cs="Arial"/>
        </w:rPr>
        <w:t> </w:t>
      </w:r>
      <w:r w:rsidRPr="004B2807">
        <w:rPr>
          <w:rFonts w:ascii="Arial" w:hAnsi="Arial" w:cs="Arial"/>
        </w:rPr>
        <w:t>cestovního ruchu Krajského úřadu Plzeňského kraje. Pro potř</w:t>
      </w:r>
      <w:r w:rsidR="009C4018">
        <w:rPr>
          <w:rFonts w:ascii="Arial" w:hAnsi="Arial" w:cs="Arial"/>
        </w:rPr>
        <w:t>eby Plzeňského kraje P</w:t>
      </w:r>
      <w:r w:rsidRPr="004B2807">
        <w:rPr>
          <w:rFonts w:ascii="Arial" w:hAnsi="Arial" w:cs="Arial"/>
        </w:rPr>
        <w:t>říjemce dotace zajistí bezplatný vstup na aktivity spojené s podpořenou akcí</w:t>
      </w:r>
      <w:r w:rsidR="00AA7306">
        <w:rPr>
          <w:rFonts w:ascii="Arial" w:hAnsi="Arial" w:cs="Arial"/>
        </w:rPr>
        <w:t xml:space="preserve"> – na vyžádání</w:t>
      </w:r>
      <w:r w:rsidR="005E6300">
        <w:rPr>
          <w:rFonts w:ascii="Arial" w:hAnsi="Arial" w:cs="Arial"/>
        </w:rPr>
        <w:t xml:space="preserve"> v počtu </w:t>
      </w:r>
      <w:r w:rsidR="00454AD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volných vstupenek</w:t>
      </w:r>
      <w:r w:rsidR="000F45CD">
        <w:rPr>
          <w:rFonts w:ascii="Arial" w:hAnsi="Arial" w:cs="Arial"/>
        </w:rPr>
        <w:t xml:space="preserve"> (vstupů)</w:t>
      </w:r>
      <w:r>
        <w:rPr>
          <w:rFonts w:ascii="Arial" w:hAnsi="Arial" w:cs="Arial"/>
        </w:rPr>
        <w:t>.</w:t>
      </w:r>
    </w:p>
    <w:p w:rsidR="00C36D96" w:rsidRPr="00861020" w:rsidRDefault="00C36D96" w:rsidP="00C46EC8">
      <w:pPr>
        <w:keepNext/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61020">
        <w:rPr>
          <w:rFonts w:ascii="Arial" w:hAnsi="Arial" w:cs="Arial"/>
        </w:rPr>
        <w:t xml:space="preserve">říjemce </w:t>
      </w:r>
      <w:r>
        <w:rPr>
          <w:rFonts w:ascii="Arial" w:hAnsi="Arial" w:cs="Arial"/>
        </w:rPr>
        <w:t xml:space="preserve">se </w:t>
      </w:r>
      <w:r w:rsidRPr="00861020">
        <w:rPr>
          <w:rFonts w:ascii="Arial" w:hAnsi="Arial" w:cs="Arial"/>
        </w:rPr>
        <w:t>zavazuje, že:</w:t>
      </w:r>
    </w:p>
    <w:p w:rsidR="00C36D96" w:rsidRPr="00861020" w:rsidRDefault="00C36D96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861020">
        <w:rPr>
          <w:rFonts w:ascii="Arial" w:hAnsi="Arial" w:cs="Arial"/>
        </w:rPr>
        <w:t>použije logo Plzeňského kraje výhradně k účelu, ke kterému mu byl</w:t>
      </w:r>
      <w:r>
        <w:rPr>
          <w:rFonts w:ascii="Arial" w:hAnsi="Arial" w:cs="Arial"/>
        </w:rPr>
        <w:t>o</w:t>
      </w:r>
      <w:r w:rsidRPr="00861020">
        <w:rPr>
          <w:rFonts w:ascii="Arial" w:hAnsi="Arial" w:cs="Arial"/>
        </w:rPr>
        <w:t xml:space="preserve"> poskytnut</w:t>
      </w:r>
      <w:r>
        <w:rPr>
          <w:rFonts w:ascii="Arial" w:hAnsi="Arial" w:cs="Arial"/>
        </w:rPr>
        <w:t>o</w:t>
      </w:r>
      <w:r w:rsidRPr="00861020">
        <w:rPr>
          <w:rFonts w:ascii="Arial" w:hAnsi="Arial" w:cs="Arial"/>
        </w:rPr>
        <w:t>,</w:t>
      </w:r>
    </w:p>
    <w:p w:rsidR="00C36D96" w:rsidRPr="00861020" w:rsidRDefault="00C36D96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861020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:rsidR="00C36D96" w:rsidRDefault="00C36D96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 w:rsidRPr="00861020">
        <w:rPr>
          <w:rFonts w:ascii="Arial" w:hAnsi="Arial" w:cs="Arial"/>
        </w:rPr>
        <w:t>neposkytne oprávnění užívat logo Plzeňského kraje třetím oso</w:t>
      </w:r>
      <w:r>
        <w:rPr>
          <w:rFonts w:ascii="Arial" w:hAnsi="Arial" w:cs="Arial"/>
        </w:rPr>
        <w:t>bám,</w:t>
      </w:r>
    </w:p>
    <w:p w:rsidR="001D45C1" w:rsidRDefault="00C36D96" w:rsidP="00C46EC8">
      <w:pPr>
        <w:numPr>
          <w:ilvl w:val="1"/>
          <w:numId w:val="3"/>
        </w:numPr>
        <w:autoSpaceDE w:val="0"/>
        <w:autoSpaceDN w:val="0"/>
        <w:adjustRightInd w:val="0"/>
        <w:spacing w:after="120" w:line="3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dodržovat Pravidla Rady Plzeňského kraje pro užívání loga Plzeňského kraje schválená Radou Plzeňského kraje usnesením č. 360/09 ze dne </w:t>
      </w:r>
      <w:proofErr w:type="gramStart"/>
      <w:r w:rsidR="00254D08">
        <w:rPr>
          <w:rFonts w:ascii="Arial" w:hAnsi="Arial" w:cs="Arial"/>
        </w:rPr>
        <w:t>06.0</w:t>
      </w:r>
      <w:r>
        <w:rPr>
          <w:rFonts w:ascii="Arial" w:hAnsi="Arial" w:cs="Arial"/>
        </w:rPr>
        <w:t>4.2009</w:t>
      </w:r>
      <w:proofErr w:type="gramEnd"/>
      <w:r>
        <w:rPr>
          <w:rFonts w:ascii="Arial" w:hAnsi="Arial" w:cs="Arial"/>
        </w:rPr>
        <w:t>, ve znění usnesení Rady Plzeňského kraje č. 3588/11 ze dne 21</w:t>
      </w:r>
      <w:r w:rsidRPr="00AF596C">
        <w:rPr>
          <w:rFonts w:ascii="Arial" w:hAnsi="Arial" w:cs="Arial"/>
        </w:rPr>
        <w:t>.</w:t>
      </w:r>
      <w:r w:rsidR="00254D08">
        <w:rPr>
          <w:rFonts w:ascii="Arial" w:hAnsi="Arial" w:cs="Arial"/>
        </w:rPr>
        <w:t>0</w:t>
      </w:r>
      <w:r w:rsidRPr="00AF596C">
        <w:rPr>
          <w:rFonts w:ascii="Arial" w:hAnsi="Arial" w:cs="Arial"/>
        </w:rPr>
        <w:t xml:space="preserve">4.2011, zveřejněná na portálu Plzeňského kraje. </w:t>
      </w:r>
    </w:p>
    <w:p w:rsidR="00C36D96" w:rsidRPr="001D45C1" w:rsidRDefault="00C36D96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 w:rsidRPr="001D45C1">
        <w:rPr>
          <w:rFonts w:ascii="Arial" w:hAnsi="Arial" w:cs="Arial"/>
        </w:rPr>
        <w:t>Dohled nad správným a důstojným užíváním loga</w:t>
      </w:r>
      <w:r w:rsidR="00DA55A5">
        <w:rPr>
          <w:rFonts w:ascii="Arial" w:hAnsi="Arial" w:cs="Arial"/>
        </w:rPr>
        <w:t xml:space="preserve"> Plzeňského kraje (dále též „logo“)</w:t>
      </w:r>
      <w:r w:rsidRPr="001D45C1">
        <w:rPr>
          <w:rFonts w:ascii="Arial" w:hAnsi="Arial" w:cs="Arial"/>
        </w:rPr>
        <w:t xml:space="preserve"> v souladu s Pravidly Rady Plzeňského kraje pro užívání loga Plzeňského kraje a v souladu s veřejným pořádkem, vykonává Krajský úřad Plzeňského kraje (dále jen „KÚPK“). Příjemce je povinen</w:t>
      </w:r>
      <w:r w:rsidR="00DA55A5">
        <w:rPr>
          <w:rFonts w:ascii="Arial" w:hAnsi="Arial" w:cs="Arial"/>
        </w:rPr>
        <w:t xml:space="preserve"> na vyžádání KÚPK</w:t>
      </w:r>
      <w:r w:rsidRPr="001D45C1">
        <w:rPr>
          <w:rFonts w:ascii="Arial" w:hAnsi="Arial" w:cs="Arial"/>
        </w:rPr>
        <w:t xml:space="preserve"> umožnit</w:t>
      </w:r>
      <w:r w:rsidR="00DA55A5">
        <w:rPr>
          <w:rFonts w:ascii="Arial" w:hAnsi="Arial" w:cs="Arial"/>
        </w:rPr>
        <w:t xml:space="preserve"> průběžnou</w:t>
      </w:r>
      <w:r w:rsidRPr="001D45C1">
        <w:rPr>
          <w:rFonts w:ascii="Arial" w:hAnsi="Arial" w:cs="Arial"/>
        </w:rPr>
        <w:t xml:space="preserve"> kontrolu užívání loga. KÚPK sdělí své vyjádření k</w:t>
      </w:r>
      <w:r w:rsidR="00254D08">
        <w:rPr>
          <w:rFonts w:ascii="Arial" w:hAnsi="Arial" w:cs="Arial"/>
        </w:rPr>
        <w:t> </w:t>
      </w:r>
      <w:r w:rsidRPr="001D45C1">
        <w:rPr>
          <w:rFonts w:ascii="Arial" w:hAnsi="Arial" w:cs="Arial"/>
        </w:rPr>
        <w:t>umístění loga a</w:t>
      </w:r>
      <w:r w:rsidR="00FB38AC">
        <w:rPr>
          <w:rFonts w:ascii="Arial" w:hAnsi="Arial" w:cs="Arial"/>
        </w:rPr>
        <w:t> </w:t>
      </w:r>
      <w:r w:rsidRPr="001D45C1">
        <w:rPr>
          <w:rFonts w:ascii="Arial" w:hAnsi="Arial" w:cs="Arial"/>
        </w:rPr>
        <w:t>údajů o finanční podpoře</w:t>
      </w:r>
      <w:r w:rsidR="00DA55A5">
        <w:rPr>
          <w:rFonts w:ascii="Arial" w:hAnsi="Arial" w:cs="Arial"/>
        </w:rPr>
        <w:t xml:space="preserve"> projektu</w:t>
      </w:r>
      <w:r w:rsidRPr="001D45C1">
        <w:rPr>
          <w:rFonts w:ascii="Arial" w:hAnsi="Arial" w:cs="Arial"/>
        </w:rPr>
        <w:t xml:space="preserve"> Plzeňsk</w:t>
      </w:r>
      <w:r w:rsidR="00DA55A5">
        <w:rPr>
          <w:rFonts w:ascii="Arial" w:hAnsi="Arial" w:cs="Arial"/>
        </w:rPr>
        <w:t>ým</w:t>
      </w:r>
      <w:r w:rsidRPr="001D45C1">
        <w:rPr>
          <w:rFonts w:ascii="Arial" w:hAnsi="Arial" w:cs="Arial"/>
        </w:rPr>
        <w:t xml:space="preserve"> kraje</w:t>
      </w:r>
      <w:r w:rsidR="00DA55A5">
        <w:rPr>
          <w:rFonts w:ascii="Arial" w:hAnsi="Arial" w:cs="Arial"/>
        </w:rPr>
        <w:t>m</w:t>
      </w:r>
      <w:r w:rsidRPr="001D45C1">
        <w:rPr>
          <w:rFonts w:ascii="Arial" w:hAnsi="Arial" w:cs="Arial"/>
        </w:rPr>
        <w:t xml:space="preserve"> Příjemci písemně </w:t>
      </w:r>
      <w:r w:rsidR="00FB38AC">
        <w:rPr>
          <w:rFonts w:ascii="Arial" w:hAnsi="Arial" w:cs="Arial"/>
        </w:rPr>
        <w:br/>
      </w:r>
      <w:r w:rsidRPr="001D45C1">
        <w:rPr>
          <w:rFonts w:ascii="Arial" w:hAnsi="Arial" w:cs="Arial"/>
        </w:rPr>
        <w:t>do 3 pracovních dnů od obdržení náhledu předtiskové úpravy, jinak platí, že</w:t>
      </w:r>
      <w:r w:rsidR="00254D08">
        <w:rPr>
          <w:rFonts w:ascii="Arial" w:hAnsi="Arial" w:cs="Arial"/>
        </w:rPr>
        <w:t> </w:t>
      </w:r>
      <w:r w:rsidRPr="001D45C1">
        <w:rPr>
          <w:rFonts w:ascii="Arial" w:hAnsi="Arial" w:cs="Arial"/>
        </w:rPr>
        <w:t>bylo vydáno souhlasné stanovisko.</w:t>
      </w:r>
    </w:p>
    <w:p w:rsidR="00467B31" w:rsidRDefault="00467B31" w:rsidP="00C46EC8">
      <w:pPr>
        <w:numPr>
          <w:ilvl w:val="0"/>
          <w:numId w:val="3"/>
        </w:numPr>
        <w:autoSpaceDE w:val="0"/>
        <w:autoSpaceDN w:val="0"/>
        <w:adjustRightInd w:val="0"/>
        <w:spacing w:after="120" w:line="306" w:lineRule="exact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401D6">
        <w:rPr>
          <w:rFonts w:ascii="Arial" w:hAnsi="Arial" w:cs="Arial"/>
        </w:rPr>
        <w:t>říjemce souhlas</w:t>
      </w:r>
      <w:r>
        <w:rPr>
          <w:rFonts w:ascii="Arial" w:hAnsi="Arial" w:cs="Arial"/>
        </w:rPr>
        <w:t>í s použitím informací o</w:t>
      </w:r>
      <w:r w:rsidRPr="003401D6">
        <w:rPr>
          <w:rFonts w:ascii="Arial" w:hAnsi="Arial" w:cs="Arial"/>
        </w:rPr>
        <w:t xml:space="preserve"> předmětu smlouvy </w:t>
      </w:r>
      <w:r>
        <w:rPr>
          <w:rFonts w:ascii="Arial" w:hAnsi="Arial" w:cs="Arial"/>
        </w:rPr>
        <w:t xml:space="preserve">a jeho fotodokumentace </w:t>
      </w:r>
      <w:r w:rsidRPr="003401D6">
        <w:rPr>
          <w:rFonts w:ascii="Arial" w:hAnsi="Arial" w:cs="Arial"/>
        </w:rPr>
        <w:t xml:space="preserve">pro prezentaci prostřednictvím Plzeňského kraje. </w:t>
      </w:r>
    </w:p>
    <w:p w:rsidR="004317AA" w:rsidRPr="0064313C" w:rsidRDefault="004317AA" w:rsidP="00C46EC8">
      <w:pPr>
        <w:numPr>
          <w:ilvl w:val="0"/>
          <w:numId w:val="3"/>
        </w:numPr>
        <w:spacing w:after="120" w:line="306" w:lineRule="exact"/>
        <w:ind w:hanging="720"/>
        <w:jc w:val="both"/>
        <w:rPr>
          <w:rFonts w:ascii="Arial" w:hAnsi="Arial" w:cs="Arial"/>
        </w:rPr>
      </w:pPr>
      <w:r w:rsidRPr="0064313C">
        <w:rPr>
          <w:rFonts w:ascii="Arial" w:hAnsi="Arial" w:cs="Arial"/>
        </w:rPr>
        <w:t xml:space="preserve">Příjemce prohlašuje, že: </w:t>
      </w:r>
    </w:p>
    <w:p w:rsidR="004317AA" w:rsidRPr="0064313C" w:rsidRDefault="004317AA" w:rsidP="00C46EC8">
      <w:pPr>
        <w:pStyle w:val="Default"/>
        <w:spacing w:after="164" w:line="306" w:lineRule="exact"/>
        <w:ind w:left="720"/>
        <w:jc w:val="both"/>
        <w:rPr>
          <w:color w:val="auto"/>
        </w:rPr>
      </w:pPr>
      <w:r w:rsidRPr="0064313C">
        <w:rPr>
          <w:color w:val="auto"/>
        </w:rPr>
        <w:t xml:space="preserve">a) nemá závazky vůči Plzeňskému kraji nebo jinému veřejnoprávnímu subjektu po lhůtě splatnosti. </w:t>
      </w:r>
    </w:p>
    <w:p w:rsidR="004317AA" w:rsidRPr="0064313C" w:rsidRDefault="004317AA" w:rsidP="00C46EC8">
      <w:pPr>
        <w:pStyle w:val="Default"/>
        <w:spacing w:after="164" w:line="306" w:lineRule="exact"/>
        <w:ind w:left="720"/>
        <w:jc w:val="both"/>
        <w:rPr>
          <w:color w:val="auto"/>
        </w:rPr>
      </w:pPr>
      <w:r w:rsidRPr="0064313C">
        <w:rPr>
          <w:color w:val="auto"/>
        </w:rPr>
        <w:t>b) se nenachází v úpadku, nedošlo v jeho případě k podání návrhu na</w:t>
      </w:r>
      <w:r w:rsidR="00AF4CE5">
        <w:rPr>
          <w:color w:val="auto"/>
        </w:rPr>
        <w:t> </w:t>
      </w:r>
      <w:r w:rsidRPr="0064313C">
        <w:rPr>
          <w:color w:val="auto"/>
        </w:rPr>
        <w:t xml:space="preserve">prohlášení konkurzu ani tento návrh nebyl zamítnut pro nedostatek majetku, nebylo v jeho případě zahájeno ani vedeno insolvenční řízení, není v procesu zrušení (likvidace, zrušení nebo zánik živnostenského oprávnění, sloučení, splynutí, rozdělení obchodní společnosti). </w:t>
      </w:r>
    </w:p>
    <w:p w:rsidR="004317AA" w:rsidRPr="0064313C" w:rsidRDefault="004317AA" w:rsidP="00C46EC8">
      <w:pPr>
        <w:pStyle w:val="Default"/>
        <w:spacing w:after="164" w:line="306" w:lineRule="exact"/>
        <w:ind w:left="720"/>
        <w:jc w:val="both"/>
        <w:rPr>
          <w:color w:val="auto"/>
        </w:rPr>
      </w:pPr>
      <w:r w:rsidRPr="0064313C">
        <w:rPr>
          <w:color w:val="auto"/>
        </w:rPr>
        <w:t xml:space="preserve">c) není podnikem, vůči němuž byl v návaznosti na rozhodnutí Komise EU, jímž je podpora prohlášena za protiprávní a neslučitelnou s vnitřním trhem, vystaven inkasní příkaz. </w:t>
      </w:r>
    </w:p>
    <w:p w:rsidR="004317AA" w:rsidRDefault="004317AA" w:rsidP="00C46EC8">
      <w:pPr>
        <w:pStyle w:val="Default"/>
        <w:spacing w:line="306" w:lineRule="exact"/>
        <w:ind w:left="720"/>
        <w:jc w:val="both"/>
        <w:rPr>
          <w:color w:val="auto"/>
        </w:rPr>
      </w:pPr>
      <w:r w:rsidRPr="0064313C">
        <w:rPr>
          <w:color w:val="auto"/>
        </w:rPr>
        <w:t xml:space="preserve">d) není podnikem v obtížích ve smyslu ustanovení článku 2 odst. 18 Nařízení Komise (EU) č. 651/2014 ze dne </w:t>
      </w:r>
      <w:proofErr w:type="gramStart"/>
      <w:r w:rsidRPr="0064313C">
        <w:rPr>
          <w:color w:val="auto"/>
        </w:rPr>
        <w:t>17.06.2014</w:t>
      </w:r>
      <w:proofErr w:type="gramEnd"/>
      <w:r w:rsidRPr="0064313C">
        <w:rPr>
          <w:color w:val="auto"/>
        </w:rPr>
        <w:t>, kterým se v souladu s články 107 a 108 Smlouvy prohlašují určité kategorie podpory za slučitelné s vnitřním trhem, které bylo zveřejněno v Úředním věstníku Evropské unie L 187 dne</w:t>
      </w:r>
      <w:r w:rsidR="00FB38AC">
        <w:rPr>
          <w:color w:val="auto"/>
        </w:rPr>
        <w:t> </w:t>
      </w:r>
      <w:r w:rsidRPr="0064313C">
        <w:rPr>
          <w:color w:val="auto"/>
        </w:rPr>
        <w:t xml:space="preserve">26.06.2014. </w:t>
      </w:r>
    </w:p>
    <w:p w:rsidR="004317AA" w:rsidRDefault="004317AA" w:rsidP="00C46EC8">
      <w:pPr>
        <w:pStyle w:val="Default"/>
        <w:spacing w:line="306" w:lineRule="exact"/>
        <w:ind w:left="720"/>
        <w:rPr>
          <w:color w:val="auto"/>
        </w:rPr>
      </w:pPr>
    </w:p>
    <w:p w:rsidR="004317AA" w:rsidRPr="0064313C" w:rsidRDefault="004317AA" w:rsidP="00C46EC8">
      <w:pPr>
        <w:pStyle w:val="Default"/>
        <w:numPr>
          <w:ilvl w:val="0"/>
          <w:numId w:val="3"/>
        </w:numPr>
        <w:spacing w:line="306" w:lineRule="exact"/>
        <w:ind w:hanging="720"/>
        <w:jc w:val="both"/>
        <w:rPr>
          <w:color w:val="auto"/>
        </w:rPr>
      </w:pPr>
      <w:r w:rsidRPr="0064313C">
        <w:rPr>
          <w:color w:val="auto"/>
        </w:rPr>
        <w:t xml:space="preserve">Jestliže od okamžiku nabytí účinnosti této smlouvy do </w:t>
      </w:r>
      <w:proofErr w:type="gramStart"/>
      <w:r w:rsidR="00024A82">
        <w:rPr>
          <w:color w:val="auto"/>
        </w:rPr>
        <w:t>01</w:t>
      </w:r>
      <w:r w:rsidRPr="0064313C">
        <w:rPr>
          <w:color w:val="auto"/>
        </w:rPr>
        <w:t>.</w:t>
      </w:r>
      <w:r w:rsidR="00024A82">
        <w:rPr>
          <w:color w:val="auto"/>
        </w:rPr>
        <w:t>02</w:t>
      </w:r>
      <w:r w:rsidR="006A5F87">
        <w:rPr>
          <w:color w:val="auto"/>
        </w:rPr>
        <w:t>.2020</w:t>
      </w:r>
      <w:proofErr w:type="gramEnd"/>
      <w:r w:rsidRPr="0064313C">
        <w:rPr>
          <w:color w:val="auto"/>
        </w:rPr>
        <w:t xml:space="preserve"> nastane změna ve skutečnostech proh</w:t>
      </w:r>
      <w:r>
        <w:rPr>
          <w:color w:val="auto"/>
        </w:rPr>
        <w:t>lášených dle odstavce 8</w:t>
      </w:r>
      <w:r w:rsidR="00B2651E">
        <w:rPr>
          <w:color w:val="auto"/>
        </w:rPr>
        <w:t>.</w:t>
      </w:r>
      <w:r w:rsidRPr="0064313C">
        <w:rPr>
          <w:color w:val="auto"/>
        </w:rPr>
        <w:t xml:space="preserve"> tohoto článku smlouvy, je příjemce povinen o tom neprodleně informovat poskytovatele, který je pro</w:t>
      </w:r>
      <w:r w:rsidR="00FB38AC">
        <w:rPr>
          <w:color w:val="auto"/>
        </w:rPr>
        <w:t> </w:t>
      </w:r>
      <w:r w:rsidRPr="0064313C">
        <w:rPr>
          <w:color w:val="auto"/>
        </w:rPr>
        <w:t>tento případ oprávněn požadovat vrácení dotace nebo dotaci neposkytnout.</w:t>
      </w:r>
    </w:p>
    <w:p w:rsidR="00C36D96" w:rsidRDefault="00C36D96" w:rsidP="00C46EC8">
      <w:pPr>
        <w:pStyle w:val="Nadpis2"/>
        <w:spacing w:after="120" w:line="306" w:lineRule="exact"/>
        <w:jc w:val="left"/>
        <w:rPr>
          <w:rFonts w:ascii="Arial" w:hAnsi="Arial" w:cs="Arial"/>
          <w:bCs w:val="0"/>
          <w:lang w:val="cs-CZ"/>
        </w:rPr>
      </w:pPr>
    </w:p>
    <w:p w:rsidR="009F75A2" w:rsidRPr="009F75A2" w:rsidRDefault="009F75A2" w:rsidP="00C46EC8">
      <w:pPr>
        <w:spacing w:line="306" w:lineRule="exact"/>
        <w:rPr>
          <w:lang w:eastAsia="x-none"/>
        </w:rPr>
      </w:pPr>
    </w:p>
    <w:p w:rsidR="00ED453E" w:rsidRPr="00ED453E" w:rsidRDefault="00ED453E" w:rsidP="00C46EC8">
      <w:pPr>
        <w:spacing w:line="306" w:lineRule="exact"/>
      </w:pPr>
    </w:p>
    <w:p w:rsidR="00C36D96" w:rsidRDefault="00C36D96" w:rsidP="00C46EC8">
      <w:pPr>
        <w:pStyle w:val="Nadpis2"/>
        <w:spacing w:after="120" w:line="306" w:lineRule="exact"/>
        <w:rPr>
          <w:rFonts w:ascii="Arial" w:hAnsi="Arial" w:cs="Arial"/>
          <w:bCs w:val="0"/>
          <w:lang w:val="cs-CZ"/>
        </w:rPr>
      </w:pPr>
      <w:r>
        <w:rPr>
          <w:rFonts w:ascii="Arial" w:hAnsi="Arial" w:cs="Arial"/>
          <w:bCs w:val="0"/>
        </w:rPr>
        <w:t>IV</w:t>
      </w:r>
      <w:r w:rsidRPr="00242B34">
        <w:rPr>
          <w:rFonts w:ascii="Arial" w:hAnsi="Arial" w:cs="Arial"/>
          <w:bCs w:val="0"/>
        </w:rPr>
        <w:t>.</w:t>
      </w:r>
    </w:p>
    <w:p w:rsidR="00C36D96" w:rsidRDefault="005E6300" w:rsidP="00C46EC8">
      <w:pPr>
        <w:spacing w:after="120" w:line="306" w:lineRule="exact"/>
        <w:jc w:val="both"/>
        <w:rPr>
          <w:rFonts w:ascii="Arial" w:hAnsi="Arial"/>
        </w:rPr>
      </w:pPr>
      <w:r w:rsidRPr="001923F1">
        <w:rPr>
          <w:rFonts w:ascii="Arial" w:hAnsi="Arial"/>
        </w:rPr>
        <w:t>Poskytnutí účelové finanční dotace bylo schváleno usnesením Rady P</w:t>
      </w:r>
      <w:r>
        <w:rPr>
          <w:rFonts w:ascii="Arial" w:hAnsi="Arial"/>
        </w:rPr>
        <w:t xml:space="preserve">lzeňského kraje č. 3212/19 ze dne </w:t>
      </w:r>
      <w:proofErr w:type="gramStart"/>
      <w:r>
        <w:rPr>
          <w:rFonts w:ascii="Arial" w:hAnsi="Arial"/>
        </w:rPr>
        <w:t>18.03.2019</w:t>
      </w:r>
      <w:proofErr w:type="gramEnd"/>
      <w:r>
        <w:rPr>
          <w:rFonts w:ascii="Arial" w:hAnsi="Arial"/>
        </w:rPr>
        <w:t xml:space="preserve"> dle ustanovení § 59 odst. 2 písm. a) zákona</w:t>
      </w:r>
      <w:r w:rsidRPr="001923F1">
        <w:rPr>
          <w:rFonts w:ascii="Arial" w:hAnsi="Arial"/>
        </w:rPr>
        <w:t> č. 129/2000</w:t>
      </w:r>
      <w:r>
        <w:rPr>
          <w:rFonts w:ascii="Arial" w:hAnsi="Arial"/>
        </w:rPr>
        <w:t> </w:t>
      </w:r>
      <w:r w:rsidRPr="001923F1">
        <w:rPr>
          <w:rFonts w:ascii="Arial" w:hAnsi="Arial"/>
        </w:rPr>
        <w:t>Sb., o krajích (krajské zřízení), ve znění pozdějších předpisů.</w:t>
      </w:r>
      <w:r w:rsidR="00C36D96">
        <w:rPr>
          <w:rFonts w:ascii="Arial" w:hAnsi="Arial"/>
        </w:rPr>
        <w:t xml:space="preserve"> </w:t>
      </w:r>
    </w:p>
    <w:p w:rsidR="00BB6945" w:rsidRDefault="00BB6945" w:rsidP="00C46EC8">
      <w:pPr>
        <w:spacing w:after="120" w:line="306" w:lineRule="exact"/>
        <w:ind w:left="600"/>
        <w:jc w:val="both"/>
        <w:rPr>
          <w:rFonts w:ascii="Arial" w:hAnsi="Arial"/>
        </w:rPr>
      </w:pPr>
    </w:p>
    <w:p w:rsidR="00BB6945" w:rsidRPr="00DA1261" w:rsidRDefault="00BB6945" w:rsidP="00C46EC8">
      <w:pPr>
        <w:spacing w:after="120" w:line="306" w:lineRule="exact"/>
        <w:ind w:left="600"/>
        <w:jc w:val="both"/>
        <w:rPr>
          <w:rFonts w:ascii="Arial" w:hAnsi="Arial"/>
        </w:rPr>
      </w:pPr>
    </w:p>
    <w:p w:rsidR="00C36D96" w:rsidRDefault="00C36D96" w:rsidP="00C46EC8">
      <w:pPr>
        <w:pStyle w:val="Nadpis2"/>
        <w:spacing w:after="120" w:line="306" w:lineRule="exac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V</w:t>
      </w:r>
      <w:r w:rsidRPr="00242B34">
        <w:rPr>
          <w:rFonts w:ascii="Arial" w:hAnsi="Arial" w:cs="Arial"/>
          <w:bCs w:val="0"/>
        </w:rPr>
        <w:t>.</w:t>
      </w:r>
    </w:p>
    <w:p w:rsidR="00C36D96" w:rsidRPr="00242B34" w:rsidRDefault="00C36D96" w:rsidP="00C46EC8">
      <w:pPr>
        <w:numPr>
          <w:ilvl w:val="0"/>
          <w:numId w:val="2"/>
        </w:numPr>
        <w:tabs>
          <w:tab w:val="clear" w:pos="36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Příjemce se zavazuje, že </w:t>
      </w:r>
      <w:r>
        <w:rPr>
          <w:rFonts w:ascii="Arial" w:hAnsi="Arial" w:cs="Arial"/>
        </w:rPr>
        <w:t xml:space="preserve">prostředky dotace budou využity výhradně k financování účelu uvedeného v článku I. této smlouvy. </w:t>
      </w:r>
      <w:r w:rsidRPr="00242B3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242B34">
        <w:rPr>
          <w:rFonts w:ascii="Arial" w:hAnsi="Arial" w:cs="Arial"/>
        </w:rPr>
        <w:t xml:space="preserve">případě porušení účelovosti použití prostředků dotace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vrátit dotaci ve výši neoprávněně použité částky zpět </w:t>
      </w:r>
      <w:r>
        <w:rPr>
          <w:rFonts w:ascii="Arial" w:hAnsi="Arial" w:cs="Arial"/>
        </w:rPr>
        <w:t>Poskytovatel</w:t>
      </w:r>
      <w:r w:rsidRPr="00242B34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Příjemce je povinen dotaci využít hospodárně, efektivně a účelně. V případě porušení </w:t>
      </w:r>
      <w:r w:rsidRPr="009D0FA7">
        <w:rPr>
          <w:rFonts w:ascii="Arial" w:hAnsi="Arial" w:cs="Arial"/>
        </w:rPr>
        <w:t>povinnosti hospodárného</w:t>
      </w:r>
      <w:r>
        <w:rPr>
          <w:rFonts w:ascii="Arial" w:hAnsi="Arial" w:cs="Arial"/>
        </w:rPr>
        <w:t>, efektivního a účelného</w:t>
      </w:r>
      <w:r w:rsidRPr="009D0FA7">
        <w:rPr>
          <w:rFonts w:ascii="Arial" w:hAnsi="Arial" w:cs="Arial"/>
        </w:rPr>
        <w:t xml:space="preserve"> použití prostředků</w:t>
      </w:r>
      <w:r>
        <w:rPr>
          <w:rFonts w:ascii="Arial" w:hAnsi="Arial" w:cs="Arial"/>
        </w:rPr>
        <w:t xml:space="preserve"> KÚPK uloží odvod Příjemci ve výši 30-60 % dotace. </w:t>
      </w:r>
    </w:p>
    <w:p w:rsidR="00C36D96" w:rsidRPr="00C74972" w:rsidRDefault="00C36D96" w:rsidP="00C46EC8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C24643">
        <w:rPr>
          <w:rFonts w:ascii="Arial" w:hAnsi="Arial" w:cs="Arial"/>
        </w:rPr>
        <w:t>Pokud je Příjemce povinen</w:t>
      </w:r>
      <w:r w:rsidRPr="00C2464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vést </w:t>
      </w:r>
      <w:r w:rsidRPr="00C24643">
        <w:rPr>
          <w:rFonts w:ascii="Arial" w:hAnsi="Arial" w:cs="Arial"/>
        </w:rPr>
        <w:t>účetnictví</w:t>
      </w:r>
      <w:r w:rsidRPr="00C24643" w:rsidDel="008E2BF8">
        <w:rPr>
          <w:rFonts w:ascii="Arial" w:hAnsi="Arial" w:cs="Arial"/>
        </w:rPr>
        <w:t xml:space="preserve"> </w:t>
      </w:r>
      <w:r w:rsidRPr="00C24643">
        <w:rPr>
          <w:rFonts w:ascii="Arial" w:hAnsi="Arial" w:cs="Arial"/>
        </w:rPr>
        <w:t>podle</w:t>
      </w:r>
      <w:r>
        <w:rPr>
          <w:rFonts w:ascii="Arial" w:hAnsi="Arial" w:cs="Arial"/>
        </w:rPr>
        <w:t xml:space="preserve"> z</w:t>
      </w:r>
      <w:r w:rsidRPr="00C74972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C74972">
        <w:rPr>
          <w:rFonts w:ascii="Arial" w:hAnsi="Arial" w:cs="Arial"/>
        </w:rPr>
        <w:t xml:space="preserve"> č. 563/1991 Sb., o</w:t>
      </w:r>
      <w:r>
        <w:rPr>
          <w:rFonts w:ascii="Arial" w:hAnsi="Arial" w:cs="Arial"/>
        </w:rPr>
        <w:t> </w:t>
      </w:r>
      <w:r w:rsidRPr="00C74972">
        <w:rPr>
          <w:rFonts w:ascii="Arial" w:hAnsi="Arial" w:cs="Arial"/>
        </w:rPr>
        <w:t>účetnictví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ve znění pozdějších předpisů</w:t>
      </w:r>
      <w:r>
        <w:rPr>
          <w:rFonts w:ascii="Arial" w:hAnsi="Arial" w:cs="Arial"/>
        </w:rPr>
        <w:t>, je povinen vést je řádně. Pokud je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Příjemce povinen vést daňovou evidenci </w:t>
      </w:r>
      <w:r w:rsidR="00254D08">
        <w:rPr>
          <w:rFonts w:ascii="Arial" w:hAnsi="Arial" w:cs="Arial"/>
        </w:rPr>
        <w:t>podle zákona č. 586/1992 Sb., o </w:t>
      </w:r>
      <w:r>
        <w:rPr>
          <w:rFonts w:ascii="Arial" w:hAnsi="Arial" w:cs="Arial"/>
        </w:rPr>
        <w:t>daních z příjmů, ve znění pozdějších předpisů, je povinen ji vést řádně. Příjemce se zavazuje vést evidenci čerpání poskytnuté dotace odděleně od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ostatního účetnictví, popř. daňové evidence. Dotace budou v účetnictví, popř.</w:t>
      </w:r>
      <w:r w:rsidR="00FB38AC">
        <w:rPr>
          <w:rFonts w:ascii="Arial" w:hAnsi="Arial" w:cs="Arial"/>
        </w:rPr>
        <w:t> </w:t>
      </w:r>
      <w:r>
        <w:rPr>
          <w:rFonts w:ascii="Arial" w:hAnsi="Arial" w:cs="Arial"/>
        </w:rPr>
        <w:t>daňové evidenci, analyticky odlišeny.</w:t>
      </w:r>
      <w:r w:rsidRPr="004E00DE">
        <w:rPr>
          <w:rFonts w:ascii="Arial" w:hAnsi="Arial" w:cs="Arial"/>
        </w:rPr>
        <w:t xml:space="preserve"> Příjemce je </w:t>
      </w:r>
      <w:r>
        <w:rPr>
          <w:rFonts w:ascii="Arial" w:hAnsi="Arial" w:cs="Arial"/>
        </w:rPr>
        <w:t xml:space="preserve">vždy </w:t>
      </w:r>
      <w:r w:rsidRPr="004E00DE">
        <w:rPr>
          <w:rFonts w:ascii="Arial" w:hAnsi="Arial" w:cs="Arial"/>
        </w:rPr>
        <w:t>povinen doložit evidenci čerpání dotace</w:t>
      </w:r>
      <w:r w:rsidR="00861538">
        <w:rPr>
          <w:rFonts w:ascii="Arial" w:hAnsi="Arial" w:cs="Arial"/>
        </w:rPr>
        <w:t xml:space="preserve"> a povinnou spoluúčast</w:t>
      </w:r>
      <w:r w:rsidRPr="004E00DE">
        <w:rPr>
          <w:rFonts w:ascii="Arial" w:hAnsi="Arial" w:cs="Arial"/>
        </w:rPr>
        <w:t xml:space="preserve"> doklady splňujícími charakter účetních dokladů podle zákona o účetnictví</w:t>
      </w:r>
      <w:r w:rsidRPr="00C24643">
        <w:rPr>
          <w:rFonts w:ascii="Arial" w:hAnsi="Arial" w:cs="Arial"/>
        </w:rPr>
        <w:t>, i když účetnictví nevede</w:t>
      </w:r>
      <w:r w:rsidRPr="004E00DE">
        <w:rPr>
          <w:rFonts w:ascii="Arial" w:hAnsi="Arial" w:cs="Arial"/>
        </w:rPr>
        <w:t>.</w:t>
      </w:r>
      <w:r w:rsidRPr="00C74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porušení ustanovení tohoto odstavce KÚPK uloží Příjemci odvod ve výši 5-10 % dotace. </w:t>
      </w:r>
    </w:p>
    <w:p w:rsidR="004317AA" w:rsidRPr="00D4577E" w:rsidRDefault="004317AA" w:rsidP="00C46EC8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D4577E">
        <w:rPr>
          <w:rFonts w:ascii="Arial" w:hAnsi="Arial" w:cs="Arial"/>
        </w:rPr>
        <w:t xml:space="preserve">Příjemce je povinen předložit Poskytovateli závěrečnou zprávu a finanční vypořádání dotace (dále též „vyúčtování“) v elektronické formě prostřednictvím systému </w:t>
      </w:r>
      <w:proofErr w:type="spellStart"/>
      <w:r w:rsidRPr="00D4577E">
        <w:rPr>
          <w:rFonts w:ascii="Arial" w:hAnsi="Arial" w:cs="Arial"/>
        </w:rPr>
        <w:t>eDotace</w:t>
      </w:r>
      <w:proofErr w:type="spellEnd"/>
      <w:r w:rsidRPr="00D4577E">
        <w:rPr>
          <w:rFonts w:ascii="Arial" w:hAnsi="Arial" w:cs="Arial"/>
        </w:rPr>
        <w:t xml:space="preserve">, a to včetně všech požadovaných příloh dle Pravidel dotačního programu ve lhůtě do </w:t>
      </w:r>
      <w:proofErr w:type="gramStart"/>
      <w:r w:rsidR="00FE3920" w:rsidRPr="00D615AA">
        <w:rPr>
          <w:rFonts w:ascii="Arial" w:hAnsi="Arial" w:cs="Arial"/>
          <w:b/>
        </w:rPr>
        <w:t>01</w:t>
      </w:r>
      <w:r w:rsidRPr="00D615AA">
        <w:rPr>
          <w:rFonts w:ascii="Arial" w:hAnsi="Arial" w:cs="Arial"/>
          <w:b/>
        </w:rPr>
        <w:t>.</w:t>
      </w:r>
      <w:r w:rsidR="00FE3920" w:rsidRPr="00D615AA">
        <w:rPr>
          <w:rFonts w:ascii="Arial" w:hAnsi="Arial" w:cs="Arial"/>
          <w:b/>
        </w:rPr>
        <w:t>02</w:t>
      </w:r>
      <w:r w:rsidRPr="00D615AA">
        <w:rPr>
          <w:rFonts w:ascii="Arial" w:hAnsi="Arial" w:cs="Arial"/>
          <w:b/>
        </w:rPr>
        <w:t>.</w:t>
      </w:r>
      <w:r w:rsidR="006A5F87">
        <w:rPr>
          <w:rFonts w:ascii="Arial" w:hAnsi="Arial" w:cs="Arial"/>
          <w:b/>
        </w:rPr>
        <w:t>2020</w:t>
      </w:r>
      <w:proofErr w:type="gramEnd"/>
      <w:r w:rsidRPr="00D4577E">
        <w:rPr>
          <w:rFonts w:ascii="Arial" w:hAnsi="Arial" w:cs="Arial"/>
        </w:rPr>
        <w:t>. V případě, kdy administrátor shledá, že</w:t>
      </w:r>
      <w:r w:rsidR="00FB38AC">
        <w:rPr>
          <w:rFonts w:ascii="Arial" w:hAnsi="Arial" w:cs="Arial"/>
        </w:rPr>
        <w:t> </w:t>
      </w:r>
      <w:r w:rsidRPr="00D4577E">
        <w:rPr>
          <w:rFonts w:ascii="Arial" w:hAnsi="Arial" w:cs="Arial"/>
        </w:rPr>
        <w:t xml:space="preserve">podané vyúčtování vykazuje nedostatky, vyzve KÚPK prostřednictvím elektronického systému </w:t>
      </w:r>
      <w:proofErr w:type="spellStart"/>
      <w:r w:rsidRPr="00D4577E">
        <w:rPr>
          <w:rFonts w:ascii="Arial" w:hAnsi="Arial" w:cs="Arial"/>
        </w:rPr>
        <w:t>eDotace</w:t>
      </w:r>
      <w:proofErr w:type="spellEnd"/>
      <w:r w:rsidRPr="00D4577E">
        <w:rPr>
          <w:rFonts w:ascii="Arial" w:hAnsi="Arial" w:cs="Arial"/>
        </w:rPr>
        <w:t xml:space="preserve"> příjemce k jejich odstranění ve 14 denní lhůtě od data doručení výzvy. V případě, že vyúčtování dotace nebude ani v dodatečné lhůtě stanovené KÚPK předloženo Poskytovateli řádně, je Příjemce povinen dotaci v plné výši, popřípadě v části nedoložené vyúčtováním, vrátit ve lhůtě určené v písemné výzvě KÚPK. V případě pozdního vyúčtování KÚPK uloží Příjemci odvod ve výši 5-10 % dotace.</w:t>
      </w:r>
    </w:p>
    <w:p w:rsidR="00D615AA" w:rsidRDefault="00D615AA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D615AA">
        <w:rPr>
          <w:rFonts w:ascii="Arial" w:hAnsi="Arial" w:cs="Arial"/>
        </w:rPr>
        <w:t>Příjemce je povinen vrátit celou dotaci poskytovateli, jestliže byl vůči němu v</w:t>
      </w:r>
      <w:r w:rsidR="00DC1CFB">
        <w:rPr>
          <w:rFonts w:ascii="Arial" w:hAnsi="Arial" w:cs="Arial"/>
        </w:rPr>
        <w:t> </w:t>
      </w:r>
      <w:r w:rsidRPr="00D615AA">
        <w:rPr>
          <w:rFonts w:ascii="Arial" w:hAnsi="Arial" w:cs="Arial"/>
        </w:rPr>
        <w:t>návaznosti na rozhodnutí Komise EU, jímž je podpora prohlášena za</w:t>
      </w:r>
      <w:r w:rsidR="00DC1CFB">
        <w:rPr>
          <w:rFonts w:ascii="Arial" w:hAnsi="Arial" w:cs="Arial"/>
        </w:rPr>
        <w:t> </w:t>
      </w:r>
      <w:r w:rsidRPr="00D615AA">
        <w:rPr>
          <w:rFonts w:ascii="Arial" w:hAnsi="Arial" w:cs="Arial"/>
        </w:rPr>
        <w:t xml:space="preserve">protiprávní a neslučitelnou s vnitřním trhem, vystaven inkasní příkaz a dále též jestliže se stane podnikem v obtížích ve smyslu ustanovení článku 2 odst. 18 Nařízení Komise (EU) č. 651/2014 ze dne </w:t>
      </w:r>
      <w:proofErr w:type="gramStart"/>
      <w:r w:rsidRPr="00D615AA">
        <w:rPr>
          <w:rFonts w:ascii="Arial" w:hAnsi="Arial" w:cs="Arial"/>
        </w:rPr>
        <w:t>17.06.2014</w:t>
      </w:r>
      <w:proofErr w:type="gramEnd"/>
      <w:r w:rsidRPr="00D615AA">
        <w:rPr>
          <w:rFonts w:ascii="Arial" w:hAnsi="Arial" w:cs="Arial"/>
        </w:rPr>
        <w:t>, kterým se v souladu s články 107 a 108 Smlouvy prohlašují určité kategorie podpory za slučitelné s</w:t>
      </w:r>
      <w:r w:rsidR="00DC1CFB">
        <w:rPr>
          <w:rFonts w:ascii="Arial" w:hAnsi="Arial" w:cs="Arial"/>
        </w:rPr>
        <w:t> </w:t>
      </w:r>
      <w:r w:rsidRPr="00D615AA">
        <w:rPr>
          <w:rFonts w:ascii="Arial" w:hAnsi="Arial" w:cs="Arial"/>
        </w:rPr>
        <w:t>vnitřním trhem, které bylo zveřejněno v Úředním věstníku Evropské unie L</w:t>
      </w:r>
      <w:r w:rsidR="00DC1CFB">
        <w:rPr>
          <w:rFonts w:ascii="Arial" w:hAnsi="Arial" w:cs="Arial"/>
        </w:rPr>
        <w:t> </w:t>
      </w:r>
      <w:r w:rsidRPr="00D615AA">
        <w:rPr>
          <w:rFonts w:ascii="Arial" w:hAnsi="Arial" w:cs="Arial"/>
        </w:rPr>
        <w:t>187 dne 26.06.2014.</w:t>
      </w:r>
    </w:p>
    <w:p w:rsidR="00C36D96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Prostředky dotace nebudou Příjemcem poskytnuty jiným </w:t>
      </w:r>
      <w:r w:rsidRPr="00242B34">
        <w:rPr>
          <w:rFonts w:ascii="Arial" w:hAnsi="Arial" w:cs="Arial"/>
        </w:rPr>
        <w:t>fyzickým nebo právnickým osobám, pokud nepůjde o úhradu bezprostředně spojenou s realizací účelu dotace. Pokud by byly prostředky poskytnuty v rozporu s účelem dotace</w:t>
      </w:r>
      <w:r>
        <w:rPr>
          <w:rFonts w:ascii="Arial" w:hAnsi="Arial" w:cs="Arial"/>
        </w:rPr>
        <w:t xml:space="preserve"> uvedeným v čl. I. této smlouvy</w:t>
      </w:r>
      <w:r w:rsidRPr="00242B34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dotaci vrátit ve</w:t>
      </w:r>
      <w:r>
        <w:rPr>
          <w:rFonts w:ascii="Arial" w:hAnsi="Arial" w:cs="Arial"/>
        </w:rPr>
        <w:t xml:space="preserve"> výši neoprávněně použité částky. </w:t>
      </w:r>
    </w:p>
    <w:p w:rsidR="00C36D96" w:rsidRPr="00242B34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Majetek pořízený, zhodnocený nebo opravený za použití dotace nesmí být bez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písemného souhlasu Poskytovatele po dobu 3 let od poskytnutí dotace převeden na třetí osobu, pronajat, propachtován ani jinak dán k dispozici třetí osobě.  V případě porušení této povinnosti KÚPK uloží Příjemci odvod ve výši 30-50 % dotace. </w:t>
      </w:r>
    </w:p>
    <w:p w:rsidR="00C36D96" w:rsidRPr="00AD025A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AD025A">
        <w:rPr>
          <w:rFonts w:ascii="Arial" w:hAnsi="Arial" w:cs="Arial"/>
        </w:rPr>
        <w:t xml:space="preserve">Z poskytnuté dotace nelze hradit pojistné, pokuty, penále, náhradu škody, soudní poplatky, smluvní pokuty, úroky z prodlení nebo poplatky z prodlení, </w:t>
      </w:r>
      <w:r w:rsidRPr="004E00DE">
        <w:rPr>
          <w:rFonts w:ascii="Arial" w:hAnsi="Arial" w:cs="Arial"/>
        </w:rPr>
        <w:t xml:space="preserve">správní poplatky, daně a odvody, splátky úvěrů a půjček, </w:t>
      </w:r>
      <w:r w:rsidRPr="00642B48">
        <w:rPr>
          <w:rFonts w:ascii="Arial" w:hAnsi="Arial" w:cs="Arial"/>
        </w:rPr>
        <w:t>dary</w:t>
      </w:r>
      <w:r w:rsidR="00AA7306" w:rsidRPr="00642B48">
        <w:rPr>
          <w:rFonts w:ascii="Arial" w:hAnsi="Arial" w:cs="Arial"/>
        </w:rPr>
        <w:t xml:space="preserve"> </w:t>
      </w:r>
      <w:r w:rsidR="00AA7306">
        <w:rPr>
          <w:rFonts w:ascii="Arial" w:hAnsi="Arial" w:cs="Arial"/>
        </w:rPr>
        <w:t>a další položky dle</w:t>
      </w:r>
      <w:r w:rsidR="00FB38AC">
        <w:rPr>
          <w:rFonts w:ascii="Arial" w:hAnsi="Arial" w:cs="Arial"/>
        </w:rPr>
        <w:t> </w:t>
      </w:r>
      <w:r w:rsidR="00AA7306">
        <w:rPr>
          <w:rFonts w:ascii="Arial" w:hAnsi="Arial" w:cs="Arial"/>
        </w:rPr>
        <w:t>ustanovení čl. III</w:t>
      </w:r>
      <w:r w:rsidR="00C12F72">
        <w:rPr>
          <w:rFonts w:ascii="Arial" w:hAnsi="Arial" w:cs="Arial"/>
        </w:rPr>
        <w:t>.</w:t>
      </w:r>
      <w:r w:rsidR="00AA7306">
        <w:rPr>
          <w:rFonts w:ascii="Arial" w:hAnsi="Arial" w:cs="Arial"/>
        </w:rPr>
        <w:t xml:space="preserve"> odst. </w:t>
      </w:r>
      <w:r w:rsidR="00DA60CD">
        <w:rPr>
          <w:rFonts w:ascii="Arial" w:hAnsi="Arial" w:cs="Arial"/>
        </w:rPr>
        <w:t>5</w:t>
      </w:r>
      <w:r w:rsidR="00C12F72">
        <w:rPr>
          <w:rFonts w:ascii="Arial" w:hAnsi="Arial" w:cs="Arial"/>
        </w:rPr>
        <w:t>)</w:t>
      </w:r>
      <w:r w:rsidR="00AA7306">
        <w:rPr>
          <w:rFonts w:ascii="Arial" w:hAnsi="Arial" w:cs="Arial"/>
        </w:rPr>
        <w:t xml:space="preserve"> Pravidel dotačního programu</w:t>
      </w:r>
      <w:r w:rsidRPr="00AD025A">
        <w:rPr>
          <w:rFonts w:ascii="Arial" w:hAnsi="Arial" w:cs="Arial"/>
        </w:rPr>
        <w:t xml:space="preserve">; pokud je </w:t>
      </w:r>
      <w:r>
        <w:rPr>
          <w:rFonts w:ascii="Arial" w:hAnsi="Arial" w:cs="Arial"/>
        </w:rPr>
        <w:t>Příjemce</w:t>
      </w:r>
      <w:r w:rsidRPr="00A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smyslu zákona č. 235/2004 Sb., o dani z přidané hodnoty, ve znění pozdějších předpisů, </w:t>
      </w:r>
      <w:r w:rsidRPr="00AD025A">
        <w:rPr>
          <w:rFonts w:ascii="Arial" w:hAnsi="Arial" w:cs="Arial"/>
        </w:rPr>
        <w:t xml:space="preserve">plátcem a </w:t>
      </w:r>
      <w:r>
        <w:rPr>
          <w:rFonts w:ascii="Arial" w:hAnsi="Arial" w:cs="Arial"/>
        </w:rPr>
        <w:t xml:space="preserve">může </w:t>
      </w:r>
      <w:r w:rsidRPr="00AD025A">
        <w:rPr>
          <w:rFonts w:ascii="Arial" w:hAnsi="Arial" w:cs="Arial"/>
        </w:rPr>
        <w:t>uplat</w:t>
      </w:r>
      <w:r>
        <w:rPr>
          <w:rFonts w:ascii="Arial" w:hAnsi="Arial" w:cs="Arial"/>
        </w:rPr>
        <w:t>nit</w:t>
      </w:r>
      <w:r w:rsidRPr="00A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nárok na </w:t>
      </w:r>
      <w:r w:rsidRPr="00AD025A">
        <w:rPr>
          <w:rFonts w:ascii="Arial" w:hAnsi="Arial" w:cs="Arial"/>
        </w:rPr>
        <w:t>odpočet</w:t>
      </w:r>
      <w:r>
        <w:rPr>
          <w:rFonts w:ascii="Arial" w:hAnsi="Arial" w:cs="Arial"/>
        </w:rPr>
        <w:t xml:space="preserve"> daně</w:t>
      </w:r>
      <w:r w:rsidRPr="00AD025A">
        <w:rPr>
          <w:rFonts w:ascii="Arial" w:hAnsi="Arial" w:cs="Arial"/>
        </w:rPr>
        <w:t>, nelze z dotace hradit část nákladů odpovídající</w:t>
      </w:r>
      <w:r>
        <w:rPr>
          <w:rFonts w:ascii="Arial" w:hAnsi="Arial" w:cs="Arial"/>
        </w:rPr>
        <w:t>ch výši uplatněného nároku na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odpočet daně</w:t>
      </w:r>
      <w:r w:rsidRPr="00AD025A">
        <w:rPr>
          <w:rFonts w:ascii="Arial" w:hAnsi="Arial" w:cs="Arial"/>
        </w:rPr>
        <w:t>. V</w:t>
      </w:r>
      <w:r w:rsidRPr="004E00DE">
        <w:rPr>
          <w:rFonts w:ascii="Arial" w:hAnsi="Arial" w:cs="Arial"/>
        </w:rPr>
        <w:t xml:space="preserve"> případě pochybnosti, zda lze náklad z prostředků dotace hradit či nikoliv, rozhoduje o uznatelnosti nákladu výhradně </w:t>
      </w:r>
      <w:r>
        <w:rPr>
          <w:rFonts w:ascii="Arial" w:hAnsi="Arial" w:cs="Arial"/>
        </w:rPr>
        <w:t>KÚPK</w:t>
      </w:r>
      <w:r w:rsidRPr="004E00DE">
        <w:rPr>
          <w:rFonts w:ascii="Arial" w:hAnsi="Arial" w:cs="Arial"/>
        </w:rPr>
        <w:t xml:space="preserve">. </w:t>
      </w:r>
    </w:p>
    <w:p w:rsidR="00C36D96" w:rsidRPr="00271023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271023">
        <w:rPr>
          <w:rFonts w:ascii="Arial" w:hAnsi="Arial" w:cs="Arial"/>
        </w:rPr>
        <w:t xml:space="preserve">V případě, že nedojde k uskutečnění projektu, na který byla poskytnuta finanční dotace, </w:t>
      </w:r>
      <w:r>
        <w:rPr>
          <w:rFonts w:ascii="Arial" w:hAnsi="Arial" w:cs="Arial"/>
        </w:rPr>
        <w:t>do data, do kterého je Příjemce oprávněn čerpat dotaci dle čl. II. odst.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="00254D08">
        <w:rPr>
          <w:rFonts w:ascii="Arial" w:hAnsi="Arial" w:cs="Arial"/>
        </w:rPr>
        <w:t>. t</w:t>
      </w:r>
      <w:r>
        <w:rPr>
          <w:rFonts w:ascii="Arial" w:hAnsi="Arial" w:cs="Arial"/>
        </w:rPr>
        <w:t>éto</w:t>
      </w:r>
      <w:r w:rsidR="00254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smlouvy, </w:t>
      </w:r>
      <w:r w:rsidRPr="0027102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dotaci v plné výši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 xml:space="preserve">i. V případě, že finanční prostředky nebudou </w:t>
      </w:r>
      <w:r>
        <w:rPr>
          <w:rFonts w:ascii="Arial" w:hAnsi="Arial" w:cs="Arial"/>
        </w:rPr>
        <w:t xml:space="preserve">do této doby </w:t>
      </w:r>
      <w:r w:rsidRPr="00271023">
        <w:rPr>
          <w:rFonts w:ascii="Arial" w:hAnsi="Arial" w:cs="Arial"/>
        </w:rPr>
        <w:t xml:space="preserve">vyčerpány v plné výši, 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>i nevyčerpaný zůstatek dotace</w:t>
      </w:r>
      <w:r>
        <w:rPr>
          <w:rFonts w:ascii="Arial" w:hAnsi="Arial" w:cs="Arial"/>
        </w:rPr>
        <w:t xml:space="preserve"> ve lhůtě pro vyúčtování</w:t>
      </w:r>
      <w:r w:rsidR="00024A82">
        <w:rPr>
          <w:rFonts w:ascii="Arial" w:hAnsi="Arial" w:cs="Arial"/>
        </w:rPr>
        <w:t xml:space="preserve"> / nebude dotace Příjemci vyplacena</w:t>
      </w:r>
      <w:r w:rsidRPr="00271023">
        <w:rPr>
          <w:rFonts w:ascii="Arial" w:hAnsi="Arial" w:cs="Arial"/>
        </w:rPr>
        <w:t xml:space="preserve">. </w:t>
      </w:r>
    </w:p>
    <w:p w:rsidR="001256CA" w:rsidRDefault="00C36D96" w:rsidP="00C46EC8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je dále povinen dotaci vrátit, pokud bude zjištěno, že údaje, na jejichž základě byla dotace poskytnuta, byly neúplné nebo nepravdivé</w:t>
      </w:r>
      <w:r w:rsidR="00254D08">
        <w:rPr>
          <w:rFonts w:ascii="Arial" w:hAnsi="Arial" w:cs="Arial"/>
        </w:rPr>
        <w:t>. Pokud by </w:t>
      </w:r>
      <w:r>
        <w:rPr>
          <w:rFonts w:ascii="Arial" w:hAnsi="Arial" w:cs="Arial"/>
        </w:rPr>
        <w:t>se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jednalo o nedovolenou veřejnou podporu, je Příjemce povinen dotaci v plné výši vrátit včetně úroku podle pravidel o veřejné podpoře</w:t>
      </w:r>
      <w:r w:rsidRPr="00242B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Příjemce je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povinen dotaci vrátit, pokud v souvislosti s projektem spáchá trestný čin</w:t>
      </w:r>
      <w:r w:rsidR="00254D08">
        <w:rPr>
          <w:rFonts w:ascii="Arial" w:hAnsi="Arial" w:cs="Arial"/>
        </w:rPr>
        <w:t>, přestupek nebo správní delikt</w:t>
      </w:r>
      <w:r>
        <w:rPr>
          <w:rFonts w:ascii="Arial" w:hAnsi="Arial" w:cs="Arial"/>
        </w:rPr>
        <w:t xml:space="preserve"> nebo jeho jednání odporuje veřejnému pořádku. </w:t>
      </w:r>
    </w:p>
    <w:p w:rsidR="001256CA" w:rsidRPr="00363AF2" w:rsidRDefault="00C36D96" w:rsidP="00C46EC8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6B79BE">
        <w:rPr>
          <w:rFonts w:ascii="Arial" w:hAnsi="Arial" w:cs="Arial"/>
        </w:rPr>
        <w:t xml:space="preserve">V případě vzniku důvodů pro vrácení finančních prostředků nebo zaplacení odvodu, poukáže je </w:t>
      </w:r>
      <w:r>
        <w:rPr>
          <w:rFonts w:ascii="Arial" w:hAnsi="Arial" w:cs="Arial"/>
        </w:rPr>
        <w:t>Příjemce</w:t>
      </w:r>
      <w:r w:rsidRPr="006B79BE">
        <w:rPr>
          <w:rFonts w:ascii="Arial" w:hAnsi="Arial" w:cs="Arial"/>
        </w:rPr>
        <w:t xml:space="preserve"> bez výzvy neprodleně na účet </w:t>
      </w:r>
      <w:r>
        <w:rPr>
          <w:rFonts w:ascii="Arial" w:hAnsi="Arial" w:cs="Arial"/>
        </w:rPr>
        <w:t>Poskytovatel</w:t>
      </w:r>
      <w:r w:rsidRPr="006B79BE">
        <w:rPr>
          <w:rFonts w:ascii="Arial" w:hAnsi="Arial" w:cs="Arial"/>
        </w:rPr>
        <w:t>e, popřípadě ve lhůtě určené ve výzvě KÚPK. V roce poskytnutí dotace na</w:t>
      </w:r>
      <w:r w:rsidR="00254D08">
        <w:rPr>
          <w:rFonts w:ascii="Arial" w:hAnsi="Arial" w:cs="Arial"/>
        </w:rPr>
        <w:t> </w:t>
      </w:r>
      <w:r w:rsidRPr="006B79B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proofErr w:type="spellStart"/>
      <w:r w:rsidRPr="006B79BE">
        <w:rPr>
          <w:rFonts w:ascii="Arial" w:hAnsi="Arial" w:cs="Arial"/>
        </w:rPr>
        <w:t>ú.</w:t>
      </w:r>
      <w:proofErr w:type="spellEnd"/>
      <w:r w:rsidRPr="006B79BE">
        <w:rPr>
          <w:rFonts w:ascii="Arial" w:hAnsi="Arial" w:cs="Arial"/>
        </w:rPr>
        <w:t>:</w:t>
      </w:r>
      <w:r>
        <w:rPr>
          <w:rFonts w:ascii="Arial" w:hAnsi="Arial" w:cs="Arial"/>
        </w:rPr>
        <w:t> </w:t>
      </w:r>
      <w:r w:rsidRPr="001256CA">
        <w:rPr>
          <w:rFonts w:ascii="Arial" w:hAnsi="Arial" w:cs="Arial"/>
          <w:iCs/>
        </w:rPr>
        <w:t xml:space="preserve">1063003350/5500 </w:t>
      </w:r>
      <w:r w:rsidRPr="006B79BE">
        <w:rPr>
          <w:rFonts w:ascii="Arial" w:hAnsi="Arial" w:cs="Arial"/>
        </w:rPr>
        <w:t xml:space="preserve">u peněžního ústavu </w:t>
      </w:r>
      <w:proofErr w:type="spellStart"/>
      <w:r w:rsidRPr="006B79BE">
        <w:rPr>
          <w:rFonts w:ascii="Arial" w:hAnsi="Arial" w:cs="Arial"/>
        </w:rPr>
        <w:t>Raiffeisenbank</w:t>
      </w:r>
      <w:proofErr w:type="spellEnd"/>
      <w:r w:rsidRPr="006B79BE">
        <w:rPr>
          <w:rFonts w:ascii="Arial" w:hAnsi="Arial" w:cs="Arial"/>
        </w:rPr>
        <w:t xml:space="preserve">, a.s., pobočka Plzeň, jinak na </w:t>
      </w:r>
      <w:proofErr w:type="spellStart"/>
      <w:proofErr w:type="gramStart"/>
      <w:r w:rsidRPr="006B79BE">
        <w:rPr>
          <w:rFonts w:ascii="Arial" w:hAnsi="Arial" w:cs="Arial"/>
        </w:rPr>
        <w:t>č.ú</w:t>
      </w:r>
      <w:proofErr w:type="spellEnd"/>
      <w:r w:rsidRPr="006B79BE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</w:t>
      </w:r>
      <w:r w:rsidRPr="006B79BE">
        <w:rPr>
          <w:rFonts w:ascii="Arial" w:hAnsi="Arial" w:cs="Arial"/>
        </w:rPr>
        <w:t>1063003377/5500</w:t>
      </w:r>
      <w:proofErr w:type="gramEnd"/>
      <w:r w:rsidRPr="006B79BE">
        <w:rPr>
          <w:rFonts w:ascii="Arial" w:hAnsi="Arial" w:cs="Arial"/>
        </w:rPr>
        <w:t xml:space="preserve"> u peněžního ústavu </w:t>
      </w:r>
      <w:proofErr w:type="spellStart"/>
      <w:r w:rsidRPr="006B79BE">
        <w:rPr>
          <w:rFonts w:ascii="Arial" w:hAnsi="Arial" w:cs="Arial"/>
        </w:rPr>
        <w:t>Raiffeisenbank</w:t>
      </w:r>
      <w:proofErr w:type="spellEnd"/>
      <w:r w:rsidRPr="006B79BE">
        <w:rPr>
          <w:rFonts w:ascii="Arial" w:hAnsi="Arial" w:cs="Arial"/>
        </w:rPr>
        <w:t xml:space="preserve">, a.s., pobočka Plzeň. Variabilním symbolem bude </w:t>
      </w:r>
      <w:r w:rsidRPr="00363AF2">
        <w:rPr>
          <w:rFonts w:ascii="Arial" w:hAnsi="Arial" w:cs="Arial"/>
        </w:rPr>
        <w:t>IČO</w:t>
      </w:r>
      <w:r w:rsidR="001256CA" w:rsidRPr="00363AF2">
        <w:rPr>
          <w:rFonts w:ascii="Arial" w:hAnsi="Arial" w:cs="Arial"/>
        </w:rPr>
        <w:t xml:space="preserve"> Příjemce</w:t>
      </w:r>
      <w:r w:rsidR="00363AF2" w:rsidRPr="00363AF2">
        <w:rPr>
          <w:rFonts w:ascii="Arial" w:hAnsi="Arial" w:cs="Arial"/>
        </w:rPr>
        <w:t>. Příjemce dotace je</w:t>
      </w:r>
      <w:r w:rsidR="00FB38AC">
        <w:rPr>
          <w:rFonts w:ascii="Arial" w:hAnsi="Arial" w:cs="Arial"/>
        </w:rPr>
        <w:t> </w:t>
      </w:r>
      <w:r w:rsidR="00363AF2" w:rsidRPr="00363AF2">
        <w:rPr>
          <w:rFonts w:ascii="Arial" w:hAnsi="Arial" w:cs="Arial"/>
        </w:rPr>
        <w:t>povinen současně s realizovanou platbou zaslat písemné avízo na</w:t>
      </w:r>
      <w:r w:rsidR="00DC1CFB">
        <w:rPr>
          <w:rFonts w:ascii="Arial" w:hAnsi="Arial" w:cs="Arial"/>
        </w:rPr>
        <w:t> </w:t>
      </w:r>
      <w:r w:rsidR="00363AF2" w:rsidRPr="00363AF2">
        <w:rPr>
          <w:rFonts w:ascii="Arial" w:hAnsi="Arial" w:cs="Arial"/>
        </w:rPr>
        <w:t>Odbor ekonomický  KÚPK</w:t>
      </w:r>
      <w:r w:rsidR="00993977">
        <w:rPr>
          <w:rFonts w:ascii="Arial" w:hAnsi="Arial" w:cs="Arial"/>
        </w:rPr>
        <w:t xml:space="preserve"> a o tomto informovat administrátory dotace</w:t>
      </w:r>
      <w:r w:rsidR="00363AF2" w:rsidRPr="00363AF2">
        <w:rPr>
          <w:rFonts w:ascii="Arial" w:hAnsi="Arial" w:cs="Arial"/>
        </w:rPr>
        <w:t xml:space="preserve">. </w:t>
      </w:r>
    </w:p>
    <w:p w:rsidR="0026181A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D00DCC">
        <w:rPr>
          <w:rFonts w:ascii="Arial" w:hAnsi="Arial" w:cs="Arial"/>
        </w:rPr>
        <w:t>Příjemce dotace je povinen současně s realizovanou platbou zaslat písemné avízo na Odbor ekonomický  KÚPK.</w:t>
      </w:r>
    </w:p>
    <w:p w:rsidR="003721D1" w:rsidRPr="00353A6A" w:rsidRDefault="003721D1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353A6A">
        <w:rPr>
          <w:rFonts w:ascii="Arial" w:hAnsi="Arial" w:cs="Arial"/>
        </w:rPr>
        <w:t>Příjemce je povinen bez zbytečného odkladu, nejpozději do 10 dnů ode dne, kdy</w:t>
      </w:r>
      <w:r w:rsidR="00FB38AC">
        <w:rPr>
          <w:rFonts w:ascii="Arial" w:hAnsi="Arial" w:cs="Arial"/>
        </w:rPr>
        <w:t> </w:t>
      </w:r>
      <w:r w:rsidRPr="00353A6A">
        <w:rPr>
          <w:rFonts w:ascii="Arial" w:hAnsi="Arial" w:cs="Arial"/>
        </w:rPr>
        <w:t>se dozví o změnách, písemně oznámit KÚPK veškeré změny nebo skutečnosti, které by měly vliv na realizaci účelu dotace, včetně změn údajů o</w:t>
      </w:r>
      <w:r w:rsidR="00DC1CFB">
        <w:rPr>
          <w:rFonts w:ascii="Arial" w:hAnsi="Arial" w:cs="Arial"/>
        </w:rPr>
        <w:t> </w:t>
      </w:r>
      <w:r w:rsidRPr="00353A6A">
        <w:rPr>
          <w:rFonts w:ascii="Arial" w:hAnsi="Arial" w:cs="Arial"/>
        </w:rPr>
        <w:t>Příjemci (změna IČ</w:t>
      </w:r>
      <w:r w:rsidRPr="00553248">
        <w:rPr>
          <w:rFonts w:ascii="Arial" w:hAnsi="Arial" w:cs="Arial"/>
        </w:rPr>
        <w:t xml:space="preserve">O, bankovního čísla účtu, změna osoby oprávněné jednat jménem Příjemce atd.). </w:t>
      </w:r>
      <w:r w:rsidR="00D615AA">
        <w:rPr>
          <w:rFonts w:ascii="Arial" w:hAnsi="Arial" w:cs="Arial"/>
        </w:rPr>
        <w:t xml:space="preserve">Je-li </w:t>
      </w:r>
      <w:r w:rsidR="00024A82">
        <w:rPr>
          <w:rFonts w:ascii="Arial" w:hAnsi="Arial" w:cs="Arial"/>
        </w:rPr>
        <w:t>P</w:t>
      </w:r>
      <w:r w:rsidR="00D615AA">
        <w:rPr>
          <w:rFonts w:ascii="Arial" w:hAnsi="Arial" w:cs="Arial"/>
        </w:rPr>
        <w:t xml:space="preserve">říjemcem dotace právnická osoba, je </w:t>
      </w:r>
      <w:r w:rsidR="00024A82">
        <w:rPr>
          <w:rFonts w:ascii="Arial" w:hAnsi="Arial" w:cs="Arial"/>
        </w:rPr>
        <w:t>P</w:t>
      </w:r>
      <w:r w:rsidR="00D615AA">
        <w:rPr>
          <w:rFonts w:ascii="Arial" w:hAnsi="Arial" w:cs="Arial"/>
        </w:rPr>
        <w:t xml:space="preserve">říjemce povinen v případě přeměny nebo zrušení právnické osoby s likvidací oznámit tyto skutečnosti poskytovateli, </w:t>
      </w:r>
      <w:r w:rsidR="00024A82">
        <w:rPr>
          <w:rFonts w:ascii="Arial" w:hAnsi="Arial" w:cs="Arial"/>
        </w:rPr>
        <w:t>podat finanční vypořádání dotace k rozhodnému dni nebo dni vstupu do likvidace. Poskytovatel je oprávněn pro tento případ požadovat vrácení části dotace, která nebyla vyčerpána před rozhodným dnem nebo dnem vstupu do likvidace / celé dotace, nebo dotaci neposkytnout.</w:t>
      </w:r>
      <w:r w:rsidRPr="006514FB">
        <w:rPr>
          <w:rFonts w:ascii="Arial" w:hAnsi="Arial" w:cs="Arial"/>
        </w:rPr>
        <w:t xml:space="preserve"> </w:t>
      </w:r>
      <w:r w:rsidRPr="00353A6A">
        <w:rPr>
          <w:rFonts w:ascii="Arial" w:hAnsi="Arial" w:cs="Arial"/>
        </w:rPr>
        <w:t xml:space="preserve">V případě pozdního oznámení změn nebo jejich neoznámení uloží KÚPK Příjemci odvod ve výši 5-10 % dotace. </w:t>
      </w:r>
    </w:p>
    <w:p w:rsidR="003721D1" w:rsidRPr="00242B34" w:rsidRDefault="003721D1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důvodů pro výzvu k provedení opatření k nápravě nebo výzvy k vrácení dotace nebo její části podle § 22 odst. 6 zák. č. 250/2000 Sb., o rozpočtových pravidlech územních rozpočtů, ve znění pozdějších předpisů, učiní tuto výzvu jménem Poskytovatele KÚPK. V případě porušení rozpočtové kázně a zároveň nevrácení poskytnuté dotace Příjemcem Poskytovateli, popř.</w:t>
      </w:r>
      <w:r w:rsidR="00DC1CFB">
        <w:rPr>
          <w:rFonts w:ascii="Arial" w:hAnsi="Arial" w:cs="Arial"/>
        </w:rPr>
        <w:t> </w:t>
      </w:r>
      <w:r>
        <w:rPr>
          <w:rFonts w:ascii="Arial" w:hAnsi="Arial" w:cs="Arial"/>
        </w:rPr>
        <w:t>nevyhovění výzvě k provedení opatření k nápravě, postupuje KÚPK způsobem uvedeným v § 22 zák. č. 250/2000 Sb., o rozpočtových pravidlech územních rozpočtů, ve znění pozdějších předpisů, ve spojení se</w:t>
      </w:r>
      <w:r w:rsidR="00DC1CFB">
        <w:rPr>
          <w:rFonts w:ascii="Arial" w:hAnsi="Arial" w:cs="Arial"/>
        </w:rPr>
        <w:t> </w:t>
      </w:r>
      <w:r>
        <w:rPr>
          <w:rFonts w:ascii="Arial" w:hAnsi="Arial" w:cs="Arial"/>
        </w:rPr>
        <w:t>zák.</w:t>
      </w:r>
      <w:r w:rsidR="00DC1CFB">
        <w:rPr>
          <w:rFonts w:ascii="Arial" w:hAnsi="Arial" w:cs="Arial"/>
        </w:rPr>
        <w:t> </w:t>
      </w:r>
      <w:r>
        <w:rPr>
          <w:rFonts w:ascii="Arial" w:hAnsi="Arial" w:cs="Arial"/>
        </w:rPr>
        <w:t>č.</w:t>
      </w:r>
      <w:r w:rsidR="00DC1CFB">
        <w:rPr>
          <w:rFonts w:ascii="Arial" w:hAnsi="Arial" w:cs="Arial"/>
        </w:rPr>
        <w:t> </w:t>
      </w:r>
      <w:r>
        <w:rPr>
          <w:rFonts w:ascii="Arial" w:hAnsi="Arial" w:cs="Arial"/>
        </w:rPr>
        <w:t>280/2009 Sb., daňový řád, ve znění pozdějších předpisů, tedy vydáním platebního výměru za</w:t>
      </w:r>
      <w:r w:rsidR="00DC1CFB">
        <w:rPr>
          <w:rFonts w:ascii="Arial" w:hAnsi="Arial" w:cs="Arial"/>
        </w:rPr>
        <w:t> </w:t>
      </w:r>
      <w:r>
        <w:rPr>
          <w:rFonts w:ascii="Arial" w:hAnsi="Arial" w:cs="Arial"/>
        </w:rPr>
        <w:t>účelem uložení odvodu a penále do rozpočtu Poskytovatele.</w:t>
      </w:r>
    </w:p>
    <w:p w:rsidR="009E2644" w:rsidRDefault="00104251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840C73">
        <w:rPr>
          <w:rFonts w:ascii="Arial" w:hAnsi="Arial" w:cs="Arial"/>
        </w:rPr>
        <w:t>Poskytovatel je oprávněn materiály získané v souvislosti s projektem (např.</w:t>
      </w:r>
      <w:r w:rsidR="00FB38AC">
        <w:rPr>
          <w:rFonts w:ascii="Arial" w:hAnsi="Arial" w:cs="Arial"/>
        </w:rPr>
        <w:t> </w:t>
      </w:r>
      <w:r w:rsidRPr="00840C73">
        <w:rPr>
          <w:rFonts w:ascii="Arial" w:hAnsi="Arial" w:cs="Arial"/>
        </w:rPr>
        <w:t>fotodokumentaci akce) včetně materiálů poskytnutých Příjemcem použít pro své potřeby (zejména k propagaci).</w:t>
      </w:r>
    </w:p>
    <w:p w:rsidR="00104251" w:rsidRPr="006A5F87" w:rsidRDefault="00104251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  <w:color w:val="FF0000"/>
        </w:rPr>
      </w:pPr>
      <w:r w:rsidRPr="009E2644">
        <w:rPr>
          <w:rFonts w:ascii="Arial" w:hAnsi="Arial" w:cs="Arial"/>
        </w:rPr>
        <w:t>Poskytovatel se zavazuje zveřejnit tuto smlouvu v registru smluv ve smyslu zákona č. 340/2015 Sb., o zvláštních podmínkách účinnosti některých smluv, uveřejňování těchto smluv a o registru smluv (zákon o registru smluv), nejpozději do 30 dnů od jejího uzavření</w:t>
      </w:r>
      <w:r w:rsidR="00454AD6">
        <w:rPr>
          <w:rFonts w:ascii="Arial" w:hAnsi="Arial" w:cs="Arial"/>
        </w:rPr>
        <w:t>.</w:t>
      </w:r>
    </w:p>
    <w:p w:rsidR="00C36D96" w:rsidRPr="00F465CF" w:rsidRDefault="00C36D96" w:rsidP="00C46EC8">
      <w:pPr>
        <w:numPr>
          <w:ilvl w:val="0"/>
          <w:numId w:val="2"/>
        </w:numPr>
        <w:tabs>
          <w:tab w:val="clear" w:pos="360"/>
        </w:tabs>
        <w:spacing w:after="120" w:line="306" w:lineRule="exact"/>
        <w:ind w:left="567" w:hanging="567"/>
        <w:jc w:val="both"/>
        <w:rPr>
          <w:rFonts w:ascii="Arial" w:hAnsi="Arial" w:cs="Arial"/>
        </w:rPr>
      </w:pPr>
      <w:r w:rsidRPr="00AF596C">
        <w:rPr>
          <w:rFonts w:ascii="Arial" w:hAnsi="Arial" w:cs="Arial"/>
        </w:rPr>
        <w:t>Příjemce se zavazuje zajistit, že při přípravě, realizaci a propagaci projektu specifikovaného v čl. I. té</w:t>
      </w:r>
      <w:r>
        <w:rPr>
          <w:rFonts w:ascii="Arial" w:hAnsi="Arial" w:cs="Arial"/>
        </w:rPr>
        <w:t>to smlouvy nebudou užity protiprávní jednání spočívající v nerespektování autorských či jiných práv</w:t>
      </w:r>
      <w:r w:rsidRPr="00AF596C">
        <w:rPr>
          <w:rFonts w:ascii="Arial" w:hAnsi="Arial" w:cs="Arial"/>
        </w:rPr>
        <w:t xml:space="preserve"> třetích osob</w:t>
      </w:r>
      <w:r>
        <w:rPr>
          <w:rFonts w:ascii="Arial" w:hAnsi="Arial" w:cs="Arial"/>
        </w:rPr>
        <w:t xml:space="preserve"> </w:t>
      </w:r>
      <w:r w:rsidRPr="00F465CF">
        <w:rPr>
          <w:rFonts w:ascii="Arial" w:hAnsi="Arial" w:cs="Arial"/>
        </w:rPr>
        <w:t>či jiné</w:t>
      </w:r>
      <w:r>
        <w:rPr>
          <w:rFonts w:ascii="Arial" w:hAnsi="Arial" w:cs="Arial"/>
        </w:rPr>
        <w:t xml:space="preserve"> nevhodné</w:t>
      </w:r>
      <w:r w:rsidRPr="00F465CF">
        <w:rPr>
          <w:rFonts w:ascii="Arial" w:hAnsi="Arial" w:cs="Arial"/>
        </w:rPr>
        <w:t> způsoby obtěžující fyzické a právnické osoby.</w:t>
      </w:r>
    </w:p>
    <w:p w:rsidR="00C36D96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Poskytnutím dotace se nezakládá nárok na poskytnutí další dotace v případě, že</w:t>
      </w:r>
      <w:r w:rsidR="00FB38A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dotovaná akce bude pokračovat v dalších letech. </w:t>
      </w:r>
    </w:p>
    <w:p w:rsidR="0033007F" w:rsidRDefault="00C36D96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906B27">
        <w:rPr>
          <w:rFonts w:ascii="Arial" w:hAnsi="Arial" w:cs="Arial"/>
        </w:rPr>
        <w:t xml:space="preserve"> je oprávněn provádět </w:t>
      </w:r>
      <w:r>
        <w:rPr>
          <w:rFonts w:ascii="Arial" w:hAnsi="Arial" w:cs="Arial"/>
        </w:rPr>
        <w:t xml:space="preserve">prostřednictvím KÚPK </w:t>
      </w:r>
      <w:r w:rsidRPr="00906B27">
        <w:rPr>
          <w:rFonts w:ascii="Arial" w:hAnsi="Arial" w:cs="Arial"/>
        </w:rPr>
        <w:t>kontrolu užití účelové dotace dle příslušných ustanovení zák. č. 320/2001 Sb., o finanční kontrole</w:t>
      </w:r>
      <w:r>
        <w:rPr>
          <w:rFonts w:ascii="Arial" w:hAnsi="Arial" w:cs="Arial"/>
        </w:rPr>
        <w:t>, ve</w:t>
      </w:r>
      <w:r w:rsidR="00254D08">
        <w:rPr>
          <w:rFonts w:ascii="Arial" w:hAnsi="Arial" w:cs="Arial"/>
        </w:rPr>
        <w:t> </w:t>
      </w:r>
      <w:r>
        <w:rPr>
          <w:rFonts w:ascii="Arial" w:hAnsi="Arial" w:cs="Arial"/>
        </w:rPr>
        <w:t>znění pozdějších předpisů</w:t>
      </w:r>
      <w:r w:rsidRPr="00906B27">
        <w:rPr>
          <w:rFonts w:ascii="Arial" w:hAnsi="Arial" w:cs="Arial"/>
        </w:rPr>
        <w:t>.</w:t>
      </w:r>
      <w:r w:rsidRPr="00906B27">
        <w:rPr>
          <w:rFonts w:ascii="Arial" w:hAnsi="Arial" w:cs="Arial"/>
          <w:b/>
        </w:rPr>
        <w:t xml:space="preserve"> </w:t>
      </w:r>
    </w:p>
    <w:p w:rsidR="0033007F" w:rsidRPr="00363AF2" w:rsidRDefault="0000297F" w:rsidP="00C46EC8">
      <w:pPr>
        <w:numPr>
          <w:ilvl w:val="0"/>
          <w:numId w:val="2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  <w:i/>
        </w:rPr>
      </w:pPr>
      <w:r w:rsidRPr="00363AF2">
        <w:rPr>
          <w:rFonts w:ascii="Arial" w:hAnsi="Arial" w:cs="Arial"/>
        </w:rPr>
        <w:t>Dotace je poskytována jako veřejná podpora slučitelná s vnitřním trhem dle</w:t>
      </w:r>
      <w:r w:rsidR="00DC1CFB">
        <w:rPr>
          <w:rFonts w:ascii="Arial" w:hAnsi="Arial" w:cs="Arial"/>
        </w:rPr>
        <w:t> </w:t>
      </w:r>
      <w:r w:rsidRPr="00363AF2">
        <w:rPr>
          <w:rFonts w:ascii="Arial" w:hAnsi="Arial" w:cs="Arial"/>
        </w:rPr>
        <w:t>Nařízení Kom</w:t>
      </w:r>
      <w:r w:rsidR="00676EAF">
        <w:rPr>
          <w:rFonts w:ascii="Arial" w:hAnsi="Arial" w:cs="Arial"/>
        </w:rPr>
        <w:t xml:space="preserve">ise (EU) č. 651/2014 ze dne </w:t>
      </w:r>
      <w:proofErr w:type="gramStart"/>
      <w:r w:rsidR="00676EAF">
        <w:rPr>
          <w:rFonts w:ascii="Arial" w:hAnsi="Arial" w:cs="Arial"/>
        </w:rPr>
        <w:t>17.06.</w:t>
      </w:r>
      <w:r w:rsidRPr="00363AF2">
        <w:rPr>
          <w:rFonts w:ascii="Arial" w:hAnsi="Arial" w:cs="Arial"/>
        </w:rPr>
        <w:t>2014</w:t>
      </w:r>
      <w:proofErr w:type="gramEnd"/>
      <w:r w:rsidRPr="00363AF2">
        <w:rPr>
          <w:rFonts w:ascii="Arial" w:hAnsi="Arial" w:cs="Arial"/>
        </w:rPr>
        <w:t>, kterým se v souladu s články 107 a108 Smlouvy prohlašují určité kategorie podpory za slučitelné s vnitřním trhem, které bylo zveřejněno v Úředním věstn</w:t>
      </w:r>
      <w:r w:rsidR="00676EAF">
        <w:rPr>
          <w:rFonts w:ascii="Arial" w:hAnsi="Arial" w:cs="Arial"/>
        </w:rPr>
        <w:t>íku Evropské unie L 187 dne 26.06.</w:t>
      </w:r>
      <w:r w:rsidRPr="00363AF2">
        <w:rPr>
          <w:rFonts w:ascii="Arial" w:hAnsi="Arial" w:cs="Arial"/>
        </w:rPr>
        <w:t>2014</w:t>
      </w:r>
      <w:r w:rsidR="00EF7B26">
        <w:rPr>
          <w:rFonts w:ascii="Arial" w:hAnsi="Arial" w:cs="Arial"/>
        </w:rPr>
        <w:t>, ve znění nařízení</w:t>
      </w:r>
      <w:r w:rsidR="00532CB1">
        <w:rPr>
          <w:rFonts w:ascii="Arial" w:hAnsi="Arial" w:cs="Arial"/>
        </w:rPr>
        <w:t xml:space="preserve"> Komise (EU) č. 2017/1084 ze dne 14. </w:t>
      </w:r>
      <w:r w:rsidR="00EF7B26">
        <w:rPr>
          <w:rFonts w:ascii="Arial" w:hAnsi="Arial" w:cs="Arial"/>
        </w:rPr>
        <w:t>6. 2017</w:t>
      </w:r>
    </w:p>
    <w:p w:rsidR="00BB7004" w:rsidRDefault="00BB7004" w:rsidP="00C46EC8">
      <w:pPr>
        <w:spacing w:line="306" w:lineRule="exact"/>
      </w:pPr>
    </w:p>
    <w:p w:rsidR="00C46EC8" w:rsidRDefault="00C46EC8" w:rsidP="00C46EC8">
      <w:pPr>
        <w:spacing w:line="306" w:lineRule="exact"/>
      </w:pPr>
    </w:p>
    <w:p w:rsidR="00C36D96" w:rsidRPr="00840C73" w:rsidRDefault="00C36D96" w:rsidP="00C46EC8">
      <w:pPr>
        <w:pStyle w:val="Nadpis2"/>
        <w:spacing w:after="120" w:line="306" w:lineRule="exact"/>
        <w:rPr>
          <w:rFonts w:ascii="Arial" w:hAnsi="Arial" w:cs="Arial"/>
          <w:bCs w:val="0"/>
          <w:lang w:val="cs-CZ"/>
        </w:rPr>
      </w:pPr>
      <w:r w:rsidRPr="00840C73">
        <w:rPr>
          <w:rFonts w:ascii="Arial" w:hAnsi="Arial" w:cs="Arial"/>
          <w:bCs w:val="0"/>
        </w:rPr>
        <w:t>VI.</w:t>
      </w:r>
    </w:p>
    <w:p w:rsidR="00104251" w:rsidRPr="00840C73" w:rsidRDefault="00104251" w:rsidP="00C46EC8">
      <w:pPr>
        <w:numPr>
          <w:ilvl w:val="0"/>
          <w:numId w:val="4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840C73">
        <w:rPr>
          <w:rFonts w:ascii="Arial" w:hAnsi="Arial" w:cs="Arial"/>
        </w:rPr>
        <w:t>Smlouva nabývá platnosti a účinnosti dnem podpisu poslední ze smluvních stran s výjimkou případu, kdy se povinně zveřejňuje v registru smluv. V takovém případě Smlouva nabývá účinnosti dnem uveřejnění v registru smluv.</w:t>
      </w:r>
    </w:p>
    <w:p w:rsidR="00104251" w:rsidRPr="00840C73" w:rsidRDefault="00104251" w:rsidP="00C46EC8">
      <w:pPr>
        <w:numPr>
          <w:ilvl w:val="0"/>
          <w:numId w:val="4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840C73">
        <w:rPr>
          <w:rFonts w:ascii="Arial" w:hAnsi="Arial" w:cs="Arial"/>
        </w:rPr>
        <w:t>Smlouva se vyhotovuje ve dvou stejnopisech, z nichž Příjemce i Poskytovatel dotace obdrží po jednom vyhotovení.</w:t>
      </w:r>
    </w:p>
    <w:p w:rsidR="00D7693F" w:rsidRPr="00D7693F" w:rsidRDefault="00F84A0F" w:rsidP="00C46EC8">
      <w:pPr>
        <w:numPr>
          <w:ilvl w:val="0"/>
          <w:numId w:val="4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840C73">
        <w:rPr>
          <w:rFonts w:ascii="Arial" w:hAnsi="Arial" w:cs="Arial"/>
        </w:rPr>
        <w:t>Z</w:t>
      </w:r>
      <w:r w:rsidR="0033007F" w:rsidRPr="00840C73">
        <w:rPr>
          <w:rFonts w:ascii="Arial" w:hAnsi="Arial" w:cs="Arial"/>
        </w:rPr>
        <w:t>měny a doplňky k této smlouvě</w:t>
      </w:r>
      <w:r w:rsidR="0033007F" w:rsidRPr="00D7693F">
        <w:rPr>
          <w:rFonts w:ascii="Arial" w:hAnsi="Arial" w:cs="Arial"/>
        </w:rPr>
        <w:t xml:space="preserve"> lze provést pouze po vzájemném odsouhlasení smluvních stran, a to písemně, s číselně označenými dodatky, podepsanými oběma smluvními stranami.</w:t>
      </w:r>
      <w:r w:rsidR="00D7693F" w:rsidRPr="00D7693F">
        <w:rPr>
          <w:rFonts w:ascii="Arial" w:hAnsi="Arial" w:cs="Arial"/>
        </w:rPr>
        <w:t xml:space="preserve"> </w:t>
      </w:r>
    </w:p>
    <w:p w:rsidR="00C36D96" w:rsidRDefault="00C36D96" w:rsidP="00C46EC8">
      <w:pPr>
        <w:numPr>
          <w:ilvl w:val="0"/>
          <w:numId w:val="4"/>
        </w:numPr>
        <w:tabs>
          <w:tab w:val="clear" w:pos="360"/>
          <w:tab w:val="num" w:pos="600"/>
        </w:tabs>
        <w:spacing w:after="120" w:line="306" w:lineRule="exact"/>
        <w:ind w:left="600" w:hanging="600"/>
        <w:jc w:val="both"/>
        <w:rPr>
          <w:rFonts w:ascii="Arial" w:hAnsi="Arial" w:cs="Arial"/>
        </w:rPr>
      </w:pPr>
      <w:r w:rsidRPr="00D7693F">
        <w:rPr>
          <w:rFonts w:ascii="Arial" w:hAnsi="Arial" w:cs="Arial"/>
        </w:rPr>
        <w:t>Smluvní strany prohlašují, že tato smlouva byla sepsána podle jejich pravé a svobodné vůle prosté omylu a donucení, nikoli v tísni, že smlouva není zdánlivým právním jednáním, že obě smluvní strany souhlasí s celým jejím obsahem.</w:t>
      </w:r>
    </w:p>
    <w:p w:rsidR="00C36D96" w:rsidRPr="000542E9" w:rsidRDefault="00C36D96" w:rsidP="00C46EC8">
      <w:pPr>
        <w:pStyle w:val="Odstavecseseznamem"/>
        <w:numPr>
          <w:ilvl w:val="0"/>
          <w:numId w:val="4"/>
        </w:numPr>
        <w:tabs>
          <w:tab w:val="clear" w:pos="360"/>
          <w:tab w:val="num" w:pos="567"/>
          <w:tab w:val="left" w:pos="3287"/>
        </w:tabs>
        <w:spacing w:before="120" w:after="240" w:line="306" w:lineRule="exact"/>
        <w:ind w:left="567" w:hanging="567"/>
        <w:jc w:val="both"/>
        <w:rPr>
          <w:rFonts w:ascii="Arial" w:hAnsi="Arial" w:cs="Arial"/>
        </w:rPr>
      </w:pPr>
      <w:r w:rsidRPr="000542E9">
        <w:rPr>
          <w:rFonts w:ascii="Arial" w:hAnsi="Arial" w:cs="Arial"/>
        </w:rPr>
        <w:t>Pokud někter</w:t>
      </w:r>
      <w:r>
        <w:rPr>
          <w:rFonts w:ascii="Arial" w:hAnsi="Arial" w:cs="Arial"/>
        </w:rPr>
        <w:t>é</w:t>
      </w:r>
      <w:r w:rsidRPr="000542E9">
        <w:rPr>
          <w:rFonts w:ascii="Arial" w:hAnsi="Arial" w:cs="Arial"/>
        </w:rPr>
        <w:t xml:space="preserve">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</w:t>
      </w:r>
      <w:r w:rsidR="00254D08">
        <w:rPr>
          <w:rFonts w:ascii="Arial" w:hAnsi="Arial" w:cs="Arial"/>
        </w:rPr>
        <w:t> s</w:t>
      </w:r>
      <w:r w:rsidRPr="000542E9">
        <w:rPr>
          <w:rFonts w:ascii="Arial" w:hAnsi="Arial" w:cs="Arial"/>
        </w:rPr>
        <w:t xml:space="preserve">myslem nejlépe odpovídá obsahu a smyslu původního ustanovení.        </w:t>
      </w:r>
    </w:p>
    <w:p w:rsidR="00C36D96" w:rsidRPr="00C73E05" w:rsidRDefault="00C36D96" w:rsidP="00C36D96">
      <w:pPr>
        <w:spacing w:after="120"/>
        <w:ind w:left="600"/>
        <w:jc w:val="both"/>
        <w:rPr>
          <w:rFonts w:ascii="Arial" w:hAnsi="Arial" w:cs="Arial"/>
          <w:b/>
          <w:color w:val="FF0000"/>
        </w:rPr>
      </w:pPr>
    </w:p>
    <w:p w:rsidR="00C36D96" w:rsidRPr="00242B34" w:rsidRDefault="00C36D96" w:rsidP="00C36D96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 ......</w:t>
      </w:r>
      <w:r w:rsidR="00AB6B58">
        <w:rPr>
          <w:rFonts w:ascii="Arial" w:hAnsi="Arial" w:cs="Arial"/>
          <w:lang w:val="cs-CZ"/>
        </w:rPr>
        <w:t>......</w:t>
      </w:r>
      <w:r>
        <w:rPr>
          <w:rFonts w:ascii="Arial" w:hAnsi="Arial" w:cs="Arial"/>
        </w:rPr>
        <w:t>.......... dne ...</w:t>
      </w:r>
      <w:r w:rsidR="0033007F">
        <w:rPr>
          <w:rFonts w:ascii="Arial" w:hAnsi="Arial" w:cs="Arial"/>
        </w:rPr>
        <w:t>.............</w:t>
      </w:r>
      <w:r w:rsidR="0033007F">
        <w:rPr>
          <w:rFonts w:ascii="Arial" w:hAnsi="Arial" w:cs="Arial"/>
        </w:rPr>
        <w:tab/>
        <w:t xml:space="preserve">V Plzni </w:t>
      </w:r>
      <w:r>
        <w:rPr>
          <w:rFonts w:ascii="Arial" w:hAnsi="Arial" w:cs="Arial"/>
        </w:rPr>
        <w:t>dne .................</w:t>
      </w:r>
    </w:p>
    <w:p w:rsidR="00C36D96" w:rsidRDefault="00C36D96" w:rsidP="00C36D96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C36D96" w:rsidRPr="00242B34" w:rsidRDefault="00C36D96" w:rsidP="00C36D96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Příjemce: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B34">
        <w:rPr>
          <w:rFonts w:ascii="Arial" w:hAnsi="Arial" w:cs="Arial"/>
        </w:rPr>
        <w:t>Poskytovatel:</w:t>
      </w:r>
    </w:p>
    <w:p w:rsidR="00CD17BB" w:rsidRDefault="00CD17BB" w:rsidP="00C36D96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5E6300" w:rsidRDefault="005E6300" w:rsidP="00C36D96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5E6300" w:rsidRDefault="005E6300" w:rsidP="00C36D96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5E6300" w:rsidRDefault="00601B68" w:rsidP="005E6300">
      <w:pPr>
        <w:pStyle w:val="Nadpis2"/>
        <w:spacing w:after="120"/>
        <w:jc w:val="lef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216535</wp:posOffset>
                </wp:positionV>
                <wp:extent cx="2038350" cy="1019175"/>
                <wp:effectExtent l="0" t="0" r="0" b="0"/>
                <wp:wrapNone/>
                <wp:docPr id="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00" w:rsidRDefault="005E6300" w:rsidP="005E63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Ing. Vladislav Vilímec</w:t>
                            </w:r>
                          </w:p>
                          <w:p w:rsidR="005E6300" w:rsidRDefault="005E6300" w:rsidP="005E63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náměstek hejtmana Plzeňského kraje </w:t>
                            </w:r>
                          </w:p>
                          <w:p w:rsidR="005E6300" w:rsidRPr="00967DC8" w:rsidRDefault="005E6300" w:rsidP="005E63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 oblast kultury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a památkové péče</w:t>
                            </w:r>
                          </w:p>
                          <w:p w:rsidR="005E6300" w:rsidRPr="00504307" w:rsidRDefault="005E6300" w:rsidP="005E6300">
                            <w:pPr>
                              <w:ind w:left="5103" w:hanging="510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náměstek hejtmana Plzeňského                    kraje pro oblast kultury a památkové péče</w:t>
                            </w:r>
                          </w:p>
                          <w:p w:rsidR="005E6300" w:rsidRDefault="005E6300" w:rsidP="005E6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277.15pt;margin-top:17.05pt;width:160.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1FwQIAAMYFAAAOAAAAZHJzL2Uyb0RvYy54bWysVFtu2zAQ/C/QOxD8V/SwbEtC5CCxrKJA&#10;+gCSHoCWKIsoRaokbTkteqCeoxfrkrIdJ0GBoq0+BJK7nN3ZHe7l1b7jaEeVZlLkOLwIMKKikjUT&#10;mxx/ui+9BCNtiKgJl4Lm+IFqfLV4/epy6DMayVbymioEIEJnQ5/j1pg+831dtbQj+kL2VICxkaoj&#10;BrZq49eKDIDecT8Kgpk/SFX3SlZUazgtRiNeOPymoZX50DSaGsRzDLkZ91fuv7Z/f3FJso0ifcuq&#10;QxrkL7LoCBMQ9ARVEEPQVrEXUB2rlNSyMReV7HzZNKyijgOwCYNnbO5a0lPHBYqj+1OZ9P+Drd7v&#10;PirEaugdRoJ00KJ7ujdy9/MH6iWnaGJLNPQ6A8+7HnzN/kburbulq/tbWX3WSMhlS8SGXislh5aS&#10;GlIM7U3/7OqIoy3Iengna4hFtkY6oH2jOgsIFUGADq16OLUH8kEVHEbBJJlMwVSBLQzCNJxPXQyS&#10;Ha/3Sps3VHbILnKsoP8OnuxutbHpkOzoYqMJWTLOnQa4eHIAjuMJBIer1mbTcC39lgbpKlklsRdH&#10;s5UXB0XhXZfL2JuVkFExKZbLIvxu44Zx1rK6psKGOcorjP+sfQehj8I4CUxLzmoLZ1PSarNecoV2&#10;BORduu9QkDM3/2kargjA5RmlMIqDmyj1ylky9+IynnrpPEg8qPJNOgviNC7Kp5RumaD/TgkNOU6n&#10;0XRU02+5Be57yY1kHTMwQDjrcpycnEhmNbgStWutIYyP67NS2PQfSwHtPjbaKdaKdJSr2a/37n1E&#10;NrpV81rWDyBhJUFgIEYYfrBopfqK0QCDJMf6y5YoihF/K+AZpGEc28njNvF0HsFGnVvW5xYiKoDK&#10;scFoXC7NOK22vWKbFiKND0/Ia3g6DXOifszq8OBgWDhuh8Fmp9H53nk9jt/FLwAAAP//AwBQSwME&#10;FAAGAAgAAAAhAMtoZk/eAAAACgEAAA8AAABkcnMvZG93bnJldi54bWxMj01PwzAMhu+T9h8iI3Hb&#10;krF2H6XphEBcQQyGxC1rvLZa41RNtpZ/jznB0faj18+b70bXiiv2ofGkYTFXIJBKbxuqNHy8P882&#10;IEI0ZE3rCTV8Y4BdMZ3kJrN+oDe87mMlOIRCZjTUMXaZlKGs0Zkw9x0S306+dyby2FfS9mbgcNfK&#10;O6VW0pmG+ENtOnyssTzvL07D4eX09Zmo1+rJpd3gRyXJbaXWtzfjwz2IiGP8g+FXn9WhYKejv5AN&#10;otWQpsmSUQ3LZAGCgc065cWRyW2yAlnk8n+F4gcAAP//AwBQSwECLQAUAAYACAAAACEAtoM4kv4A&#10;AADhAQAAEwAAAAAAAAAAAAAAAAAAAAAAW0NvbnRlbnRfVHlwZXNdLnhtbFBLAQItABQABgAIAAAA&#10;IQA4/SH/1gAAAJQBAAALAAAAAAAAAAAAAAAAAC8BAABfcmVscy8ucmVsc1BLAQItABQABgAIAAAA&#10;IQBE/Y1FwQIAAMYFAAAOAAAAAAAAAAAAAAAAAC4CAABkcnMvZTJvRG9jLnhtbFBLAQItABQABgAI&#10;AAAAIQDLaGZP3gAAAAoBAAAPAAAAAAAAAAAAAAAAABsFAABkcnMvZG93bnJldi54bWxQSwUGAAAA&#10;AAQABADzAAAAJgYAAAAA&#10;" filled="f" stroked="f">
                <v:textbox>
                  <w:txbxContent>
                    <w:p w:rsidR="005E6300" w:rsidRDefault="005E6300" w:rsidP="005E63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Ing. Vladislav Vilímec</w:t>
                      </w:r>
                    </w:p>
                    <w:p w:rsidR="005E6300" w:rsidRDefault="005E6300" w:rsidP="005E63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náměstek hejtmana Plzeňského kraje </w:t>
                      </w:r>
                    </w:p>
                    <w:p w:rsidR="005E6300" w:rsidRPr="00967DC8" w:rsidRDefault="005E6300" w:rsidP="005E63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 oblast kultury </w:t>
                      </w:r>
                      <w:r>
                        <w:rPr>
                          <w:rFonts w:ascii="Arial" w:hAnsi="Arial" w:cs="Arial"/>
                        </w:rPr>
                        <w:br/>
                        <w:t>a památkové péče</w:t>
                      </w:r>
                    </w:p>
                    <w:p w:rsidR="005E6300" w:rsidRPr="00504307" w:rsidRDefault="005E6300" w:rsidP="005E6300">
                      <w:pPr>
                        <w:ind w:left="5103" w:hanging="510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náměstek hejtmana Plzeňského                    kraje pro oblast kultury a památkové péče</w:t>
                      </w:r>
                    </w:p>
                    <w:p w:rsidR="005E6300" w:rsidRDefault="005E6300" w:rsidP="005E6300"/>
                  </w:txbxContent>
                </v:textbox>
              </v:shape>
            </w:pict>
          </mc:Fallback>
        </mc:AlternateContent>
      </w:r>
      <w:r w:rsidR="005E6300" w:rsidRPr="00E54D46">
        <w:rPr>
          <w:b w:val="0"/>
          <w:i w:val="0"/>
        </w:rPr>
        <w:t>………………………......</w:t>
      </w:r>
      <w:r w:rsidR="005E6300">
        <w:tab/>
      </w:r>
      <w:r w:rsidR="005E6300">
        <w:tab/>
      </w:r>
      <w:r w:rsidR="005E6300">
        <w:tab/>
      </w:r>
      <w:r w:rsidR="005E6300">
        <w:tab/>
      </w:r>
      <w:r w:rsidR="005E6300">
        <w:rPr>
          <w:lang w:val="cs-CZ"/>
        </w:rPr>
        <w:t xml:space="preserve">           </w:t>
      </w:r>
      <w:r w:rsidR="005E6300" w:rsidRPr="00E54D46">
        <w:rPr>
          <w:b w:val="0"/>
          <w:i w:val="0"/>
        </w:rPr>
        <w:t>……………………………</w:t>
      </w:r>
    </w:p>
    <w:p w:rsidR="00454AD6" w:rsidRPr="00454AD6" w:rsidRDefault="00454AD6" w:rsidP="005E6300">
      <w:pPr>
        <w:rPr>
          <w:rFonts w:ascii="Arial" w:hAnsi="Arial" w:cs="Arial"/>
          <w:b/>
        </w:rPr>
      </w:pPr>
      <w:r w:rsidRPr="00454AD6">
        <w:rPr>
          <w:rFonts w:ascii="Arial" w:hAnsi="Arial" w:cs="Arial"/>
          <w:b/>
        </w:rPr>
        <w:t>Jakub Vedral</w:t>
      </w:r>
    </w:p>
    <w:p w:rsidR="005E6300" w:rsidRPr="00D86B90" w:rsidRDefault="00454AD6" w:rsidP="005E6300">
      <w:r>
        <w:rPr>
          <w:rFonts w:ascii="Arial" w:hAnsi="Arial" w:cs="Arial"/>
        </w:rPr>
        <w:t>jednatel</w:t>
      </w:r>
    </w:p>
    <w:p w:rsidR="00341B8B" w:rsidRDefault="00341B8B" w:rsidP="00C36D96">
      <w:pPr>
        <w:pStyle w:val="Nadpis2"/>
        <w:spacing w:after="120"/>
        <w:jc w:val="left"/>
      </w:pPr>
    </w:p>
    <w:p w:rsidR="00CD17BB" w:rsidRDefault="00CD17BB" w:rsidP="00CD17BB"/>
    <w:p w:rsidR="005E6300" w:rsidRDefault="005E6300" w:rsidP="00CD17BB"/>
    <w:p w:rsidR="005E6300" w:rsidRDefault="005E6300" w:rsidP="00CD17BB"/>
    <w:p w:rsidR="005E6300" w:rsidRDefault="005E6300" w:rsidP="00CD17BB"/>
    <w:p w:rsidR="005E6300" w:rsidRDefault="005E6300" w:rsidP="00CD17BB"/>
    <w:p w:rsidR="005E6300" w:rsidRDefault="005E6300" w:rsidP="00CD17BB"/>
    <w:p w:rsidR="00CD17BB" w:rsidRDefault="00CD17BB" w:rsidP="00CD17BB"/>
    <w:p w:rsidR="005E6300" w:rsidRPr="00454AD6" w:rsidRDefault="005E6300" w:rsidP="00454AD6">
      <w:pPr>
        <w:spacing w:after="60" w:line="360" w:lineRule="auto"/>
        <w:rPr>
          <w:rFonts w:ascii="Arial" w:hAnsi="Arial" w:cs="Arial"/>
          <w:sz w:val="18"/>
          <w:szCs w:val="18"/>
        </w:rPr>
      </w:pPr>
      <w:proofErr w:type="gramStart"/>
      <w:r w:rsidRPr="00454AD6">
        <w:rPr>
          <w:rFonts w:ascii="Arial" w:hAnsi="Arial" w:cs="Arial"/>
          <w:sz w:val="18"/>
          <w:szCs w:val="18"/>
        </w:rPr>
        <w:t>Č.j.</w:t>
      </w:r>
      <w:proofErr w:type="gramEnd"/>
      <w:r w:rsidRPr="00454AD6">
        <w:rPr>
          <w:rFonts w:ascii="Arial" w:hAnsi="Arial" w:cs="Arial"/>
          <w:sz w:val="18"/>
          <w:szCs w:val="18"/>
        </w:rPr>
        <w:t xml:space="preserve">: PK-KPP/...............................  Počet listů: 5 </w:t>
      </w:r>
      <w:r w:rsidRPr="00454AD6">
        <w:rPr>
          <w:rFonts w:ascii="Arial" w:hAnsi="Arial" w:cs="Arial"/>
          <w:sz w:val="18"/>
          <w:szCs w:val="18"/>
        </w:rPr>
        <w:tab/>
        <w:t xml:space="preserve">    Počet výtisků: 2     Číslo výtisku: ............................ </w:t>
      </w:r>
    </w:p>
    <w:p w:rsidR="005E6300" w:rsidRPr="00454AD6" w:rsidRDefault="005E6300" w:rsidP="00454AD6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54AD6">
        <w:rPr>
          <w:rFonts w:ascii="Arial" w:hAnsi="Arial" w:cs="Arial"/>
          <w:sz w:val="18"/>
          <w:szCs w:val="18"/>
        </w:rPr>
        <w:t>Za správnost: Vedoucí odboru: .................................  Právník:...................</w:t>
      </w:r>
      <w:r w:rsidR="00454AD6">
        <w:rPr>
          <w:rFonts w:ascii="Arial" w:hAnsi="Arial" w:cs="Arial"/>
          <w:sz w:val="18"/>
          <w:szCs w:val="18"/>
        </w:rPr>
        <w:t>..........</w:t>
      </w:r>
      <w:r w:rsidRPr="00454AD6">
        <w:rPr>
          <w:rFonts w:ascii="Arial" w:hAnsi="Arial" w:cs="Arial"/>
          <w:sz w:val="18"/>
          <w:szCs w:val="18"/>
        </w:rPr>
        <w:t>...... Datum:….......................</w:t>
      </w:r>
    </w:p>
    <w:p w:rsidR="00CD17BB" w:rsidRPr="00454AD6" w:rsidRDefault="005E6300" w:rsidP="00454AD6">
      <w:pPr>
        <w:spacing w:after="60" w:line="360" w:lineRule="auto"/>
        <w:rPr>
          <w:sz w:val="18"/>
          <w:szCs w:val="18"/>
        </w:rPr>
      </w:pPr>
      <w:r w:rsidRPr="00454AD6">
        <w:rPr>
          <w:rFonts w:ascii="Arial" w:hAnsi="Arial" w:cs="Arial"/>
          <w:sz w:val="18"/>
          <w:szCs w:val="18"/>
        </w:rPr>
        <w:t>Kompetence na základě: Usnesení RPK č. 3212/19 z </w:t>
      </w:r>
      <w:proofErr w:type="gramStart"/>
      <w:r w:rsidRPr="00454AD6">
        <w:rPr>
          <w:rFonts w:ascii="Arial" w:hAnsi="Arial" w:cs="Arial"/>
          <w:sz w:val="18"/>
          <w:szCs w:val="18"/>
        </w:rPr>
        <w:t>18.03.2019</w:t>
      </w:r>
      <w:proofErr w:type="gramEnd"/>
      <w:r w:rsidRPr="00454A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4AD6">
        <w:rPr>
          <w:rFonts w:ascii="Arial" w:hAnsi="Arial" w:cs="Arial"/>
          <w:sz w:val="18"/>
          <w:szCs w:val="18"/>
        </w:rPr>
        <w:t>Agendio</w:t>
      </w:r>
      <w:proofErr w:type="spellEnd"/>
      <w:r w:rsidRPr="00454AD6">
        <w:rPr>
          <w:rFonts w:ascii="Arial" w:hAnsi="Arial" w:cs="Arial"/>
          <w:sz w:val="18"/>
          <w:szCs w:val="18"/>
        </w:rPr>
        <w:t>:</w:t>
      </w:r>
      <w:r w:rsidRPr="00454AD6">
        <w:rPr>
          <w:rFonts w:ascii="Arial" w:hAnsi="Arial" w:cs="Arial"/>
          <w:b/>
          <w:bCs/>
          <w:color w:val="000080"/>
          <w:sz w:val="18"/>
          <w:szCs w:val="18"/>
        </w:rPr>
        <w:t xml:space="preserve"> </w:t>
      </w:r>
      <w:r w:rsidRPr="00454AD6">
        <w:rPr>
          <w:rFonts w:ascii="Arial" w:hAnsi="Arial" w:cs="Arial"/>
          <w:bCs/>
          <w:sz w:val="18"/>
          <w:szCs w:val="18"/>
        </w:rPr>
        <w:t>11702019</w:t>
      </w:r>
      <w:r w:rsidRPr="00454AD6">
        <w:rPr>
          <w:rFonts w:ascii="Arial" w:hAnsi="Arial" w:cs="Arial"/>
          <w:b/>
          <w:bCs/>
          <w:color w:val="000080"/>
          <w:sz w:val="18"/>
          <w:szCs w:val="18"/>
        </w:rPr>
        <w:t xml:space="preserve"> </w:t>
      </w:r>
      <w:r w:rsidRPr="00454AD6">
        <w:rPr>
          <w:rFonts w:ascii="Arial" w:hAnsi="Arial" w:cs="Arial"/>
          <w:sz w:val="18"/>
          <w:szCs w:val="18"/>
        </w:rPr>
        <w:t>Archivace: V/10</w:t>
      </w:r>
    </w:p>
    <w:sectPr w:rsidR="00CD17BB" w:rsidRPr="00454AD6" w:rsidSect="00294BBB">
      <w:headerReference w:type="default" r:id="rId8"/>
      <w:footerReference w:type="even" r:id="rId9"/>
      <w:footerReference w:type="default" r:id="rId10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5" w:rsidRDefault="000F2625">
      <w:r>
        <w:separator/>
      </w:r>
    </w:p>
  </w:endnote>
  <w:endnote w:type="continuationSeparator" w:id="0">
    <w:p w:rsidR="000F2625" w:rsidRDefault="000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70" w:rsidRDefault="00A15670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5670" w:rsidRDefault="00A15670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09" w:rsidRDefault="00743909">
    <w:pPr>
      <w:pStyle w:val="Zpat"/>
      <w:jc w:val="center"/>
    </w:pPr>
    <w:r w:rsidRPr="00743909">
      <w:rPr>
        <w:rFonts w:ascii="Arial" w:hAnsi="Arial" w:cs="Arial"/>
      </w:rPr>
      <w:t>Str</w:t>
    </w:r>
    <w:r w:rsidRPr="00743909">
      <w:rPr>
        <w:rFonts w:ascii="Arial" w:hAnsi="Arial" w:cs="Arial"/>
        <w:lang w:val="cs-CZ"/>
      </w:rPr>
      <w:t>ana</w:t>
    </w:r>
    <w:r w:rsidRPr="00743909">
      <w:rPr>
        <w:rFonts w:ascii="Arial" w:hAnsi="Arial" w:cs="Arial"/>
      </w:rPr>
      <w:t xml:space="preserve"> </w:t>
    </w:r>
    <w:r w:rsidRPr="00743909">
      <w:rPr>
        <w:rFonts w:ascii="Arial" w:hAnsi="Arial" w:cs="Arial"/>
      </w:rPr>
      <w:fldChar w:fldCharType="begin"/>
    </w:r>
    <w:r w:rsidRPr="00743909">
      <w:rPr>
        <w:rFonts w:ascii="Arial" w:hAnsi="Arial" w:cs="Arial"/>
      </w:rPr>
      <w:instrText>PAGE</w:instrText>
    </w:r>
    <w:r w:rsidRPr="00743909">
      <w:rPr>
        <w:rFonts w:ascii="Arial" w:hAnsi="Arial" w:cs="Arial"/>
      </w:rPr>
      <w:fldChar w:fldCharType="separate"/>
    </w:r>
    <w:r w:rsidR="00AB6B58">
      <w:rPr>
        <w:rFonts w:ascii="Arial" w:hAnsi="Arial" w:cs="Arial"/>
        <w:noProof/>
      </w:rPr>
      <w:t>9</w:t>
    </w:r>
    <w:r w:rsidRPr="00743909">
      <w:rPr>
        <w:rFonts w:ascii="Arial" w:hAnsi="Arial" w:cs="Arial"/>
      </w:rPr>
      <w:fldChar w:fldCharType="end"/>
    </w:r>
    <w:r w:rsidRPr="00743909">
      <w:rPr>
        <w:rFonts w:ascii="Arial" w:hAnsi="Arial" w:cs="Arial"/>
      </w:rPr>
      <w:t xml:space="preserve"> z</w:t>
    </w:r>
    <w:r>
      <w:rPr>
        <w:rFonts w:ascii="Arial" w:hAnsi="Arial" w:cs="Arial"/>
        <w:lang w:val="cs-CZ"/>
      </w:rPr>
      <w:t> celkem</w:t>
    </w:r>
    <w:r w:rsidRPr="00743909">
      <w:rPr>
        <w:rFonts w:ascii="Arial" w:hAnsi="Arial" w:cs="Arial"/>
      </w:rPr>
      <w:t xml:space="preserve"> </w:t>
    </w:r>
    <w:r w:rsidRPr="00743909">
      <w:rPr>
        <w:rFonts w:ascii="Arial" w:hAnsi="Arial" w:cs="Arial"/>
      </w:rPr>
      <w:fldChar w:fldCharType="begin"/>
    </w:r>
    <w:r w:rsidRPr="00743909">
      <w:rPr>
        <w:rFonts w:ascii="Arial" w:hAnsi="Arial" w:cs="Arial"/>
      </w:rPr>
      <w:instrText>NUMPAGES</w:instrText>
    </w:r>
    <w:r w:rsidRPr="00743909">
      <w:rPr>
        <w:rFonts w:ascii="Arial" w:hAnsi="Arial" w:cs="Arial"/>
      </w:rPr>
      <w:fldChar w:fldCharType="separate"/>
    </w:r>
    <w:r w:rsidR="00AB6B58">
      <w:rPr>
        <w:rFonts w:ascii="Arial" w:hAnsi="Arial" w:cs="Arial"/>
        <w:noProof/>
      </w:rPr>
      <w:t>9</w:t>
    </w:r>
    <w:r w:rsidRPr="00743909">
      <w:rPr>
        <w:rFonts w:ascii="Arial" w:hAnsi="Arial" w:cs="Arial"/>
      </w:rPr>
      <w:fldChar w:fldCharType="end"/>
    </w:r>
  </w:p>
  <w:p w:rsidR="00A15670" w:rsidRDefault="00A15670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5" w:rsidRDefault="000F2625">
      <w:r>
        <w:separator/>
      </w:r>
    </w:p>
  </w:footnote>
  <w:footnote w:type="continuationSeparator" w:id="0">
    <w:p w:rsidR="000F2625" w:rsidRDefault="000F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70" w:rsidRDefault="00A15670" w:rsidP="006355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FB6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219EF"/>
    <w:multiLevelType w:val="hybridMultilevel"/>
    <w:tmpl w:val="58681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BA3"/>
    <w:multiLevelType w:val="hybridMultilevel"/>
    <w:tmpl w:val="C4C099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B5CB8"/>
    <w:multiLevelType w:val="hybridMultilevel"/>
    <w:tmpl w:val="68866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A2AE0"/>
    <w:multiLevelType w:val="hybridMultilevel"/>
    <w:tmpl w:val="0FE2A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45B49F1"/>
    <w:multiLevelType w:val="hybridMultilevel"/>
    <w:tmpl w:val="AF5036A8"/>
    <w:lvl w:ilvl="0" w:tplc="D9A409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D4E"/>
    <w:multiLevelType w:val="hybridMultilevel"/>
    <w:tmpl w:val="5B88FD94"/>
    <w:lvl w:ilvl="0" w:tplc="D59E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D5082F"/>
    <w:multiLevelType w:val="hybridMultilevel"/>
    <w:tmpl w:val="70B2C4B4"/>
    <w:lvl w:ilvl="0" w:tplc="D5E8B98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4A60AA"/>
    <w:multiLevelType w:val="hybridMultilevel"/>
    <w:tmpl w:val="4B22B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C0B3F22"/>
    <w:multiLevelType w:val="hybridMultilevel"/>
    <w:tmpl w:val="DBA87034"/>
    <w:lvl w:ilvl="0" w:tplc="EA66027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38D462E"/>
    <w:multiLevelType w:val="hybridMultilevel"/>
    <w:tmpl w:val="48C41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1996"/>
    <w:rsid w:val="0000297F"/>
    <w:rsid w:val="00007419"/>
    <w:rsid w:val="0000795F"/>
    <w:rsid w:val="00015055"/>
    <w:rsid w:val="00024A82"/>
    <w:rsid w:val="0003073C"/>
    <w:rsid w:val="00036B37"/>
    <w:rsid w:val="00041365"/>
    <w:rsid w:val="000414BC"/>
    <w:rsid w:val="000420A1"/>
    <w:rsid w:val="00042205"/>
    <w:rsid w:val="00042397"/>
    <w:rsid w:val="00042F65"/>
    <w:rsid w:val="0004456E"/>
    <w:rsid w:val="00044955"/>
    <w:rsid w:val="00051428"/>
    <w:rsid w:val="00053AF3"/>
    <w:rsid w:val="00057005"/>
    <w:rsid w:val="000668C7"/>
    <w:rsid w:val="00066FCA"/>
    <w:rsid w:val="000672D1"/>
    <w:rsid w:val="0007446A"/>
    <w:rsid w:val="00081837"/>
    <w:rsid w:val="000A0166"/>
    <w:rsid w:val="000A2A70"/>
    <w:rsid w:val="000A32DE"/>
    <w:rsid w:val="000A42E0"/>
    <w:rsid w:val="000A43D7"/>
    <w:rsid w:val="000A7221"/>
    <w:rsid w:val="000B3AA5"/>
    <w:rsid w:val="000B53CB"/>
    <w:rsid w:val="000B5A9C"/>
    <w:rsid w:val="000F2625"/>
    <w:rsid w:val="000F45CD"/>
    <w:rsid w:val="00104251"/>
    <w:rsid w:val="00106100"/>
    <w:rsid w:val="001164BF"/>
    <w:rsid w:val="001256CA"/>
    <w:rsid w:val="0012702C"/>
    <w:rsid w:val="00135D76"/>
    <w:rsid w:val="00141C66"/>
    <w:rsid w:val="00144F68"/>
    <w:rsid w:val="00150046"/>
    <w:rsid w:val="0015491B"/>
    <w:rsid w:val="001624F2"/>
    <w:rsid w:val="00162E0B"/>
    <w:rsid w:val="00165AF7"/>
    <w:rsid w:val="00165DE6"/>
    <w:rsid w:val="00167539"/>
    <w:rsid w:val="00193080"/>
    <w:rsid w:val="001946CE"/>
    <w:rsid w:val="001A0790"/>
    <w:rsid w:val="001A4BC9"/>
    <w:rsid w:val="001A4CEA"/>
    <w:rsid w:val="001A508F"/>
    <w:rsid w:val="001A527D"/>
    <w:rsid w:val="001B3DDE"/>
    <w:rsid w:val="001B43A3"/>
    <w:rsid w:val="001B6D8F"/>
    <w:rsid w:val="001C2826"/>
    <w:rsid w:val="001D255E"/>
    <w:rsid w:val="001D34B8"/>
    <w:rsid w:val="001D45C1"/>
    <w:rsid w:val="001F1985"/>
    <w:rsid w:val="001F5990"/>
    <w:rsid w:val="00201B66"/>
    <w:rsid w:val="00206E4B"/>
    <w:rsid w:val="002118DC"/>
    <w:rsid w:val="00212A55"/>
    <w:rsid w:val="00217D8E"/>
    <w:rsid w:val="0022306D"/>
    <w:rsid w:val="00225E3D"/>
    <w:rsid w:val="00230122"/>
    <w:rsid w:val="002309E5"/>
    <w:rsid w:val="00230A62"/>
    <w:rsid w:val="00234A8D"/>
    <w:rsid w:val="002367C5"/>
    <w:rsid w:val="00242B34"/>
    <w:rsid w:val="00243D68"/>
    <w:rsid w:val="00247771"/>
    <w:rsid w:val="00254D08"/>
    <w:rsid w:val="0026181A"/>
    <w:rsid w:val="00271023"/>
    <w:rsid w:val="00274904"/>
    <w:rsid w:val="00277B25"/>
    <w:rsid w:val="00280FAC"/>
    <w:rsid w:val="00282063"/>
    <w:rsid w:val="00294BBB"/>
    <w:rsid w:val="002951EB"/>
    <w:rsid w:val="002C3A9E"/>
    <w:rsid w:val="002C5C65"/>
    <w:rsid w:val="002C5FCB"/>
    <w:rsid w:val="002C6096"/>
    <w:rsid w:val="002E5FE9"/>
    <w:rsid w:val="00304D1C"/>
    <w:rsid w:val="00324B19"/>
    <w:rsid w:val="00324CD5"/>
    <w:rsid w:val="0033007F"/>
    <w:rsid w:val="003365B8"/>
    <w:rsid w:val="00341B8B"/>
    <w:rsid w:val="00344FB5"/>
    <w:rsid w:val="00363AF2"/>
    <w:rsid w:val="00363DCA"/>
    <w:rsid w:val="0036474D"/>
    <w:rsid w:val="0036519C"/>
    <w:rsid w:val="00366CFA"/>
    <w:rsid w:val="003721D1"/>
    <w:rsid w:val="003752AE"/>
    <w:rsid w:val="00376972"/>
    <w:rsid w:val="00377E68"/>
    <w:rsid w:val="00383B92"/>
    <w:rsid w:val="00385187"/>
    <w:rsid w:val="003A54C1"/>
    <w:rsid w:val="003B01D5"/>
    <w:rsid w:val="003B1F54"/>
    <w:rsid w:val="003C026F"/>
    <w:rsid w:val="003C4646"/>
    <w:rsid w:val="003C6468"/>
    <w:rsid w:val="003D42A5"/>
    <w:rsid w:val="003D7CEC"/>
    <w:rsid w:val="003E0255"/>
    <w:rsid w:val="003E7E2D"/>
    <w:rsid w:val="003F1949"/>
    <w:rsid w:val="00403772"/>
    <w:rsid w:val="00405640"/>
    <w:rsid w:val="0041024F"/>
    <w:rsid w:val="004112F9"/>
    <w:rsid w:val="004166C9"/>
    <w:rsid w:val="004317AA"/>
    <w:rsid w:val="0043186B"/>
    <w:rsid w:val="00436E96"/>
    <w:rsid w:val="00436FDE"/>
    <w:rsid w:val="004458DB"/>
    <w:rsid w:val="00453404"/>
    <w:rsid w:val="0045411D"/>
    <w:rsid w:val="00454AD6"/>
    <w:rsid w:val="00456FB1"/>
    <w:rsid w:val="00467B31"/>
    <w:rsid w:val="00467D2C"/>
    <w:rsid w:val="00472756"/>
    <w:rsid w:val="0047655F"/>
    <w:rsid w:val="00494A55"/>
    <w:rsid w:val="004960A9"/>
    <w:rsid w:val="004A1A10"/>
    <w:rsid w:val="004A43DA"/>
    <w:rsid w:val="004A7D79"/>
    <w:rsid w:val="004B2052"/>
    <w:rsid w:val="004B3D85"/>
    <w:rsid w:val="004C0D05"/>
    <w:rsid w:val="004D0301"/>
    <w:rsid w:val="004D11FA"/>
    <w:rsid w:val="004D3425"/>
    <w:rsid w:val="004D3716"/>
    <w:rsid w:val="004E00DE"/>
    <w:rsid w:val="00500060"/>
    <w:rsid w:val="00501BC8"/>
    <w:rsid w:val="005071E8"/>
    <w:rsid w:val="005244FA"/>
    <w:rsid w:val="00524BFB"/>
    <w:rsid w:val="00525281"/>
    <w:rsid w:val="00526E19"/>
    <w:rsid w:val="00530DCE"/>
    <w:rsid w:val="00532CB1"/>
    <w:rsid w:val="00543FB2"/>
    <w:rsid w:val="00545B71"/>
    <w:rsid w:val="00550DDE"/>
    <w:rsid w:val="00553B74"/>
    <w:rsid w:val="00572BB1"/>
    <w:rsid w:val="00584501"/>
    <w:rsid w:val="00590752"/>
    <w:rsid w:val="00590991"/>
    <w:rsid w:val="00590C05"/>
    <w:rsid w:val="00590F88"/>
    <w:rsid w:val="005A603D"/>
    <w:rsid w:val="005A627B"/>
    <w:rsid w:val="005A71D7"/>
    <w:rsid w:val="005B3706"/>
    <w:rsid w:val="005B7382"/>
    <w:rsid w:val="005E6300"/>
    <w:rsid w:val="005E6975"/>
    <w:rsid w:val="005E72A1"/>
    <w:rsid w:val="005F0B1D"/>
    <w:rsid w:val="005F75AC"/>
    <w:rsid w:val="005F7B9E"/>
    <w:rsid w:val="00601617"/>
    <w:rsid w:val="00601B68"/>
    <w:rsid w:val="00605B92"/>
    <w:rsid w:val="006079B5"/>
    <w:rsid w:val="00610E4E"/>
    <w:rsid w:val="0062392D"/>
    <w:rsid w:val="006271A0"/>
    <w:rsid w:val="006275F2"/>
    <w:rsid w:val="00635523"/>
    <w:rsid w:val="00641F99"/>
    <w:rsid w:val="00642B48"/>
    <w:rsid w:val="0064797B"/>
    <w:rsid w:val="00656FE5"/>
    <w:rsid w:val="00662AB8"/>
    <w:rsid w:val="006664BE"/>
    <w:rsid w:val="00673387"/>
    <w:rsid w:val="00673AEC"/>
    <w:rsid w:val="0067524F"/>
    <w:rsid w:val="00676ABE"/>
    <w:rsid w:val="00676EAF"/>
    <w:rsid w:val="00687F6F"/>
    <w:rsid w:val="006946B1"/>
    <w:rsid w:val="00697B85"/>
    <w:rsid w:val="006A3292"/>
    <w:rsid w:val="006A5F87"/>
    <w:rsid w:val="006B3727"/>
    <w:rsid w:val="006B4E9E"/>
    <w:rsid w:val="006B6511"/>
    <w:rsid w:val="006B79BE"/>
    <w:rsid w:val="006C381F"/>
    <w:rsid w:val="006C42A6"/>
    <w:rsid w:val="006D3064"/>
    <w:rsid w:val="006D6F28"/>
    <w:rsid w:val="006E18CA"/>
    <w:rsid w:val="006F28A4"/>
    <w:rsid w:val="006F55A1"/>
    <w:rsid w:val="0070074B"/>
    <w:rsid w:val="00702642"/>
    <w:rsid w:val="00702D3B"/>
    <w:rsid w:val="00707F02"/>
    <w:rsid w:val="00711519"/>
    <w:rsid w:val="00720959"/>
    <w:rsid w:val="007365B5"/>
    <w:rsid w:val="007375D3"/>
    <w:rsid w:val="007422B7"/>
    <w:rsid w:val="00743909"/>
    <w:rsid w:val="007456F8"/>
    <w:rsid w:val="00755AC2"/>
    <w:rsid w:val="00755EFA"/>
    <w:rsid w:val="007577C0"/>
    <w:rsid w:val="00762F73"/>
    <w:rsid w:val="007704DB"/>
    <w:rsid w:val="00776DE4"/>
    <w:rsid w:val="007A2F06"/>
    <w:rsid w:val="007A371F"/>
    <w:rsid w:val="007A4F5B"/>
    <w:rsid w:val="007B1C45"/>
    <w:rsid w:val="007C7922"/>
    <w:rsid w:val="007D09E3"/>
    <w:rsid w:val="007D5873"/>
    <w:rsid w:val="007E30C4"/>
    <w:rsid w:val="007E559C"/>
    <w:rsid w:val="007E7838"/>
    <w:rsid w:val="00803A72"/>
    <w:rsid w:val="00820B9B"/>
    <w:rsid w:val="00831B55"/>
    <w:rsid w:val="008341F5"/>
    <w:rsid w:val="00840C73"/>
    <w:rsid w:val="008433EC"/>
    <w:rsid w:val="00861020"/>
    <w:rsid w:val="00861538"/>
    <w:rsid w:val="008629BA"/>
    <w:rsid w:val="00867CA6"/>
    <w:rsid w:val="00874A57"/>
    <w:rsid w:val="00891241"/>
    <w:rsid w:val="00895D76"/>
    <w:rsid w:val="00896849"/>
    <w:rsid w:val="008A1227"/>
    <w:rsid w:val="008A599E"/>
    <w:rsid w:val="008A5D8C"/>
    <w:rsid w:val="008B0F9F"/>
    <w:rsid w:val="008B4783"/>
    <w:rsid w:val="008C0453"/>
    <w:rsid w:val="008C2F47"/>
    <w:rsid w:val="008D24CE"/>
    <w:rsid w:val="008D48C2"/>
    <w:rsid w:val="008D70F2"/>
    <w:rsid w:val="008E42EE"/>
    <w:rsid w:val="008E7FAD"/>
    <w:rsid w:val="008F3D18"/>
    <w:rsid w:val="00900003"/>
    <w:rsid w:val="00906422"/>
    <w:rsid w:val="00906B27"/>
    <w:rsid w:val="00914B64"/>
    <w:rsid w:val="00925441"/>
    <w:rsid w:val="00926BA0"/>
    <w:rsid w:val="009339D8"/>
    <w:rsid w:val="00934C33"/>
    <w:rsid w:val="00935D13"/>
    <w:rsid w:val="00940B8C"/>
    <w:rsid w:val="00947668"/>
    <w:rsid w:val="00950005"/>
    <w:rsid w:val="00951276"/>
    <w:rsid w:val="00971CAF"/>
    <w:rsid w:val="00972BBC"/>
    <w:rsid w:val="00973DEE"/>
    <w:rsid w:val="0097612F"/>
    <w:rsid w:val="00976819"/>
    <w:rsid w:val="00983184"/>
    <w:rsid w:val="00991241"/>
    <w:rsid w:val="0099160A"/>
    <w:rsid w:val="00992C8C"/>
    <w:rsid w:val="00993977"/>
    <w:rsid w:val="009A301B"/>
    <w:rsid w:val="009A6CF0"/>
    <w:rsid w:val="009A7436"/>
    <w:rsid w:val="009B66DF"/>
    <w:rsid w:val="009C0C2B"/>
    <w:rsid w:val="009C4018"/>
    <w:rsid w:val="009C542B"/>
    <w:rsid w:val="009C5773"/>
    <w:rsid w:val="009D6D2F"/>
    <w:rsid w:val="009E2644"/>
    <w:rsid w:val="009F0F0A"/>
    <w:rsid w:val="009F67AF"/>
    <w:rsid w:val="009F75A2"/>
    <w:rsid w:val="00A005E4"/>
    <w:rsid w:val="00A054E8"/>
    <w:rsid w:val="00A13AF8"/>
    <w:rsid w:val="00A15670"/>
    <w:rsid w:val="00A20FB8"/>
    <w:rsid w:val="00A27BDC"/>
    <w:rsid w:val="00A40D0F"/>
    <w:rsid w:val="00A442E4"/>
    <w:rsid w:val="00A446D6"/>
    <w:rsid w:val="00A45A66"/>
    <w:rsid w:val="00A46E37"/>
    <w:rsid w:val="00A51ED2"/>
    <w:rsid w:val="00A525E0"/>
    <w:rsid w:val="00A57A2C"/>
    <w:rsid w:val="00A6612E"/>
    <w:rsid w:val="00A708B0"/>
    <w:rsid w:val="00A71681"/>
    <w:rsid w:val="00A750FE"/>
    <w:rsid w:val="00A84452"/>
    <w:rsid w:val="00A8522F"/>
    <w:rsid w:val="00A93C19"/>
    <w:rsid w:val="00A95592"/>
    <w:rsid w:val="00A96297"/>
    <w:rsid w:val="00AA5BB3"/>
    <w:rsid w:val="00AA7306"/>
    <w:rsid w:val="00AB1E79"/>
    <w:rsid w:val="00AB3755"/>
    <w:rsid w:val="00AB6B58"/>
    <w:rsid w:val="00AC4009"/>
    <w:rsid w:val="00AD025A"/>
    <w:rsid w:val="00AE721C"/>
    <w:rsid w:val="00AE7C63"/>
    <w:rsid w:val="00AF3F36"/>
    <w:rsid w:val="00AF4CE5"/>
    <w:rsid w:val="00B071A6"/>
    <w:rsid w:val="00B0749F"/>
    <w:rsid w:val="00B2651E"/>
    <w:rsid w:val="00B32FAC"/>
    <w:rsid w:val="00B4034A"/>
    <w:rsid w:val="00B42FE5"/>
    <w:rsid w:val="00B62F80"/>
    <w:rsid w:val="00B6681E"/>
    <w:rsid w:val="00B729A2"/>
    <w:rsid w:val="00B75A90"/>
    <w:rsid w:val="00B77335"/>
    <w:rsid w:val="00B775A7"/>
    <w:rsid w:val="00B818DA"/>
    <w:rsid w:val="00B840F3"/>
    <w:rsid w:val="00B95B3A"/>
    <w:rsid w:val="00B95DD8"/>
    <w:rsid w:val="00BA5848"/>
    <w:rsid w:val="00BB48CA"/>
    <w:rsid w:val="00BB598F"/>
    <w:rsid w:val="00BB61E4"/>
    <w:rsid w:val="00BB6945"/>
    <w:rsid w:val="00BB7004"/>
    <w:rsid w:val="00BC3A29"/>
    <w:rsid w:val="00BD0284"/>
    <w:rsid w:val="00BE1727"/>
    <w:rsid w:val="00BE25EA"/>
    <w:rsid w:val="00BE74BA"/>
    <w:rsid w:val="00BF71A6"/>
    <w:rsid w:val="00C0640E"/>
    <w:rsid w:val="00C115B2"/>
    <w:rsid w:val="00C12F72"/>
    <w:rsid w:val="00C14BB5"/>
    <w:rsid w:val="00C21822"/>
    <w:rsid w:val="00C274DB"/>
    <w:rsid w:val="00C32483"/>
    <w:rsid w:val="00C32519"/>
    <w:rsid w:val="00C36D96"/>
    <w:rsid w:val="00C407C2"/>
    <w:rsid w:val="00C4157C"/>
    <w:rsid w:val="00C43CDC"/>
    <w:rsid w:val="00C46943"/>
    <w:rsid w:val="00C46EC8"/>
    <w:rsid w:val="00C5208C"/>
    <w:rsid w:val="00C527E5"/>
    <w:rsid w:val="00C74972"/>
    <w:rsid w:val="00C8432B"/>
    <w:rsid w:val="00CA59B4"/>
    <w:rsid w:val="00CB6171"/>
    <w:rsid w:val="00CC0D0B"/>
    <w:rsid w:val="00CD17BB"/>
    <w:rsid w:val="00CD52C1"/>
    <w:rsid w:val="00CD63AA"/>
    <w:rsid w:val="00CE19A4"/>
    <w:rsid w:val="00CE1E1E"/>
    <w:rsid w:val="00CE7DBB"/>
    <w:rsid w:val="00CF227D"/>
    <w:rsid w:val="00D00DCC"/>
    <w:rsid w:val="00D17424"/>
    <w:rsid w:val="00D3252B"/>
    <w:rsid w:val="00D3453C"/>
    <w:rsid w:val="00D3691F"/>
    <w:rsid w:val="00D36ADB"/>
    <w:rsid w:val="00D441CA"/>
    <w:rsid w:val="00D4577E"/>
    <w:rsid w:val="00D4592F"/>
    <w:rsid w:val="00D46F3F"/>
    <w:rsid w:val="00D53A85"/>
    <w:rsid w:val="00D55EAA"/>
    <w:rsid w:val="00D615AA"/>
    <w:rsid w:val="00D619D5"/>
    <w:rsid w:val="00D63720"/>
    <w:rsid w:val="00D64E9B"/>
    <w:rsid w:val="00D7693F"/>
    <w:rsid w:val="00D81DE3"/>
    <w:rsid w:val="00D81FCC"/>
    <w:rsid w:val="00D823BF"/>
    <w:rsid w:val="00D83DD6"/>
    <w:rsid w:val="00D902F9"/>
    <w:rsid w:val="00D90F9E"/>
    <w:rsid w:val="00D92E6E"/>
    <w:rsid w:val="00DA1261"/>
    <w:rsid w:val="00DA189B"/>
    <w:rsid w:val="00DA55A5"/>
    <w:rsid w:val="00DA60CD"/>
    <w:rsid w:val="00DB325D"/>
    <w:rsid w:val="00DC1CFB"/>
    <w:rsid w:val="00DD6F57"/>
    <w:rsid w:val="00DE261E"/>
    <w:rsid w:val="00DE3AE9"/>
    <w:rsid w:val="00E04F0D"/>
    <w:rsid w:val="00E11DEF"/>
    <w:rsid w:val="00E17A24"/>
    <w:rsid w:val="00E17E41"/>
    <w:rsid w:val="00E23D76"/>
    <w:rsid w:val="00E23E1A"/>
    <w:rsid w:val="00E316A3"/>
    <w:rsid w:val="00E43ED0"/>
    <w:rsid w:val="00E457C4"/>
    <w:rsid w:val="00E47DAD"/>
    <w:rsid w:val="00E505BD"/>
    <w:rsid w:val="00E5206F"/>
    <w:rsid w:val="00E52516"/>
    <w:rsid w:val="00E52627"/>
    <w:rsid w:val="00E72963"/>
    <w:rsid w:val="00E7449E"/>
    <w:rsid w:val="00E77C1F"/>
    <w:rsid w:val="00E81B12"/>
    <w:rsid w:val="00E85DE4"/>
    <w:rsid w:val="00E87891"/>
    <w:rsid w:val="00E94155"/>
    <w:rsid w:val="00EA0B1F"/>
    <w:rsid w:val="00EA2A2A"/>
    <w:rsid w:val="00EA462E"/>
    <w:rsid w:val="00EA7884"/>
    <w:rsid w:val="00EC24A5"/>
    <w:rsid w:val="00ED453E"/>
    <w:rsid w:val="00EE440B"/>
    <w:rsid w:val="00EF4594"/>
    <w:rsid w:val="00EF6907"/>
    <w:rsid w:val="00EF7B26"/>
    <w:rsid w:val="00F10DCC"/>
    <w:rsid w:val="00F13FD1"/>
    <w:rsid w:val="00F142DA"/>
    <w:rsid w:val="00F15942"/>
    <w:rsid w:val="00F16932"/>
    <w:rsid w:val="00F23FDD"/>
    <w:rsid w:val="00F26881"/>
    <w:rsid w:val="00F30F44"/>
    <w:rsid w:val="00F33445"/>
    <w:rsid w:val="00F35207"/>
    <w:rsid w:val="00F409C9"/>
    <w:rsid w:val="00F52AA0"/>
    <w:rsid w:val="00F544B9"/>
    <w:rsid w:val="00F60975"/>
    <w:rsid w:val="00F66C2F"/>
    <w:rsid w:val="00F8217D"/>
    <w:rsid w:val="00F823E6"/>
    <w:rsid w:val="00F84A0F"/>
    <w:rsid w:val="00F84A1D"/>
    <w:rsid w:val="00F97BDD"/>
    <w:rsid w:val="00FA4F52"/>
    <w:rsid w:val="00FB3667"/>
    <w:rsid w:val="00FB38AC"/>
    <w:rsid w:val="00FB51B4"/>
    <w:rsid w:val="00FB7B21"/>
    <w:rsid w:val="00FC079F"/>
    <w:rsid w:val="00FC71E3"/>
    <w:rsid w:val="00FD4365"/>
    <w:rsid w:val="00FD4B69"/>
    <w:rsid w:val="00FE0BF8"/>
    <w:rsid w:val="00FE3920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355BCE6"/>
  <w15:chartTrackingRefBased/>
  <w15:docId w15:val="{7FD6432C-86BA-4BC8-A459-C756EBD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12F9"/>
    <w:pPr>
      <w:ind w:left="720"/>
      <w:contextualSpacing/>
    </w:pPr>
  </w:style>
  <w:style w:type="character" w:styleId="Hypertextovodkaz">
    <w:name w:val="Hyperlink"/>
    <w:uiPriority w:val="99"/>
    <w:rsid w:val="00914B64"/>
    <w:rPr>
      <w:rFonts w:cs="Times New Roman"/>
      <w:color w:val="0000FF"/>
      <w:u w:val="single"/>
    </w:rPr>
  </w:style>
  <w:style w:type="paragraph" w:customStyle="1" w:styleId="Default">
    <w:name w:val="Default"/>
    <w:rsid w:val="001256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D4AF-9AF9-4FAA-B1E4-576EFAF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3058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Steidlová Pavlína</cp:lastModifiedBy>
  <cp:revision>4</cp:revision>
  <cp:lastPrinted>2019-04-15T08:39:00Z</cp:lastPrinted>
  <dcterms:created xsi:type="dcterms:W3CDTF">2019-04-15T08:30:00Z</dcterms:created>
  <dcterms:modified xsi:type="dcterms:W3CDTF">2019-04-15T08:39:00Z</dcterms:modified>
</cp:coreProperties>
</file>