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434A86EF"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14:paraId="06CFCD63" w14:textId="02A8927C"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14:paraId="3F185031" w14:textId="379845D2"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49AF42F3" w14:textId="7372AA5B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Domov pro seniory Iris, Ostrava-Mariánské Hory, příspěvková organizace</w:t>
      </w:r>
    </w:p>
    <w:p w14:paraId="45F6F281" w14:textId="10FE4EA3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14:paraId="79AEA08C" w14:textId="071B7426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14:paraId="21ADBFC8" w14:textId="43437A5F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14:paraId="098DC5C0" w14:textId="0EBA5A91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14:paraId="44DD7BC3" w14:textId="1E312E2A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14:paraId="1370FAA5" w14:textId="3496B9AA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14:paraId="22C93AC0" w14:textId="1CABF00D"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14:paraId="1CDF8E27" w14:textId="77777777"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14:paraId="67BB4B99" w14:textId="77777777"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14:paraId="55E9E904" w14:textId="295C088F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512111">
        <w:rPr>
          <w:rFonts w:asciiTheme="minorHAnsi" w:hAnsiTheme="minorHAnsi"/>
          <w:sz w:val="22"/>
          <w:szCs w:val="22"/>
        </w:rPr>
        <w:t xml:space="preserve">Ing. David Jánošík, insolvenční správce dlužníka </w:t>
      </w:r>
      <w:r w:rsidR="0076441C" w:rsidRPr="00272775">
        <w:rPr>
          <w:rFonts w:asciiTheme="minorHAnsi" w:hAnsiTheme="minorHAnsi"/>
          <w:sz w:val="22"/>
          <w:szCs w:val="22"/>
        </w:rPr>
        <w:t>One Energy &amp; One Mobile a.s.</w:t>
      </w:r>
    </w:p>
    <w:p w14:paraId="099D2ED9" w14:textId="37C31035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  <w:t xml:space="preserve">Hornopolní 3322/34, Moravská Ostrava, 702 00 Ostrava  </w:t>
      </w:r>
    </w:p>
    <w:p w14:paraId="6E1AFFFD" w14:textId="109A0F6B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>01879880</w:t>
      </w:r>
    </w:p>
    <w:p w14:paraId="1CDB7FDA" w14:textId="4098A2B1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</w:t>
      </w:r>
      <w:r w:rsidR="0076441C" w:rsidRPr="00272775">
        <w:rPr>
          <w:rFonts w:asciiTheme="minorHAnsi" w:hAnsiTheme="minorHAnsi"/>
          <w:sz w:val="22"/>
          <w:szCs w:val="22"/>
        </w:rPr>
        <w:t xml:space="preserve"> 01879880</w:t>
      </w:r>
      <w:r w:rsidRPr="00272775">
        <w:rPr>
          <w:rFonts w:asciiTheme="minorHAnsi" w:hAnsiTheme="minorHAnsi"/>
          <w:sz w:val="22"/>
          <w:szCs w:val="22"/>
        </w:rPr>
        <w:tab/>
      </w:r>
    </w:p>
    <w:p w14:paraId="5641D4F4" w14:textId="1735E086" w:rsidR="002D1658" w:rsidRPr="00272775" w:rsidRDefault="00512111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Dlužník z</w:t>
      </w:r>
      <w:r w:rsidR="002D1658" w:rsidRPr="00272775">
        <w:rPr>
          <w:rFonts w:asciiTheme="minorHAnsi" w:hAnsiTheme="minorHAnsi"/>
          <w:sz w:val="22"/>
          <w:szCs w:val="22"/>
        </w:rPr>
        <w:t>aps</w:t>
      </w:r>
      <w:r>
        <w:rPr>
          <w:rFonts w:asciiTheme="minorHAnsi" w:hAnsiTheme="minorHAnsi"/>
          <w:sz w:val="22"/>
          <w:szCs w:val="22"/>
        </w:rPr>
        <w:t>án</w:t>
      </w:r>
      <w:r w:rsidR="002D1658" w:rsidRPr="00272775">
        <w:rPr>
          <w:rFonts w:asciiTheme="minorHAnsi" w:hAnsiTheme="minorHAnsi"/>
          <w:sz w:val="22"/>
          <w:szCs w:val="22"/>
        </w:rPr>
        <w:t xml:space="preserve"> v obchodním rejstříku:</w:t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02AB3" w:rsidRPr="00272775">
        <w:rPr>
          <w:rFonts w:asciiTheme="minorHAnsi" w:hAnsiTheme="minorHAnsi"/>
          <w:sz w:val="22"/>
          <w:szCs w:val="22"/>
        </w:rPr>
        <w:t xml:space="preserve">u Krajského soudu v Ostravě, oddíl B, vložka </w:t>
      </w:r>
      <w:r w:rsidR="0076441C" w:rsidRPr="00272775">
        <w:rPr>
          <w:rFonts w:asciiTheme="minorHAnsi" w:hAnsiTheme="minorHAnsi"/>
          <w:sz w:val="22"/>
          <w:szCs w:val="22"/>
        </w:rPr>
        <w:t>10798</w:t>
      </w:r>
    </w:p>
    <w:p w14:paraId="2BC49A40" w14:textId="6CCC1F2F"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>UniCredit Bank Czech Republic and Slovakia, a.s.</w:t>
      </w:r>
    </w:p>
    <w:p w14:paraId="305E4ABD" w14:textId="2E8CEF22"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>304051050/2700</w:t>
      </w:r>
    </w:p>
    <w:p w14:paraId="2C66050F" w14:textId="100113B2"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512111">
        <w:rPr>
          <w:rFonts w:asciiTheme="minorHAnsi" w:hAnsiTheme="minorHAnsi"/>
          <w:sz w:val="22"/>
          <w:szCs w:val="22"/>
        </w:rPr>
        <w:t>chex5ri</w:t>
      </w:r>
      <w:r w:rsidRPr="00272775">
        <w:rPr>
          <w:rFonts w:asciiTheme="minorHAnsi" w:hAnsiTheme="minorHAnsi"/>
          <w:sz w:val="22"/>
          <w:szCs w:val="22"/>
        </w:rPr>
        <w:tab/>
      </w:r>
    </w:p>
    <w:p w14:paraId="2A06A40E" w14:textId="355843F9"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a One Energy &amp; One Mobile a.s. dále jen jako Dlužník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14:paraId="40A067BF" w14:textId="58253864"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14:paraId="14D0CCB3" w14:textId="147F3B99"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14:paraId="33A3DFFD" w14:textId="77777777"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14:paraId="30D4AA6D" w14:textId="77777777"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14:paraId="258EA30E" w14:textId="77777777"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14:paraId="6C1206EE" w14:textId="47FCF5E2"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lastRenderedPageBreak/>
        <w:t>Preambule</w:t>
      </w:r>
    </w:p>
    <w:p w14:paraId="688015EC" w14:textId="765B9841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14:paraId="65EDE1B7" w14:textId="1963B2C3"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14:paraId="6F387E99" w14:textId="6C0BBBD2" w:rsidR="00E86FEC" w:rsidRPr="00272775" w:rsidRDefault="00FF4111" w:rsidP="002B0AA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 w:rsidR="00512111">
        <w:rPr>
          <w:rFonts w:cs="Times New Roman"/>
        </w:rPr>
        <w:t>Dlužník</w:t>
      </w:r>
      <w:r w:rsidRPr="00272775">
        <w:rPr>
          <w:rFonts w:cs="Times New Roman"/>
        </w:rPr>
        <w:t xml:space="preserve"> měli v úmyslu uzavřít </w:t>
      </w:r>
      <w:r w:rsidR="00E86FEC" w:rsidRPr="00272775">
        <w:rPr>
          <w:rFonts w:cs="Times New Roman"/>
        </w:rPr>
        <w:t>„</w:t>
      </w:r>
      <w:r w:rsidRPr="00272775">
        <w:rPr>
          <w:rFonts w:cs="Times New Roman"/>
        </w:rPr>
        <w:t>Smlouvu o sdružených dodávkách elektřiny oprávněnému odběrateli</w:t>
      </w:r>
      <w:r w:rsidR="00E86FEC" w:rsidRPr="00272775">
        <w:rPr>
          <w:rFonts w:cs="Times New Roman"/>
        </w:rPr>
        <w:t>“ (dále také jen „Smlouva“)</w:t>
      </w:r>
      <w:r w:rsidRPr="00272775">
        <w:rPr>
          <w:rFonts w:cs="Times New Roman"/>
        </w:rPr>
        <w:t>, a to na podkladě veřejné zakázky o sdružených službách dodávky elektrické energie pro statutární město Ostrava a městské organizace</w:t>
      </w:r>
      <w:r w:rsidR="00E86FEC" w:rsidRPr="00272775">
        <w:rPr>
          <w:rFonts w:cs="Times New Roman"/>
        </w:rPr>
        <w:t xml:space="preserve"> pro rok 2018. K formálnímu uzavření Smlouvy nedošlo, jelikož D</w:t>
      </w:r>
      <w:r w:rsidR="00512111">
        <w:rPr>
          <w:rFonts w:cs="Times New Roman"/>
        </w:rPr>
        <w:t>lužník</w:t>
      </w:r>
      <w:r w:rsidR="00E86FEC" w:rsidRPr="00272775">
        <w:rPr>
          <w:rFonts w:cs="Times New Roman"/>
        </w:rPr>
        <w:t xml:space="preserve"> nezaslal zpět Objednateli podepsané vyhotovení čistopisu Smlouvy a tudíž nedošlo k uzavření Smlouvy a ani nabytí účinnosti Smlouvy, když uvedená Smlouva podléhala také povinnosti uveřejnění v registru smluv. Objednatel v důsledku uvedeného bez uzavřené Smlouvy odebíral elektrickou energii od objednatele a tomu hradil zálohy dle rozpisu vystaveného dle neuzavřené Smlouvy. Objednatel opakovaně D</w:t>
      </w:r>
      <w:r w:rsidR="00512111">
        <w:rPr>
          <w:rFonts w:cs="Times New Roman"/>
        </w:rPr>
        <w:t>lužníka</w:t>
      </w:r>
      <w:r w:rsidR="00E86FEC" w:rsidRPr="00272775">
        <w:rPr>
          <w:rFonts w:cs="Times New Roman"/>
        </w:rPr>
        <w:t xml:space="preserve"> žádal o zaslání podepsané Smlouvy, ale Dl</w:t>
      </w:r>
      <w:r w:rsidR="00512111">
        <w:rPr>
          <w:rFonts w:cs="Times New Roman"/>
        </w:rPr>
        <w:t>užník</w:t>
      </w:r>
      <w:r w:rsidR="00E86FEC" w:rsidRPr="00272775">
        <w:rPr>
          <w:rFonts w:cs="Times New Roman"/>
        </w:rPr>
        <w:t xml:space="preserve"> tak nikdy neučinil. </w:t>
      </w:r>
      <w:r w:rsidRPr="00272775">
        <w:rPr>
          <w:rFonts w:cs="Times New Roman"/>
        </w:rPr>
        <w:t>N</w:t>
      </w:r>
      <w:r w:rsidR="004B538A" w:rsidRPr="00272775">
        <w:rPr>
          <w:rFonts w:cs="Times New Roman"/>
        </w:rPr>
        <w:t>a majetek D</w:t>
      </w:r>
      <w:r w:rsidR="00512111">
        <w:rPr>
          <w:rFonts w:cs="Times New Roman"/>
        </w:rPr>
        <w:t>lužníka</w:t>
      </w:r>
      <w:r w:rsidR="004B538A" w:rsidRPr="00272775">
        <w:rPr>
          <w:rFonts w:cs="Times New Roman"/>
        </w:rPr>
        <w:t xml:space="preserve"> byl</w:t>
      </w:r>
      <w:r w:rsidR="00E86FEC" w:rsidRPr="00272775">
        <w:rPr>
          <w:rFonts w:cs="Times New Roman"/>
        </w:rPr>
        <w:t xml:space="preserve"> následně</w:t>
      </w:r>
      <w:r w:rsidR="004B538A" w:rsidRPr="00272775">
        <w:rPr>
          <w:rFonts w:cs="Times New Roman"/>
        </w:rPr>
        <w:t xml:space="preserve"> usnesením Krajského soudu v Ostravě, č.j. KSOS 25 INS 12156/2018-A-25 ze dne 17.8.2018 prohlášen konkurs.</w:t>
      </w:r>
      <w:r w:rsidR="00E86FEC" w:rsidRPr="00272775">
        <w:rPr>
          <w:rFonts w:cs="Times New Roman"/>
        </w:rPr>
        <w:t xml:space="preserve"> </w:t>
      </w:r>
      <w:r w:rsidRPr="00272775">
        <w:rPr>
          <w:rFonts w:cs="Times New Roman"/>
        </w:rPr>
        <w:t>I</w:t>
      </w:r>
      <w:r w:rsidR="004B538A" w:rsidRPr="00272775">
        <w:rPr>
          <w:rFonts w:cs="Times New Roman"/>
        </w:rPr>
        <w:t>nsolvenční správce</w:t>
      </w:r>
      <w:r w:rsidRPr="00272775">
        <w:rPr>
          <w:rFonts w:cs="Times New Roman"/>
        </w:rPr>
        <w:t xml:space="preserve"> D</w:t>
      </w:r>
      <w:r w:rsidR="00512111">
        <w:rPr>
          <w:rFonts w:cs="Times New Roman"/>
        </w:rPr>
        <w:t>lužníka</w:t>
      </w:r>
      <w:r w:rsidR="004B538A" w:rsidRPr="00272775">
        <w:rPr>
          <w:rFonts w:cs="Times New Roman"/>
        </w:rPr>
        <w:t xml:space="preserve"> zpracoval a </w:t>
      </w:r>
      <w:r w:rsidRPr="00272775">
        <w:rPr>
          <w:rFonts w:cs="Times New Roman"/>
        </w:rPr>
        <w:t>zaslal</w:t>
      </w:r>
      <w:r w:rsidR="004B538A" w:rsidRPr="00272775">
        <w:rPr>
          <w:rFonts w:cs="Times New Roman"/>
        </w:rPr>
        <w:t xml:space="preserve"> </w:t>
      </w:r>
      <w:r w:rsidRPr="00272775">
        <w:rPr>
          <w:rFonts w:cs="Times New Roman"/>
        </w:rPr>
        <w:t xml:space="preserve">Objednateli </w:t>
      </w:r>
      <w:r w:rsidR="004B538A" w:rsidRPr="00272775">
        <w:rPr>
          <w:rFonts w:cs="Times New Roman"/>
        </w:rPr>
        <w:t>vyúčtování dodávek elektrické energie</w:t>
      </w:r>
      <w:r w:rsidRPr="00272775">
        <w:rPr>
          <w:rFonts w:cs="Times New Roman"/>
        </w:rPr>
        <w:t xml:space="preserve"> </w:t>
      </w:r>
      <w:r w:rsidR="004B538A" w:rsidRPr="00272775">
        <w:rPr>
          <w:rFonts w:cs="Times New Roman"/>
        </w:rPr>
        <w:t>za období</w:t>
      </w:r>
      <w:r w:rsidRPr="00272775">
        <w:rPr>
          <w:rFonts w:cs="Times New Roman"/>
        </w:rPr>
        <w:t xml:space="preserve"> od </w:t>
      </w:r>
      <w:r w:rsidR="00FA12FA" w:rsidRPr="00272775">
        <w:rPr>
          <w:rFonts w:cs="Times New Roman"/>
        </w:rPr>
        <w:t>01.01.2018 do 22.03.2018</w:t>
      </w:r>
      <w:r w:rsidR="004B538A" w:rsidRPr="00272775">
        <w:rPr>
          <w:rFonts w:cs="Times New Roman"/>
        </w:rPr>
        <w:t xml:space="preserve">, </w:t>
      </w:r>
      <w:r w:rsidRPr="00272775">
        <w:rPr>
          <w:rFonts w:cs="Times New Roman"/>
        </w:rPr>
        <w:t>po které měl Objednatel odebírat energie od D</w:t>
      </w:r>
      <w:r w:rsidR="00512111">
        <w:rPr>
          <w:rFonts w:cs="Times New Roman"/>
        </w:rPr>
        <w:t>lužníka</w:t>
      </w:r>
      <w:r w:rsidRPr="00272775">
        <w:rPr>
          <w:rFonts w:cs="Times New Roman"/>
        </w:rPr>
        <w:t xml:space="preserve"> a D</w:t>
      </w:r>
      <w:r w:rsidR="00512111">
        <w:rPr>
          <w:rFonts w:cs="Times New Roman"/>
        </w:rPr>
        <w:t>lužníkem</w:t>
      </w:r>
      <w:r w:rsidRPr="00272775">
        <w:rPr>
          <w:rFonts w:cs="Times New Roman"/>
        </w:rPr>
        <w:t xml:space="preserve"> nebyly </w:t>
      </w:r>
      <w:r w:rsidR="004B538A" w:rsidRPr="00272775">
        <w:rPr>
          <w:rFonts w:cs="Times New Roman"/>
        </w:rPr>
        <w:t>doposud tyto služby</w:t>
      </w:r>
      <w:r w:rsidRPr="00272775">
        <w:rPr>
          <w:rFonts w:cs="Times New Roman"/>
        </w:rPr>
        <w:t xml:space="preserve"> vyúčtovány.</w:t>
      </w:r>
      <w:r w:rsidR="00E86FEC" w:rsidRPr="00272775">
        <w:rPr>
          <w:rFonts w:cs="Times New Roman"/>
        </w:rPr>
        <w:t xml:space="preserve"> Smluvní strany si předmětné vyúčtování odsouhlasili co do výše uhrazených částek ze strany Objednatele, tak výše odběru Objednatele, tak také co do výše nedoplatku za dodávku elektrické energie.</w:t>
      </w:r>
    </w:p>
    <w:p w14:paraId="43D3E9F0" w14:textId="70262E3B"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a ve snaze napravit stav</w:t>
      </w:r>
      <w:r w:rsidR="00053702" w:rsidRPr="00272775">
        <w:rPr>
          <w:rFonts w:cs="Times New Roman"/>
        </w:rPr>
        <w:t xml:space="preserve"> vzniklý</w:t>
      </w:r>
      <w:r w:rsidRPr="00272775">
        <w:rPr>
          <w:rFonts w:cs="Times New Roman"/>
        </w:rPr>
        <w:t xml:space="preserve"> v</w:t>
      </w:r>
      <w:r w:rsidR="00E86FEC" w:rsidRPr="00272775">
        <w:rPr>
          <w:rFonts w:cs="Times New Roman"/>
        </w:rPr>
        <w:t> </w:t>
      </w:r>
      <w:r w:rsidRPr="00272775">
        <w:rPr>
          <w:rFonts w:cs="Times New Roman"/>
        </w:rPr>
        <w:t>důsledku</w:t>
      </w:r>
      <w:r w:rsidR="00E86FEC" w:rsidRPr="00272775">
        <w:rPr>
          <w:rFonts w:cs="Times New Roman"/>
        </w:rPr>
        <w:t xml:space="preserve"> úpadku D</w:t>
      </w:r>
      <w:r w:rsidR="00512111">
        <w:rPr>
          <w:rFonts w:cs="Times New Roman"/>
        </w:rPr>
        <w:t>lužníka</w:t>
      </w:r>
      <w:r w:rsidR="00E86FEC" w:rsidRPr="00272775">
        <w:rPr>
          <w:rFonts w:cs="Times New Roman"/>
        </w:rPr>
        <w:t>,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14:paraId="08D9A70C" w14:textId="77777777"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14:paraId="1B932DCD" w14:textId="477FDD9E"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14:paraId="7F213B61" w14:textId="77777777"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>Smluvní strany tímto shodně prohlašují, že jsou mezi nimi sporná následující práva a povinnosti vzniklé ze situace, kdy dodavatel dodával Objednateli bez právního důvodu elektrickou energii, zejména:</w:t>
      </w:r>
    </w:p>
    <w:p w14:paraId="34A4B642" w14:textId="21F592A7"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dodávek elektrické energie za období od </w:t>
      </w:r>
      <w:r w:rsidR="00FA12FA" w:rsidRPr="00272775">
        <w:rPr>
          <w:rFonts w:cs="Times New Roman"/>
        </w:rPr>
        <w:t>01.01.2018 do 22.03.2018</w:t>
      </w:r>
      <w:r w:rsidR="00512111">
        <w:rPr>
          <w:rFonts w:cs="Times New Roman"/>
        </w:rPr>
        <w:t xml:space="preserve"> </w:t>
      </w:r>
      <w:r w:rsidRPr="00272775">
        <w:rPr>
          <w:rFonts w:cs="Times New Roman"/>
        </w:rPr>
        <w:t xml:space="preserve">od Objednatele. </w:t>
      </w:r>
    </w:p>
    <w:p w14:paraId="3BCC300C" w14:textId="2F3F8F1A"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údaje uvedené v dokumentu „FAKTURA - DAŇOVÝ DOKLAD Č. </w:t>
      </w:r>
      <w:r w:rsidRPr="00265E38">
        <w:rPr>
          <w:rFonts w:cs="Times New Roman"/>
        </w:rPr>
        <w:t>1901020833</w:t>
      </w:r>
      <w:r w:rsidRPr="00272775">
        <w:rPr>
          <w:rFonts w:cs="Times New Roman"/>
        </w:rPr>
        <w:t xml:space="preserve"> ZA SDRUŽENÉ</w:t>
      </w:r>
      <w:r w:rsidR="00512111">
        <w:rPr>
          <w:rFonts w:cs="Times New Roman"/>
        </w:rPr>
        <w:t xml:space="preserve"> </w:t>
      </w:r>
      <w:r w:rsidRPr="00272775">
        <w:rPr>
          <w:rFonts w:cs="Times New Roman"/>
        </w:rPr>
        <w:t xml:space="preserve">SLUŽBY DODÁVKY ELEKTŘINY“ ve výši </w:t>
      </w:r>
      <w:r w:rsidR="00265E38">
        <w:rPr>
          <w:rFonts w:cs="Times New Roman"/>
        </w:rPr>
        <w:t xml:space="preserve">224 426,87 </w:t>
      </w:r>
      <w:r w:rsidRPr="00272775">
        <w:rPr>
          <w:rFonts w:cs="Times New Roman"/>
        </w:rPr>
        <w:t>Kč jsou v souladu se skutečností.</w:t>
      </w:r>
    </w:p>
    <w:p w14:paraId="31546F28" w14:textId="6112437B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14:paraId="0F393078" w14:textId="77777777"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14:paraId="0051DE08" w14:textId="75A59797" w:rsidR="0011645D" w:rsidRPr="00272775" w:rsidRDefault="0011645D" w:rsidP="002B0AAB">
      <w:pPr>
        <w:keepNext/>
        <w:widowControl w:val="0"/>
        <w:spacing w:after="60"/>
        <w:ind w:left="709" w:hanging="349"/>
        <w:jc w:val="both"/>
        <w:rPr>
          <w:rFonts w:cstheme="minorHAnsi"/>
        </w:rPr>
      </w:pPr>
      <w:r w:rsidRPr="00272775">
        <w:rPr>
          <w:rFonts w:cstheme="minorHAnsi"/>
        </w:rPr>
        <w:t xml:space="preserve">1. Smluvní strany uzavírají z důvodu předejití jakýchkoliv sporů řešených soudní či jinou </w:t>
      </w:r>
      <w:r w:rsidR="00272775">
        <w:rPr>
          <w:rFonts w:cstheme="minorHAnsi"/>
        </w:rPr>
        <w:t xml:space="preserve">cestou dohodu o </w:t>
      </w:r>
      <w:r w:rsidRPr="00272775">
        <w:rPr>
          <w:rFonts w:cstheme="minorHAnsi"/>
        </w:rPr>
        <w:t>narovnání v následujícím rozsahu:</w:t>
      </w:r>
    </w:p>
    <w:p w14:paraId="70F3D911" w14:textId="0B766572" w:rsidR="00272775" w:rsidRPr="00272775" w:rsidRDefault="00272775" w:rsidP="002B0AAB">
      <w:pPr>
        <w:pStyle w:val="Odstavecseseznamem"/>
        <w:keepNext/>
        <w:widowControl w:val="0"/>
        <w:numPr>
          <w:ilvl w:val="0"/>
          <w:numId w:val="18"/>
        </w:numPr>
        <w:spacing w:after="60"/>
        <w:ind w:left="1134"/>
        <w:contextualSpacing w:val="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staví na jisto, že Objednatel uhradil Dodavateli již na „zálohách“ celkovou částku </w:t>
      </w:r>
      <w:r w:rsidRPr="00272775">
        <w:rPr>
          <w:rFonts w:cstheme="minorHAnsi"/>
        </w:rPr>
        <w:lastRenderedPageBreak/>
        <w:t xml:space="preserve">ve výši </w:t>
      </w:r>
      <w:r w:rsidR="00265E38" w:rsidRPr="00265E38">
        <w:rPr>
          <w:rFonts w:cstheme="minorHAnsi"/>
        </w:rPr>
        <w:t>46 253,</w:t>
      </w:r>
      <w:r w:rsidR="00265E38">
        <w:rPr>
          <w:rFonts w:cstheme="minorHAnsi"/>
        </w:rPr>
        <w:t>- Kč</w:t>
      </w:r>
      <w:r w:rsidRPr="00272775">
        <w:rPr>
          <w:rFonts w:cstheme="minorHAnsi"/>
        </w:rPr>
        <w:t xml:space="preserve"> </w:t>
      </w:r>
    </w:p>
    <w:p w14:paraId="0CB44862" w14:textId="28CA7203" w:rsidR="00B76655" w:rsidRDefault="0011645D" w:rsidP="002B0AAB">
      <w:pPr>
        <w:pStyle w:val="Odstavecseseznamem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cs="Times New Roman"/>
        </w:rPr>
      </w:pPr>
      <w:r w:rsidRPr="00272775">
        <w:rPr>
          <w:rFonts w:cstheme="minorHAnsi"/>
        </w:rPr>
        <w:t xml:space="preserve">Objednatel se zavazuje uhradit Dodavateli na účet uvedený v záhlaví této Smlouvy </w:t>
      </w:r>
      <w:r w:rsidR="00512111">
        <w:rPr>
          <w:rFonts w:cstheme="minorHAnsi"/>
        </w:rPr>
        <w:t xml:space="preserve">do 30.6.2019 </w:t>
      </w:r>
      <w:r w:rsidRPr="00272775">
        <w:rPr>
          <w:rFonts w:cstheme="minorHAnsi"/>
        </w:rPr>
        <w:t xml:space="preserve">částku ve výši </w:t>
      </w:r>
      <w:r w:rsidR="00265E38" w:rsidRPr="00265E38">
        <w:rPr>
          <w:rFonts w:cstheme="minorHAnsi"/>
        </w:rPr>
        <w:t>178 174</w:t>
      </w:r>
      <w:r w:rsidRPr="00272775">
        <w:rPr>
          <w:rFonts w:cstheme="minorHAnsi"/>
        </w:rPr>
        <w:t>,</w:t>
      </w:r>
      <w:r w:rsidR="00265E38">
        <w:rPr>
          <w:rFonts w:cstheme="minorHAnsi"/>
        </w:rPr>
        <w:t>-</w:t>
      </w:r>
      <w:r w:rsidRPr="00272775">
        <w:rPr>
          <w:rFonts w:cstheme="minorHAnsi"/>
        </w:rPr>
        <w:t xml:space="preserve"> a to z titulu </w:t>
      </w:r>
      <w:r w:rsidR="00FA12FA" w:rsidRPr="00272775">
        <w:rPr>
          <w:rFonts w:cstheme="minorHAnsi"/>
        </w:rPr>
        <w:t>vzniku svého bezdůvodného obohacení v důsledku odběru elektrické energie bez uzavřené Smlouvy, kdy neuza</w:t>
      </w:r>
      <w:r w:rsidR="00B76655">
        <w:rPr>
          <w:rFonts w:cstheme="minorHAnsi"/>
        </w:rPr>
        <w:t xml:space="preserve">vření Smlouvy zavinil </w:t>
      </w:r>
      <w:r w:rsidR="00512111">
        <w:rPr>
          <w:rFonts w:cstheme="minorHAnsi"/>
        </w:rPr>
        <w:t>Dlužník</w:t>
      </w:r>
      <w:r w:rsidR="00B76655">
        <w:rPr>
          <w:rFonts w:cstheme="minorHAnsi"/>
        </w:rPr>
        <w:t xml:space="preserve">, když </w:t>
      </w:r>
      <w:r w:rsidR="00B76655" w:rsidRPr="00B76655">
        <w:rPr>
          <w:rFonts w:cs="Times New Roman"/>
        </w:rPr>
        <w:t xml:space="preserve"> </w:t>
      </w:r>
      <w:r w:rsidR="00B76655">
        <w:rPr>
          <w:rFonts w:cs="Times New Roman"/>
        </w:rPr>
        <w:t>s</w:t>
      </w:r>
      <w:r w:rsidR="00B76655" w:rsidRPr="00272775">
        <w:rPr>
          <w:rFonts w:cs="Times New Roman"/>
        </w:rPr>
        <w:t>mluvní strany</w:t>
      </w:r>
      <w:r w:rsidR="00B76655">
        <w:rPr>
          <w:rFonts w:cs="Times New Roman"/>
        </w:rPr>
        <w:t xml:space="preserve"> vzájemně současně staví na jisto</w:t>
      </w:r>
      <w:r w:rsidR="00B76655" w:rsidRPr="00272775">
        <w:rPr>
          <w:rFonts w:cs="Times New Roman"/>
        </w:rPr>
        <w:t>, že veškerá vzájemně poskytnutá plnění</w:t>
      </w:r>
      <w:r w:rsidR="00B76655">
        <w:rPr>
          <w:rFonts w:cs="Times New Roman"/>
        </w:rPr>
        <w:t xml:space="preserve"> specifikovaná v příloze č. </w:t>
      </w:r>
      <w:r w:rsidR="00D251B9">
        <w:rPr>
          <w:rFonts w:cs="Times New Roman"/>
        </w:rPr>
        <w:t>1</w:t>
      </w:r>
      <w:r w:rsidR="00B76655">
        <w:rPr>
          <w:rFonts w:cs="Times New Roman"/>
        </w:rPr>
        <w:t xml:space="preserve"> této Dohody, </w:t>
      </w:r>
      <w:r w:rsidR="00B76655" w:rsidRPr="00272775">
        <w:rPr>
          <w:rFonts w:cs="Times New Roman"/>
        </w:rPr>
        <w:t xml:space="preserve"> </w:t>
      </w:r>
      <w:r w:rsidR="00B76655">
        <w:rPr>
          <w:rFonts w:cs="Times New Roman"/>
        </w:rPr>
        <w:t>byla vzájemně poskytnuta a že uhrazením specifikované částky dojde k narovnání veškerých právních vztahů ze stavu zaviněného D</w:t>
      </w:r>
      <w:r w:rsidR="00CE7C15">
        <w:rPr>
          <w:rFonts w:cs="Times New Roman"/>
        </w:rPr>
        <w:t>lužníkem</w:t>
      </w:r>
      <w:r w:rsidR="00B76655">
        <w:rPr>
          <w:rFonts w:cs="Times New Roman"/>
        </w:rPr>
        <w:t>.</w:t>
      </w:r>
      <w:r w:rsidR="00CE7C15">
        <w:rPr>
          <w:rFonts w:cs="Times New Roman"/>
        </w:rPr>
        <w:t xml:space="preserve"> Dodavatel nebude v případě včasné úhrady požadovat žádné úroky ani jiné poplatky z prodlení.</w:t>
      </w:r>
    </w:p>
    <w:p w14:paraId="7984937C" w14:textId="77777777" w:rsidR="005955D9" w:rsidRPr="00B76655" w:rsidRDefault="005955D9" w:rsidP="002B0AAB">
      <w:pPr>
        <w:pStyle w:val="Odstavecseseznamem"/>
        <w:spacing w:after="60"/>
        <w:ind w:left="1134"/>
        <w:contextualSpacing w:val="0"/>
        <w:jc w:val="both"/>
        <w:rPr>
          <w:rFonts w:cs="Times New Roman"/>
        </w:rPr>
      </w:pPr>
    </w:p>
    <w:p w14:paraId="194B3B9D" w14:textId="32BFA3CE" w:rsidR="00272775" w:rsidRPr="00272775" w:rsidRDefault="00272775" w:rsidP="002B0AAB">
      <w:pPr>
        <w:pStyle w:val="Odstavecseseznamem"/>
        <w:keepNext/>
        <w:widowControl w:val="0"/>
        <w:numPr>
          <w:ilvl w:val="0"/>
          <w:numId w:val="20"/>
        </w:numPr>
        <w:spacing w:after="60"/>
        <w:contextualSpacing w:val="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</w:t>
      </w:r>
      <w:r>
        <w:rPr>
          <w:rFonts w:cstheme="minorHAnsi"/>
        </w:rPr>
        <w:t xml:space="preserve">prohlašují, že tato dohoda je jediným možným způsobem, jakým lze v daný okamžik řešit vzniklý právní stav způsobený úpadkem </w:t>
      </w:r>
      <w:r w:rsidR="00CE7C15">
        <w:rPr>
          <w:rFonts w:cstheme="minorHAnsi"/>
        </w:rPr>
        <w:t>Dlužníka</w:t>
      </w:r>
      <w:r>
        <w:rPr>
          <w:rFonts w:cstheme="minorHAnsi"/>
        </w:rPr>
        <w:t>.</w:t>
      </w:r>
    </w:p>
    <w:p w14:paraId="5864820A" w14:textId="77777777" w:rsidR="00512111" w:rsidRDefault="00512111" w:rsidP="002B0AAB">
      <w:pPr>
        <w:spacing w:after="60"/>
        <w:jc w:val="center"/>
        <w:rPr>
          <w:rFonts w:cs="Times New Roman"/>
          <w:b/>
        </w:rPr>
      </w:pPr>
    </w:p>
    <w:p w14:paraId="248FEE14" w14:textId="7439719B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14:paraId="40AD376D" w14:textId="77777777"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14:paraId="32894A42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14:paraId="1F686AC7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14:paraId="51D80020" w14:textId="620DD6AA"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 xml:space="preserve">Tato dohoda o narovnání mezi smluvními stranami narovnává veškeré vztahy vyplývající z neuzavřené Smlouvy, tj. žádná ze stran již nebude moci činit </w:t>
      </w:r>
      <w:r w:rsidR="00B76655">
        <w:rPr>
          <w:rFonts w:cstheme="minorHAnsi"/>
        </w:rPr>
        <w:t xml:space="preserve">v budoucnu </w:t>
      </w:r>
      <w:r w:rsidRPr="00272775">
        <w:rPr>
          <w:rFonts w:cstheme="minorHAnsi"/>
        </w:rPr>
        <w:t>žádné nároky ve vztahu k dodávkám elektrické energie ze strany Dodavatele Objednateli za období od 01.01.2018 do 22.03.2018.</w:t>
      </w:r>
    </w:p>
    <w:p w14:paraId="6245708C" w14:textId="6D7C428C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14:paraId="7BB94F2F" w14:textId="77777777"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SMO. </w:t>
      </w:r>
    </w:p>
    <w:p w14:paraId="4CFC3C55" w14:textId="77777777"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14:paraId="5C340628" w14:textId="080D30DD" w:rsidR="00272775" w:rsidRPr="00272775" w:rsidRDefault="00272775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>
        <w:rPr>
          <w:rFonts w:cstheme="minorHAnsi"/>
        </w:rPr>
        <w:t>Nedílnou součástí této Dohody jsou následující přílohy:</w:t>
      </w:r>
    </w:p>
    <w:p w14:paraId="12D0BBAE" w14:textId="77777777" w:rsidR="00923086" w:rsidRDefault="00923086" w:rsidP="002B0AAB">
      <w:pPr>
        <w:spacing w:after="60"/>
        <w:jc w:val="both"/>
        <w:rPr>
          <w:rFonts w:cs="Times New Roman"/>
        </w:rPr>
      </w:pPr>
    </w:p>
    <w:p w14:paraId="242634DC" w14:textId="50E78EE9" w:rsidR="00D251B9" w:rsidRDefault="00053702" w:rsidP="002B0AAB">
      <w:pPr>
        <w:spacing w:after="60"/>
        <w:jc w:val="both"/>
      </w:pPr>
      <w:r w:rsidRPr="00272775">
        <w:rPr>
          <w:rFonts w:cs="Times New Roman"/>
        </w:rPr>
        <w:t xml:space="preserve">Příloha č. 1 – </w:t>
      </w:r>
      <w:r w:rsidR="00272775" w:rsidRPr="00272775">
        <w:rPr>
          <w:rFonts w:cs="Times New Roman"/>
        </w:rPr>
        <w:t>FAKTURA - DAŇOVÝ DOKLAD Č. 1901020833 ZA SDRUŽENÉ SLUŽBY DODÁVKY ELEKTŘINY</w:t>
      </w:r>
    </w:p>
    <w:p w14:paraId="6416C31D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6DCF0F8E" w14:textId="210B5629"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V Ostravě, dne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V</w:t>
      </w:r>
      <w:r w:rsidR="00CE7C15">
        <w:rPr>
          <w:rFonts w:cs="Times New Roman"/>
        </w:rPr>
        <w:t> Hradci Králové</w:t>
      </w:r>
      <w:r w:rsidR="00923086">
        <w:rPr>
          <w:rFonts w:cs="Times New Roman"/>
        </w:rPr>
        <w:t>,</w:t>
      </w:r>
      <w:r w:rsidR="00CE7C15">
        <w:rPr>
          <w:rFonts w:cs="Times New Roman"/>
        </w:rPr>
        <w:t xml:space="preserve"> dne</w:t>
      </w:r>
    </w:p>
    <w:p w14:paraId="704A1C9C" w14:textId="6CBCC62B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301E3702" w14:textId="77777777"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14:paraId="1EDB093B" w14:textId="53FDDA06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4CA1FDDB" w14:textId="77777777"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14:paraId="3B949CBE" w14:textId="27A56E26"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14:paraId="2C4C7247" w14:textId="3400FA08"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14:paraId="65C0FD58" w14:textId="3A09FD70"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Mgr. Michal Mariánek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="00272775" w:rsidRPr="00272775">
        <w:rPr>
          <w:rFonts w:cs="Times New Roman"/>
        </w:rPr>
        <w:t xml:space="preserve">Ing. David Jánošík,  </w:t>
      </w:r>
    </w:p>
    <w:p w14:paraId="1296A2B5" w14:textId="19030FD2"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ředitel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="00272775" w:rsidRPr="00272775">
        <w:rPr>
          <w:rFonts w:cs="Times New Roman"/>
        </w:rPr>
        <w:t>insolvenční správce</w:t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D1AB" w14:textId="77777777" w:rsidR="00D92FB5" w:rsidRDefault="00D92FB5" w:rsidP="000425BE">
      <w:pPr>
        <w:spacing w:after="0" w:line="240" w:lineRule="auto"/>
      </w:pPr>
      <w:r>
        <w:separator/>
      </w:r>
    </w:p>
  </w:endnote>
  <w:endnote w:type="continuationSeparator" w:id="0">
    <w:p w14:paraId="618A65F6" w14:textId="77777777" w:rsidR="00D92FB5" w:rsidRDefault="00D92FB5" w:rsidP="000425BE">
      <w:pPr>
        <w:spacing w:after="0" w:line="240" w:lineRule="auto"/>
      </w:pPr>
      <w:r>
        <w:continuationSeparator/>
      </w:r>
    </w:p>
  </w:endnote>
  <w:endnote w:type="continuationNotice" w:id="1">
    <w:p w14:paraId="7CD5D069" w14:textId="77777777" w:rsidR="00D92FB5" w:rsidRDefault="00D92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EE867E" w14:textId="3C9AB7A5"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Pr="004001CA">
              <w:rPr>
                <w:bCs/>
                <w:sz w:val="20"/>
                <w:szCs w:val="20"/>
              </w:rPr>
              <w:fldChar w:fldCharType="separate"/>
            </w:r>
            <w:r w:rsidR="00076603">
              <w:rPr>
                <w:bCs/>
                <w:noProof/>
                <w:sz w:val="20"/>
                <w:szCs w:val="20"/>
              </w:rPr>
              <w:t>3</w:t>
            </w:r>
            <w:r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Pr="004001CA">
              <w:rPr>
                <w:bCs/>
                <w:sz w:val="20"/>
                <w:szCs w:val="20"/>
              </w:rPr>
              <w:fldChar w:fldCharType="separate"/>
            </w:r>
            <w:r w:rsidR="00076603">
              <w:rPr>
                <w:bCs/>
                <w:noProof/>
                <w:sz w:val="20"/>
                <w:szCs w:val="20"/>
              </w:rPr>
              <w:t>3</w:t>
            </w:r>
            <w:r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97E220" w14:textId="77777777" w:rsidR="004001CA" w:rsidRDefault="004001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FC5E8" w14:textId="77777777" w:rsidR="00D92FB5" w:rsidRDefault="00D92FB5" w:rsidP="000425BE">
      <w:pPr>
        <w:spacing w:after="0" w:line="240" w:lineRule="auto"/>
      </w:pPr>
      <w:r>
        <w:separator/>
      </w:r>
    </w:p>
  </w:footnote>
  <w:footnote w:type="continuationSeparator" w:id="0">
    <w:p w14:paraId="3C8649DD" w14:textId="77777777" w:rsidR="00D92FB5" w:rsidRDefault="00D92FB5" w:rsidP="000425BE">
      <w:pPr>
        <w:spacing w:after="0" w:line="240" w:lineRule="auto"/>
      </w:pPr>
      <w:r>
        <w:continuationSeparator/>
      </w:r>
    </w:p>
  </w:footnote>
  <w:footnote w:type="continuationNotice" w:id="1">
    <w:p w14:paraId="6D452DAA" w14:textId="77777777" w:rsidR="00D92FB5" w:rsidRDefault="00D92F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12"/>
  </w:num>
  <w:num w:numId="13">
    <w:abstractNumId w:val="10"/>
  </w:num>
  <w:num w:numId="14">
    <w:abstractNumId w:val="0"/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6603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80960"/>
    <w:rsid w:val="00386B00"/>
    <w:rsid w:val="003931FB"/>
    <w:rsid w:val="003F380B"/>
    <w:rsid w:val="004001CA"/>
    <w:rsid w:val="00416B1D"/>
    <w:rsid w:val="0042172D"/>
    <w:rsid w:val="00447360"/>
    <w:rsid w:val="00455BE6"/>
    <w:rsid w:val="004918F9"/>
    <w:rsid w:val="004951D8"/>
    <w:rsid w:val="004B538A"/>
    <w:rsid w:val="004D7D90"/>
    <w:rsid w:val="00512111"/>
    <w:rsid w:val="00533DF5"/>
    <w:rsid w:val="005826C5"/>
    <w:rsid w:val="005955D9"/>
    <w:rsid w:val="005C43B7"/>
    <w:rsid w:val="005C50FE"/>
    <w:rsid w:val="0060005C"/>
    <w:rsid w:val="0060225F"/>
    <w:rsid w:val="00645C69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8077E9"/>
    <w:rsid w:val="00820335"/>
    <w:rsid w:val="00831D69"/>
    <w:rsid w:val="00842104"/>
    <w:rsid w:val="00883254"/>
    <w:rsid w:val="00891D56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B34EE7"/>
    <w:rsid w:val="00B44D23"/>
    <w:rsid w:val="00B50F8A"/>
    <w:rsid w:val="00B76655"/>
    <w:rsid w:val="00BA1775"/>
    <w:rsid w:val="00BE29DE"/>
    <w:rsid w:val="00C31C11"/>
    <w:rsid w:val="00C40933"/>
    <w:rsid w:val="00CA7E9C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92FB5"/>
    <w:rsid w:val="00DE6866"/>
    <w:rsid w:val="00E12EF9"/>
    <w:rsid w:val="00E23C42"/>
    <w:rsid w:val="00E433FE"/>
    <w:rsid w:val="00E86FEC"/>
    <w:rsid w:val="00EE2DE9"/>
    <w:rsid w:val="00F430A6"/>
    <w:rsid w:val="00F95B7A"/>
    <w:rsid w:val="00FA12FA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4B85E4D-B63D-4F8C-B017-C2124E46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E0BA-A305-46FC-8071-9E9B6BE7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Michal Mariánek</cp:lastModifiedBy>
  <cp:revision>2</cp:revision>
  <cp:lastPrinted>2019-06-06T06:00:00Z</cp:lastPrinted>
  <dcterms:created xsi:type="dcterms:W3CDTF">2019-06-14T08:46:00Z</dcterms:created>
  <dcterms:modified xsi:type="dcterms:W3CDTF">2019-06-14T08:46:00Z</dcterms:modified>
</cp:coreProperties>
</file>