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DE" w:rsidRDefault="006654C5">
      <w:pPr>
        <w:pStyle w:val="Bodytext20"/>
        <w:framePr w:wrap="none" w:vAnchor="page" w:hAnchor="page" w:x="935" w:y="656"/>
        <w:shd w:val="clear" w:color="auto" w:fill="auto"/>
        <w:spacing w:before="0"/>
      </w:pPr>
      <w:r>
        <w:t>Zhotovitel: Realitní a stavební společnost s r.o</w:t>
      </w:r>
    </w:p>
    <w:p w:rsidR="00E552DE" w:rsidRDefault="006654C5">
      <w:pPr>
        <w:pStyle w:val="Bodytext30"/>
        <w:framePr w:wrap="none" w:vAnchor="page" w:hAnchor="page" w:x="1507" w:y="427"/>
        <w:shd w:val="clear" w:color="auto" w:fill="auto"/>
        <w:ind w:left="5285"/>
      </w:pPr>
      <w:r>
        <w:t>Soupis prací - cenová nabídka</w:t>
      </w:r>
    </w:p>
    <w:p w:rsidR="00E552DE" w:rsidRDefault="006654C5">
      <w:pPr>
        <w:pStyle w:val="Heading110"/>
        <w:framePr w:wrap="none" w:vAnchor="page" w:hAnchor="page" w:x="1507" w:y="1133"/>
        <w:shd w:val="clear" w:color="auto" w:fill="FFFC3C"/>
        <w:spacing w:before="0"/>
      </w:pPr>
      <w:bookmarkStart w:id="0" w:name="bookmark0"/>
      <w:r>
        <w:t>Paiffyovský palác- Pražská konzervatoř - oprava vikýře II.křídlo, havarijní stav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7906"/>
        <w:gridCol w:w="2467"/>
        <w:gridCol w:w="1450"/>
        <w:gridCol w:w="1166"/>
      </w:tblGrid>
      <w:tr w:rsidR="00E552DE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4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 w:line="190" w:lineRule="exact"/>
            </w:pPr>
            <w:r>
              <w:rPr>
                <w:rStyle w:val="Bodytext285ptBold"/>
              </w:rPr>
              <w:t>č.p.</w:t>
            </w:r>
          </w:p>
        </w:tc>
        <w:tc>
          <w:tcPr>
            <w:tcW w:w="790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 w:line="190" w:lineRule="exact"/>
              <w:ind w:left="200"/>
            </w:pPr>
            <w:r>
              <w:rPr>
                <w:rStyle w:val="Bodytext285ptBold"/>
              </w:rPr>
              <w:t>název položky</w:t>
            </w:r>
          </w:p>
        </w:tc>
        <w:tc>
          <w:tcPr>
            <w:tcW w:w="2467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 w:line="190" w:lineRule="exact"/>
              <w:ind w:right="380"/>
              <w:jc w:val="right"/>
            </w:pPr>
            <w:r>
              <w:rPr>
                <w:rStyle w:val="Bodytext285ptBold"/>
              </w:rPr>
              <w:t>výměra mj</w:t>
            </w:r>
          </w:p>
        </w:tc>
        <w:tc>
          <w:tcPr>
            <w:tcW w:w="1450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 w:line="190" w:lineRule="exact"/>
              <w:ind w:right="40"/>
              <w:jc w:val="center"/>
            </w:pPr>
            <w:r>
              <w:rPr>
                <w:rStyle w:val="Bodytext285ptBold"/>
              </w:rPr>
              <w:t>cena/mj</w:t>
            </w:r>
          </w:p>
        </w:tc>
        <w:tc>
          <w:tcPr>
            <w:tcW w:w="116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85ptBold"/>
              </w:rPr>
              <w:t>celkem</w:t>
            </w:r>
          </w:p>
        </w:tc>
      </w:tr>
      <w:tr w:rsidR="00E552DE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44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</w:pPr>
            <w:r>
              <w:rPr>
                <w:rStyle w:val="Bodytext21"/>
              </w:rPr>
              <w:t>1.</w:t>
            </w:r>
          </w:p>
        </w:tc>
        <w:tc>
          <w:tcPr>
            <w:tcW w:w="790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200"/>
            </w:pPr>
            <w:r>
              <w:rPr>
                <w:rStyle w:val="Bodytext21"/>
              </w:rPr>
              <w:t>zajištění vikýře proti pádu do ulice</w:t>
            </w:r>
          </w:p>
        </w:tc>
        <w:tc>
          <w:tcPr>
            <w:tcW w:w="2467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1440"/>
            </w:pPr>
            <w:r>
              <w:rPr>
                <w:rStyle w:val="Bodytext21"/>
              </w:rPr>
              <w:t>1,00 kpl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40"/>
              <w:jc w:val="center"/>
            </w:pPr>
            <w:r>
              <w:rPr>
                <w:rStyle w:val="Bodytext21"/>
              </w:rPr>
              <w:t>10 500,00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10 500,00</w:t>
            </w:r>
          </w:p>
        </w:tc>
      </w:tr>
      <w:tr w:rsidR="00E552D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</w:pPr>
            <w:r>
              <w:rPr>
                <w:rStyle w:val="Bodytext21"/>
              </w:rPr>
              <w:t>2.</w:t>
            </w:r>
          </w:p>
        </w:tc>
        <w:tc>
          <w:tcPr>
            <w:tcW w:w="790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200"/>
            </w:pPr>
            <w:r>
              <w:rPr>
                <w:rStyle w:val="Bodytext21"/>
              </w:rPr>
              <w:t>Podstojkování storpního trámu , včetně nájmu a demontáže</w:t>
            </w:r>
          </w:p>
        </w:tc>
        <w:tc>
          <w:tcPr>
            <w:tcW w:w="2467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1440"/>
            </w:pPr>
            <w:r>
              <w:rPr>
                <w:rStyle w:val="Bodytext21"/>
              </w:rPr>
              <w:t>1,00 kpl</w:t>
            </w:r>
          </w:p>
        </w:tc>
        <w:tc>
          <w:tcPr>
            <w:tcW w:w="1450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40"/>
              <w:jc w:val="center"/>
            </w:pPr>
            <w:r>
              <w:rPr>
                <w:rStyle w:val="Bodytext21"/>
              </w:rPr>
              <w:t>12 650,00</w:t>
            </w:r>
          </w:p>
        </w:tc>
        <w:tc>
          <w:tcPr>
            <w:tcW w:w="116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12 650,00</w:t>
            </w:r>
          </w:p>
        </w:tc>
      </w:tr>
      <w:tr w:rsidR="00E552D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</w:pPr>
            <w:r>
              <w:rPr>
                <w:rStyle w:val="Bodytext21"/>
              </w:rPr>
              <w:t>3.</w:t>
            </w:r>
          </w:p>
        </w:tc>
        <w:tc>
          <w:tcPr>
            <w:tcW w:w="790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200"/>
            </w:pPr>
            <w:r>
              <w:rPr>
                <w:rStyle w:val="Bodytext21"/>
              </w:rPr>
              <w:t>Úprava podlahy pro podstojkování, včetně dodávky materiálu , nová dlažba, OSB</w:t>
            </w:r>
          </w:p>
        </w:tc>
        <w:tc>
          <w:tcPr>
            <w:tcW w:w="2467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380"/>
              <w:jc w:val="right"/>
            </w:pPr>
            <w:r>
              <w:rPr>
                <w:rStyle w:val="Bodytext21"/>
              </w:rPr>
              <w:t>10,00 m2</w:t>
            </w:r>
          </w:p>
        </w:tc>
        <w:tc>
          <w:tcPr>
            <w:tcW w:w="1450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40"/>
              <w:jc w:val="center"/>
            </w:pPr>
            <w:r>
              <w:rPr>
                <w:rStyle w:val="Bodytext21"/>
              </w:rPr>
              <w:t>3 650,00</w:t>
            </w:r>
          </w:p>
        </w:tc>
        <w:tc>
          <w:tcPr>
            <w:tcW w:w="116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36 500,00</w:t>
            </w:r>
          </w:p>
        </w:tc>
      </w:tr>
      <w:tr w:rsidR="00E552D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</w:pPr>
            <w:r>
              <w:rPr>
                <w:rStyle w:val="Bodytext21"/>
              </w:rPr>
              <w:t>4.</w:t>
            </w:r>
          </w:p>
        </w:tc>
        <w:tc>
          <w:tcPr>
            <w:tcW w:w="790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200"/>
            </w:pPr>
            <w:r>
              <w:rPr>
                <w:rStyle w:val="Bodytext21"/>
              </w:rPr>
              <w:t>Vybourání a obnažení pozednice</w:t>
            </w:r>
          </w:p>
        </w:tc>
        <w:tc>
          <w:tcPr>
            <w:tcW w:w="2467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1340"/>
            </w:pPr>
            <w:r>
              <w:rPr>
                <w:rStyle w:val="Bodytext21"/>
              </w:rPr>
              <w:t>60,00 hod</w:t>
            </w:r>
          </w:p>
        </w:tc>
        <w:tc>
          <w:tcPr>
            <w:tcW w:w="1450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200"/>
              <w:jc w:val="center"/>
            </w:pPr>
            <w:r>
              <w:rPr>
                <w:rStyle w:val="Bodytext21"/>
              </w:rPr>
              <w:t>350,00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21 000,00</w:t>
            </w:r>
          </w:p>
        </w:tc>
      </w:tr>
      <w:tr w:rsidR="00E552D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4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</w:pPr>
            <w:r>
              <w:rPr>
                <w:rStyle w:val="Bodytext21"/>
              </w:rPr>
              <w:t>5.</w:t>
            </w:r>
          </w:p>
        </w:tc>
        <w:tc>
          <w:tcPr>
            <w:tcW w:w="790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200"/>
            </w:pPr>
            <w:r>
              <w:rPr>
                <w:rStyle w:val="Bodytext21"/>
              </w:rPr>
              <w:t>Zpětně zazdění a omítka</w:t>
            </w:r>
          </w:p>
        </w:tc>
        <w:tc>
          <w:tcPr>
            <w:tcW w:w="2467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1340"/>
            </w:pPr>
            <w:r>
              <w:rPr>
                <w:rStyle w:val="Bodytext21"/>
              </w:rPr>
              <w:t>96,00 hod</w:t>
            </w:r>
          </w:p>
        </w:tc>
        <w:tc>
          <w:tcPr>
            <w:tcW w:w="1450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200"/>
              <w:jc w:val="center"/>
            </w:pPr>
            <w:r>
              <w:rPr>
                <w:rStyle w:val="Bodytext21"/>
              </w:rPr>
              <w:t>350,00</w:t>
            </w:r>
          </w:p>
        </w:tc>
        <w:tc>
          <w:tcPr>
            <w:tcW w:w="116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33 600,00</w:t>
            </w:r>
          </w:p>
        </w:tc>
      </w:tr>
      <w:tr w:rsidR="00E552D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</w:pPr>
            <w:r>
              <w:rPr>
                <w:rStyle w:val="Bodytext21"/>
              </w:rPr>
              <w:t>6.</w:t>
            </w:r>
          </w:p>
        </w:tc>
        <w:tc>
          <w:tcPr>
            <w:tcW w:w="790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200"/>
            </w:pPr>
            <w:r>
              <w:rPr>
                <w:rStyle w:val="Bodytext21"/>
              </w:rPr>
              <w:t>Dodávka materiálu</w:t>
            </w:r>
          </w:p>
        </w:tc>
        <w:tc>
          <w:tcPr>
            <w:tcW w:w="2467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380"/>
              <w:jc w:val="right"/>
            </w:pPr>
            <w:r>
              <w:rPr>
                <w:rStyle w:val="Bodytext21"/>
              </w:rPr>
              <w:t>1,00 kpl</w:t>
            </w:r>
          </w:p>
        </w:tc>
        <w:tc>
          <w:tcPr>
            <w:tcW w:w="1450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40"/>
              <w:jc w:val="center"/>
            </w:pPr>
            <w:r>
              <w:rPr>
                <w:rStyle w:val="Bodytext21"/>
              </w:rPr>
              <w:t>2 650,00</w:t>
            </w:r>
          </w:p>
        </w:tc>
        <w:tc>
          <w:tcPr>
            <w:tcW w:w="116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2 650,00</w:t>
            </w:r>
          </w:p>
        </w:tc>
      </w:tr>
      <w:tr w:rsidR="00E552D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4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</w:pPr>
            <w:r>
              <w:rPr>
                <w:rStyle w:val="Bodytext21"/>
              </w:rPr>
              <w:t>7.</w:t>
            </w:r>
          </w:p>
        </w:tc>
        <w:tc>
          <w:tcPr>
            <w:tcW w:w="790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200"/>
            </w:pPr>
            <w:r>
              <w:rPr>
                <w:rStyle w:val="Bodytext21"/>
              </w:rPr>
              <w:t>Tesařské práce, úprava krovu</w:t>
            </w:r>
          </w:p>
        </w:tc>
        <w:tc>
          <w:tcPr>
            <w:tcW w:w="2467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380"/>
              <w:jc w:val="right"/>
            </w:pPr>
            <w:r>
              <w:rPr>
                <w:rStyle w:val="Bodytext21"/>
              </w:rPr>
              <w:t>1,00 kpl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40"/>
              <w:jc w:val="center"/>
            </w:pPr>
            <w:r>
              <w:rPr>
                <w:rStyle w:val="Bodytext21"/>
              </w:rPr>
              <w:t>33 450,00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33 450,00</w:t>
            </w:r>
          </w:p>
        </w:tc>
      </w:tr>
      <w:tr w:rsidR="00E552D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4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</w:pPr>
            <w:r>
              <w:rPr>
                <w:rStyle w:val="Bodytext21"/>
              </w:rPr>
              <w:t>8.</w:t>
            </w:r>
          </w:p>
        </w:tc>
        <w:tc>
          <w:tcPr>
            <w:tcW w:w="790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200"/>
            </w:pPr>
            <w:r>
              <w:rPr>
                <w:rStyle w:val="Bodytext21"/>
              </w:rPr>
              <w:t>Dodávka řeziva</w:t>
            </w:r>
          </w:p>
        </w:tc>
        <w:tc>
          <w:tcPr>
            <w:tcW w:w="2467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380"/>
              <w:jc w:val="right"/>
            </w:pPr>
            <w:r>
              <w:rPr>
                <w:rStyle w:val="Bodytext21"/>
              </w:rPr>
              <w:t>1,00 kpl</w:t>
            </w:r>
          </w:p>
        </w:tc>
        <w:tc>
          <w:tcPr>
            <w:tcW w:w="1450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40"/>
              <w:jc w:val="center"/>
            </w:pPr>
            <w:r>
              <w:rPr>
                <w:rStyle w:val="Bodytext21"/>
              </w:rPr>
              <w:t>7 650,00</w:t>
            </w:r>
          </w:p>
        </w:tc>
        <w:tc>
          <w:tcPr>
            <w:tcW w:w="116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7 650,00</w:t>
            </w:r>
          </w:p>
        </w:tc>
      </w:tr>
      <w:tr w:rsidR="00E552D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4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</w:pPr>
            <w:r>
              <w:rPr>
                <w:rStyle w:val="Bodytext21"/>
              </w:rPr>
              <w:t>9.</w:t>
            </w:r>
          </w:p>
        </w:tc>
        <w:tc>
          <w:tcPr>
            <w:tcW w:w="790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200"/>
            </w:pPr>
            <w:r>
              <w:rPr>
                <w:rStyle w:val="Bodytext21"/>
              </w:rPr>
              <w:t xml:space="preserve">přesun hmot </w:t>
            </w:r>
            <w:r>
              <w:rPr>
                <w:rStyle w:val="Bodytext21"/>
              </w:rPr>
              <w:t>pro rekonstrukce</w:t>
            </w:r>
          </w:p>
        </w:tc>
        <w:tc>
          <w:tcPr>
            <w:tcW w:w="2467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1440"/>
            </w:pPr>
            <w:r>
              <w:rPr>
                <w:rStyle w:val="Bodytext21"/>
              </w:rPr>
              <w:t>2,46 t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200"/>
              <w:jc w:val="center"/>
            </w:pPr>
            <w:r>
              <w:rPr>
                <w:rStyle w:val="Bodytext21"/>
              </w:rPr>
              <w:t>950,00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2 337,00</w:t>
            </w:r>
          </w:p>
        </w:tc>
      </w:tr>
      <w:tr w:rsidR="00E552D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</w:pPr>
            <w:r>
              <w:rPr>
                <w:rStyle w:val="Bodytext21"/>
              </w:rPr>
              <w:t>10.</w:t>
            </w:r>
          </w:p>
        </w:tc>
        <w:tc>
          <w:tcPr>
            <w:tcW w:w="790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200"/>
            </w:pPr>
            <w:r>
              <w:rPr>
                <w:rStyle w:val="Bodytext21"/>
              </w:rPr>
              <w:t>přesun suti, odvoz a likvidace na skládce</w:t>
            </w:r>
          </w:p>
        </w:tc>
        <w:tc>
          <w:tcPr>
            <w:tcW w:w="2467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1440"/>
            </w:pPr>
            <w:r>
              <w:rPr>
                <w:rStyle w:val="Bodytext21"/>
              </w:rPr>
              <w:t>2,46 t</w:t>
            </w:r>
          </w:p>
        </w:tc>
        <w:tc>
          <w:tcPr>
            <w:tcW w:w="1450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40"/>
              <w:jc w:val="center"/>
            </w:pPr>
            <w:r>
              <w:rPr>
                <w:rStyle w:val="Bodytext21"/>
              </w:rPr>
              <w:t>1 650,00</w:t>
            </w:r>
          </w:p>
        </w:tc>
        <w:tc>
          <w:tcPr>
            <w:tcW w:w="116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4 059,00</w:t>
            </w:r>
          </w:p>
        </w:tc>
      </w:tr>
      <w:tr w:rsidR="00E552D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4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</w:pPr>
            <w:r>
              <w:rPr>
                <w:rStyle w:val="Bodytext21"/>
              </w:rPr>
              <w:t>11,</w:t>
            </w:r>
          </w:p>
        </w:tc>
        <w:tc>
          <w:tcPr>
            <w:tcW w:w="790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200"/>
            </w:pPr>
            <w:r>
              <w:rPr>
                <w:rStyle w:val="Bodytext21"/>
              </w:rPr>
              <w:t>spojovací a ochranné prostředky pro tesařské KCE</w:t>
            </w:r>
          </w:p>
        </w:tc>
        <w:tc>
          <w:tcPr>
            <w:tcW w:w="2467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380"/>
              <w:jc w:val="right"/>
            </w:pPr>
            <w:r>
              <w:rPr>
                <w:rStyle w:val="Bodytext21"/>
              </w:rPr>
              <w:t>1,00 kpl</w:t>
            </w:r>
          </w:p>
        </w:tc>
        <w:tc>
          <w:tcPr>
            <w:tcW w:w="1450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40"/>
              <w:jc w:val="center"/>
            </w:pPr>
            <w:r>
              <w:rPr>
                <w:rStyle w:val="Bodytext21"/>
              </w:rPr>
              <w:t>2 500,00</w:t>
            </w:r>
          </w:p>
        </w:tc>
        <w:tc>
          <w:tcPr>
            <w:tcW w:w="1166" w:type="dxa"/>
            <w:shd w:val="clear" w:color="auto" w:fill="FFFFFF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2 500,00</w:t>
            </w:r>
          </w:p>
        </w:tc>
      </w:tr>
      <w:tr w:rsidR="00E552D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4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</w:pPr>
            <w:r>
              <w:rPr>
                <w:rStyle w:val="Bodytext21"/>
              </w:rPr>
              <w:t>17.</w:t>
            </w:r>
          </w:p>
        </w:tc>
        <w:tc>
          <w:tcPr>
            <w:tcW w:w="790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200"/>
            </w:pPr>
            <w:r>
              <w:rPr>
                <w:rStyle w:val="Bodytext21"/>
              </w:rPr>
              <w:t>VRN,</w:t>
            </w:r>
          </w:p>
        </w:tc>
        <w:tc>
          <w:tcPr>
            <w:tcW w:w="2467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left="1440"/>
            </w:pPr>
            <w:r>
              <w:rPr>
                <w:rStyle w:val="Bodytext21"/>
              </w:rPr>
              <w:t>8,70 %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ind w:right="40"/>
              <w:jc w:val="center"/>
            </w:pPr>
            <w:r>
              <w:rPr>
                <w:rStyle w:val="Bodytext21"/>
              </w:rPr>
              <w:t>1 669,00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3435" w:h="3653" w:wrap="none" w:vAnchor="page" w:hAnchor="page" w:x="1507" w:y="15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14 520,30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7"/>
        <w:gridCol w:w="5909"/>
      </w:tblGrid>
      <w:tr w:rsidR="00E552DE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6907" w:type="dxa"/>
            <w:shd w:val="clear" w:color="auto" w:fill="FFFFFF"/>
          </w:tcPr>
          <w:p w:rsidR="00E552DE" w:rsidRDefault="006654C5">
            <w:pPr>
              <w:pStyle w:val="Bodytext20"/>
              <w:framePr w:w="12816" w:h="1262" w:wrap="none" w:vAnchor="page" w:hAnchor="page" w:x="2131" w:y="5736"/>
              <w:shd w:val="clear" w:color="auto" w:fill="auto"/>
              <w:spacing w:before="0"/>
            </w:pPr>
            <w:r>
              <w:rPr>
                <w:rStyle w:val="Bodytext21"/>
              </w:rPr>
              <w:t>Celkem součet bez DPH</w:t>
            </w:r>
          </w:p>
        </w:tc>
        <w:tc>
          <w:tcPr>
            <w:tcW w:w="5909" w:type="dxa"/>
            <w:shd w:val="clear" w:color="auto" w:fill="FFFFFF"/>
          </w:tcPr>
          <w:p w:rsidR="00E552DE" w:rsidRDefault="006654C5">
            <w:pPr>
              <w:pStyle w:val="Bodytext20"/>
              <w:framePr w:w="12816" w:h="1262" w:wrap="none" w:vAnchor="page" w:hAnchor="page" w:x="2131" w:y="57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181416,30</w:t>
            </w:r>
          </w:p>
        </w:tc>
      </w:tr>
      <w:tr w:rsidR="00E552D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6907" w:type="dxa"/>
            <w:shd w:val="clear" w:color="auto" w:fill="FFFFFF"/>
            <w:vAlign w:val="center"/>
          </w:tcPr>
          <w:p w:rsidR="00E552DE" w:rsidRDefault="006654C5">
            <w:pPr>
              <w:pStyle w:val="Bodytext20"/>
              <w:framePr w:w="12816" w:h="1262" w:wrap="none" w:vAnchor="page" w:hAnchor="page" w:x="2131" w:y="5736"/>
              <w:shd w:val="clear" w:color="auto" w:fill="auto"/>
              <w:spacing w:before="0"/>
            </w:pPr>
            <w:r>
              <w:rPr>
                <w:rStyle w:val="Bodytext21"/>
              </w:rPr>
              <w:t>DPH 21%</w:t>
            </w:r>
          </w:p>
        </w:tc>
        <w:tc>
          <w:tcPr>
            <w:tcW w:w="5909" w:type="dxa"/>
            <w:shd w:val="clear" w:color="auto" w:fill="FFFFFF"/>
            <w:vAlign w:val="center"/>
          </w:tcPr>
          <w:p w:rsidR="00E552DE" w:rsidRDefault="006654C5">
            <w:pPr>
              <w:pStyle w:val="Bodytext20"/>
              <w:framePr w:w="12816" w:h="1262" w:wrap="none" w:vAnchor="page" w:hAnchor="page" w:x="2131" w:y="57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38 097,50</w:t>
            </w:r>
          </w:p>
        </w:tc>
      </w:tr>
      <w:tr w:rsidR="00E552DE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907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2816" w:h="1262" w:wrap="none" w:vAnchor="page" w:hAnchor="page" w:x="2131" w:y="5736"/>
              <w:shd w:val="clear" w:color="auto" w:fill="auto"/>
              <w:spacing w:before="0"/>
            </w:pPr>
            <w:r>
              <w:rPr>
                <w:rStyle w:val="Bodytext21"/>
              </w:rPr>
              <w:t>Celkem včetně DPH</w:t>
            </w:r>
          </w:p>
        </w:tc>
        <w:tc>
          <w:tcPr>
            <w:tcW w:w="5909" w:type="dxa"/>
            <w:shd w:val="clear" w:color="auto" w:fill="FFFFFF"/>
            <w:vAlign w:val="bottom"/>
          </w:tcPr>
          <w:p w:rsidR="00E552DE" w:rsidRDefault="006654C5">
            <w:pPr>
              <w:pStyle w:val="Bodytext20"/>
              <w:framePr w:w="12816" w:h="1262" w:wrap="none" w:vAnchor="page" w:hAnchor="page" w:x="2131" w:y="5736"/>
              <w:shd w:val="clear" w:color="auto" w:fill="auto"/>
              <w:spacing w:before="0"/>
              <w:jc w:val="right"/>
            </w:pPr>
            <w:r>
              <w:rPr>
                <w:rStyle w:val="Bodytext21"/>
              </w:rPr>
              <w:t>219 513,80</w:t>
            </w:r>
          </w:p>
        </w:tc>
      </w:tr>
    </w:tbl>
    <w:p w:rsidR="00E552DE" w:rsidRDefault="006654C5">
      <w:pPr>
        <w:pStyle w:val="Bodytext20"/>
        <w:framePr w:wrap="none" w:vAnchor="page" w:hAnchor="page" w:x="2131" w:y="8077"/>
        <w:shd w:val="clear" w:color="auto" w:fill="auto"/>
        <w:spacing w:before="0"/>
      </w:pPr>
      <w:r>
        <w:t>V Brně dne 15.5.2019</w:t>
      </w:r>
    </w:p>
    <w:p w:rsidR="00E552DE" w:rsidRDefault="006654C5">
      <w:pPr>
        <w:pStyle w:val="Bodytext40"/>
        <w:framePr w:w="13675" w:h="739" w:hRule="exact" w:wrap="none" w:vAnchor="page" w:hAnchor="page" w:x="1507" w:y="7892"/>
        <w:shd w:val="clear" w:color="auto" w:fill="auto"/>
        <w:spacing w:before="0"/>
      </w:pPr>
      <w:r>
        <w:t>. .^J-aCNOSTSRO ^</w:t>
      </w:r>
    </w:p>
    <w:p w:rsidR="00E552DE" w:rsidRDefault="0070313D">
      <w:pPr>
        <w:pStyle w:val="Bodytext20"/>
        <w:framePr w:wrap="none" w:vAnchor="page" w:hAnchor="page" w:x="1507" w:y="9105"/>
        <w:shd w:val="clear" w:color="auto" w:fill="auto"/>
        <w:spacing w:before="0"/>
        <w:ind w:left="10780"/>
      </w:pPr>
      <w:r>
        <w:t>xxxxxxxxxxxxxxxxxxxxxxx, j</w:t>
      </w:r>
      <w:r w:rsidR="006654C5">
        <w:t>ednatel</w:t>
      </w:r>
    </w:p>
    <w:p w:rsidR="00E552DE" w:rsidRDefault="00E552DE">
      <w:pPr>
        <w:rPr>
          <w:sz w:val="2"/>
          <w:szCs w:val="2"/>
        </w:rPr>
      </w:pPr>
      <w:bookmarkStart w:id="1" w:name="_GoBack"/>
      <w:bookmarkEnd w:id="1"/>
    </w:p>
    <w:sectPr w:rsidR="00E552D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C5" w:rsidRDefault="006654C5">
      <w:r>
        <w:separator/>
      </w:r>
    </w:p>
  </w:endnote>
  <w:endnote w:type="continuationSeparator" w:id="0">
    <w:p w:rsidR="006654C5" w:rsidRDefault="0066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C5" w:rsidRDefault="006654C5"/>
  </w:footnote>
  <w:footnote w:type="continuationSeparator" w:id="0">
    <w:p w:rsidR="006654C5" w:rsidRDefault="006654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DE"/>
    <w:rsid w:val="00455AA1"/>
    <w:rsid w:val="006654C5"/>
    <w:rsid w:val="0070313D"/>
    <w:rsid w:val="00E32754"/>
    <w:rsid w:val="00E5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A5D7"/>
  <w15:docId w15:val="{794A7AF9-C64D-4683-B343-A62F7FCF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85ptBold">
    <w:name w:val="Body text|2 + 8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86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240"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860" w:line="122" w:lineRule="exact"/>
      <w:jc w:val="right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Vimrová</dc:creator>
  <cp:lastModifiedBy>Hana Vimrová</cp:lastModifiedBy>
  <cp:revision>3</cp:revision>
  <dcterms:created xsi:type="dcterms:W3CDTF">2019-06-08T08:51:00Z</dcterms:created>
  <dcterms:modified xsi:type="dcterms:W3CDTF">2019-06-08T08:51:00Z</dcterms:modified>
</cp:coreProperties>
</file>