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7259"/>
      </w:tblGrid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760E5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</w:t>
            </w:r>
            <w:r w:rsidR="00760E5E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Kaplice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EA3E5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Náměstí 70, Kaplice  </w:t>
            </w:r>
            <w:r w:rsidR="00646556" w:rsidRPr="00E1787D">
              <w:rPr>
                <w:rFonts w:asciiTheme="majorHAnsi" w:hAnsiTheme="majorHAnsi"/>
                <w:sz w:val="20"/>
                <w:szCs w:val="20"/>
              </w:rPr>
              <w:t xml:space="preserve"> PSČ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382 41 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IČO: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8A794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00245941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0764E5" w:rsidRDefault="00DC3B26" w:rsidP="00EA3E5B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Zastoupená:</w:t>
            </w:r>
          </w:p>
        </w:tc>
        <w:tc>
          <w:tcPr>
            <w:tcW w:w="160" w:type="dxa"/>
          </w:tcPr>
          <w:p w:rsidR="00DC3B26" w:rsidRPr="00E1787D" w:rsidRDefault="00DC3B26" w:rsidP="000764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0764E5" w:rsidRDefault="00C86B2A" w:rsidP="008A7946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C86B2A">
              <w:rPr>
                <w:rFonts w:asciiTheme="majorHAnsi" w:hAnsiTheme="majorHAnsi" w:cs="Arial"/>
                <w:sz w:val="20"/>
                <w:szCs w:val="20"/>
              </w:rPr>
              <w:t>Mgr. Pavel TALÍŘ, starosta</w:t>
            </w:r>
          </w:p>
        </w:tc>
      </w:tr>
      <w:tr w:rsidR="00DC3B26" w:rsidRPr="00E1787D" w:rsidTr="008A7946">
        <w:trPr>
          <w:trHeight w:val="244"/>
        </w:trPr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DC3B26" w:rsidP="008A794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b/>
                <w:sz w:val="20"/>
                <w:szCs w:val="20"/>
              </w:rPr>
              <w:t>objednatel</w:t>
            </w:r>
          </w:p>
        </w:tc>
      </w:tr>
    </w:tbl>
    <w:p w:rsidR="00DC3B26" w:rsidRPr="00E1787D" w:rsidRDefault="00DC3B26" w:rsidP="00DC3B26">
      <w:pPr>
        <w:pStyle w:val="Zhlav"/>
        <w:tabs>
          <w:tab w:val="clear" w:pos="4536"/>
          <w:tab w:val="clear" w:pos="9072"/>
          <w:tab w:val="left" w:pos="6237"/>
        </w:tabs>
        <w:jc w:val="both"/>
        <w:rPr>
          <w:rFonts w:asciiTheme="majorHAnsi" w:hAnsiTheme="majorHAnsi" w:cs="Cambria"/>
          <w:sz w:val="20"/>
          <w:szCs w:val="20"/>
        </w:rPr>
      </w:pPr>
    </w:p>
    <w:p w:rsidR="00DC3B26" w:rsidRPr="00E1787D" w:rsidRDefault="00DC3B26" w:rsidP="00DC3B26">
      <w:pPr>
        <w:ind w:left="1440"/>
        <w:rPr>
          <w:rFonts w:asciiTheme="majorHAnsi" w:hAnsiTheme="majorHAnsi" w:cs="Cambria"/>
          <w:sz w:val="20"/>
          <w:szCs w:val="20"/>
        </w:rPr>
      </w:pPr>
      <w:r w:rsidRPr="00E1787D">
        <w:rPr>
          <w:rFonts w:asciiTheme="majorHAnsi" w:hAnsiTheme="majorHAnsi" w:cs="Cambria"/>
          <w:sz w:val="20"/>
          <w:szCs w:val="20"/>
        </w:rPr>
        <w:t>a</w:t>
      </w:r>
    </w:p>
    <w:p w:rsidR="00DC3B26" w:rsidRPr="00E1787D" w:rsidRDefault="00DC3B26" w:rsidP="00DC3B26">
      <w:pPr>
        <w:pStyle w:val="Zhlav"/>
        <w:tabs>
          <w:tab w:val="clear" w:pos="4536"/>
          <w:tab w:val="clear" w:pos="9072"/>
          <w:tab w:val="left" w:pos="6237"/>
        </w:tabs>
        <w:jc w:val="both"/>
        <w:rPr>
          <w:rFonts w:asciiTheme="majorHAnsi" w:hAnsiTheme="majorHAnsi" w:cs="Cambria"/>
          <w:sz w:val="20"/>
          <w:szCs w:val="20"/>
        </w:rPr>
      </w:pPr>
    </w:p>
    <w:tbl>
      <w:tblPr>
        <w:tblW w:w="9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7259"/>
      </w:tblGrid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Společnost: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8A794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PEO s.r.o.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Sídlo: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8A794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Ráveň 2 , Střítež          </w:t>
            </w:r>
            <w:r w:rsidRPr="00E1787D">
              <w:rPr>
                <w:rFonts w:asciiTheme="majorHAnsi" w:hAnsiTheme="majorHAnsi"/>
                <w:sz w:val="20"/>
                <w:szCs w:val="20"/>
              </w:rPr>
              <w:t xml:space="preserve">PSČ </w:t>
            </w:r>
            <w:r>
              <w:rPr>
                <w:rFonts w:asciiTheme="majorHAnsi" w:hAnsiTheme="majorHAnsi"/>
                <w:sz w:val="20"/>
                <w:szCs w:val="20"/>
              </w:rPr>
              <w:t>382 41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IČO: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8A794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05668654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Zápis v OR: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F004FA" w:rsidP="006E7A0D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Krajský soud v ČB</w:t>
            </w:r>
            <w:r w:rsidR="006E7A0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, odd. vložka: C25666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Zastoupena: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6E7A0D" w:rsidP="008A7946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Jaroslav Prommer , tel. 607748865</w:t>
            </w:r>
          </w:p>
        </w:tc>
      </w:tr>
      <w:tr w:rsidR="00DC3B26" w:rsidRPr="00E1787D" w:rsidTr="008A7946">
        <w:tc>
          <w:tcPr>
            <w:tcW w:w="177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sz w:val="20"/>
                <w:szCs w:val="20"/>
              </w:rPr>
              <w:t>Dále též jen:</w:t>
            </w:r>
          </w:p>
        </w:tc>
        <w:tc>
          <w:tcPr>
            <w:tcW w:w="160" w:type="dxa"/>
          </w:tcPr>
          <w:p w:rsidR="00DC3B26" w:rsidRPr="00E1787D" w:rsidRDefault="00DC3B26" w:rsidP="008A7946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259" w:type="dxa"/>
          </w:tcPr>
          <w:p w:rsidR="00DC3B26" w:rsidRPr="00E1787D" w:rsidRDefault="00DC3B26" w:rsidP="008A794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1787D">
              <w:rPr>
                <w:rFonts w:asciiTheme="majorHAnsi" w:hAnsiTheme="majorHAnsi" w:cs="Arial"/>
                <w:b/>
                <w:sz w:val="20"/>
                <w:szCs w:val="20"/>
              </w:rPr>
              <w:t>dodavatel</w:t>
            </w:r>
          </w:p>
        </w:tc>
      </w:tr>
    </w:tbl>
    <w:p w:rsidR="00DC3B26" w:rsidRPr="00E1787D" w:rsidRDefault="00DC3B26" w:rsidP="00DC3B26">
      <w:pPr>
        <w:jc w:val="both"/>
        <w:rPr>
          <w:rFonts w:asciiTheme="majorHAnsi" w:hAnsiTheme="majorHAnsi" w:cs="Cambria"/>
          <w:sz w:val="20"/>
          <w:szCs w:val="20"/>
        </w:rPr>
      </w:pPr>
    </w:p>
    <w:p w:rsidR="00DC3B26" w:rsidRPr="00E1787D" w:rsidRDefault="00DC3B26" w:rsidP="00DC3B26">
      <w:pPr>
        <w:jc w:val="both"/>
        <w:rPr>
          <w:rFonts w:asciiTheme="majorHAnsi" w:hAnsiTheme="majorHAnsi" w:cs="Arial"/>
          <w:sz w:val="20"/>
          <w:szCs w:val="20"/>
        </w:rPr>
      </w:pPr>
      <w:r w:rsidRPr="00E1787D">
        <w:rPr>
          <w:rFonts w:asciiTheme="majorHAnsi" w:hAnsiTheme="majorHAnsi" w:cs="Arial"/>
          <w:sz w:val="20"/>
          <w:szCs w:val="20"/>
        </w:rPr>
        <w:t xml:space="preserve">uzavírají níže uvedeného dne, měsíce a roku na základě úplné a bezvýhradné shody o všech dále uvedených ustanoveních v souladu s § </w:t>
      </w:r>
      <w:r w:rsidR="009D47FF" w:rsidRPr="00E1787D">
        <w:rPr>
          <w:rFonts w:asciiTheme="majorHAnsi" w:hAnsiTheme="majorHAnsi" w:cs="Arial"/>
          <w:sz w:val="20"/>
          <w:szCs w:val="20"/>
        </w:rPr>
        <w:t>1746</w:t>
      </w:r>
      <w:r w:rsidRPr="00E1787D">
        <w:rPr>
          <w:rFonts w:asciiTheme="majorHAnsi" w:hAnsiTheme="majorHAnsi" w:cs="Arial"/>
          <w:sz w:val="20"/>
          <w:szCs w:val="20"/>
        </w:rPr>
        <w:t xml:space="preserve"> odst. 2 ob</w:t>
      </w:r>
      <w:r w:rsidR="009D47FF" w:rsidRPr="00E1787D">
        <w:rPr>
          <w:rFonts w:asciiTheme="majorHAnsi" w:hAnsiTheme="majorHAnsi" w:cs="Arial"/>
          <w:sz w:val="20"/>
          <w:szCs w:val="20"/>
        </w:rPr>
        <w:t>čanského</w:t>
      </w:r>
      <w:r w:rsidRPr="00E1787D">
        <w:rPr>
          <w:rFonts w:asciiTheme="majorHAnsi" w:hAnsiTheme="majorHAnsi" w:cs="Arial"/>
          <w:sz w:val="20"/>
          <w:szCs w:val="20"/>
        </w:rPr>
        <w:t xml:space="preserve"> zákoníku tuto</w:t>
      </w:r>
    </w:p>
    <w:p w:rsidR="00DC3B26" w:rsidRPr="009F0A2A" w:rsidRDefault="00DC3B26" w:rsidP="00DC3B26">
      <w:pPr>
        <w:jc w:val="both"/>
        <w:rPr>
          <w:rFonts w:asciiTheme="majorHAnsi" w:hAnsiTheme="majorHAnsi" w:cs="Arial"/>
        </w:rPr>
      </w:pPr>
    </w:p>
    <w:p w:rsidR="00DC3B26" w:rsidRPr="009F0A2A" w:rsidRDefault="00DC3B26" w:rsidP="00DC3B26">
      <w:pPr>
        <w:jc w:val="both"/>
        <w:rPr>
          <w:rFonts w:asciiTheme="majorHAnsi" w:hAnsiTheme="majorHAnsi" w:cs="Arial"/>
        </w:rPr>
      </w:pPr>
    </w:p>
    <w:p w:rsidR="009F0A2A" w:rsidRPr="009F0A2A" w:rsidRDefault="00BE39FA" w:rsidP="00DC3B26">
      <w:pPr>
        <w:jc w:val="center"/>
        <w:rPr>
          <w:rFonts w:asciiTheme="majorHAnsi" w:hAnsiTheme="majorHAnsi" w:cs="Arial"/>
          <w:b/>
          <w:bCs/>
        </w:rPr>
      </w:pPr>
      <w:r w:rsidRPr="009F0A2A">
        <w:rPr>
          <w:rFonts w:asciiTheme="majorHAnsi" w:hAnsiTheme="majorHAnsi" w:cs="Arial"/>
          <w:b/>
          <w:bCs/>
        </w:rPr>
        <w:t xml:space="preserve">smlouvu na zajištění servisní činnosti zahrnující funkční zkoušky a kontroly </w:t>
      </w:r>
    </w:p>
    <w:p w:rsidR="00DC3B26" w:rsidRPr="009F0A2A" w:rsidRDefault="00BE39FA" w:rsidP="00DC3B26">
      <w:pPr>
        <w:jc w:val="center"/>
        <w:rPr>
          <w:rFonts w:asciiTheme="majorHAnsi" w:hAnsiTheme="majorHAnsi" w:cs="Arial"/>
          <w:b/>
          <w:bCs/>
        </w:rPr>
      </w:pPr>
      <w:r w:rsidRPr="009F0A2A">
        <w:rPr>
          <w:rFonts w:asciiTheme="majorHAnsi" w:hAnsiTheme="majorHAnsi" w:cs="Arial"/>
          <w:b/>
          <w:bCs/>
        </w:rPr>
        <w:t>provozuschopnosti EPS a ER</w:t>
      </w:r>
      <w:r w:rsidR="0064346F">
        <w:rPr>
          <w:rFonts w:asciiTheme="majorHAnsi" w:hAnsiTheme="majorHAnsi" w:cs="Arial"/>
          <w:b/>
          <w:bCs/>
        </w:rPr>
        <w:t>O</w:t>
      </w:r>
    </w:p>
    <w:p w:rsidR="00DC3B26" w:rsidRPr="00E1787D" w:rsidRDefault="00DC3B26" w:rsidP="00DC3B26">
      <w:pPr>
        <w:jc w:val="center"/>
        <w:rPr>
          <w:rFonts w:asciiTheme="majorHAnsi" w:hAnsiTheme="majorHAnsi" w:cs="Arial"/>
          <w:sz w:val="20"/>
          <w:szCs w:val="20"/>
        </w:rPr>
      </w:pPr>
    </w:p>
    <w:p w:rsidR="00DC3B26" w:rsidRPr="00E1787D" w:rsidRDefault="00DC3B26" w:rsidP="00DC3B26">
      <w:pPr>
        <w:ind w:left="283" w:hanging="283"/>
        <w:jc w:val="both"/>
        <w:rPr>
          <w:rFonts w:asciiTheme="majorHAnsi" w:hAnsiTheme="majorHAnsi"/>
          <w:b/>
          <w:sz w:val="20"/>
          <w:szCs w:val="20"/>
        </w:rPr>
      </w:pPr>
    </w:p>
    <w:p w:rsidR="00DC3B26" w:rsidRPr="00E1787D" w:rsidRDefault="00DC3B26" w:rsidP="00DC3B26">
      <w:pPr>
        <w:tabs>
          <w:tab w:val="center" w:pos="4536"/>
        </w:tabs>
        <w:ind w:left="283" w:hanging="283"/>
        <w:jc w:val="both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ab/>
      </w:r>
      <w:r w:rsidRPr="00E1787D">
        <w:rPr>
          <w:rFonts w:asciiTheme="majorHAnsi" w:hAnsiTheme="majorHAnsi"/>
          <w:b/>
          <w:sz w:val="20"/>
          <w:szCs w:val="20"/>
        </w:rPr>
        <w:tab/>
        <w:t>I.</w:t>
      </w:r>
    </w:p>
    <w:p w:rsidR="00DC3B26" w:rsidRPr="00E1787D" w:rsidRDefault="00DC3B26" w:rsidP="00DC3B26">
      <w:pPr>
        <w:tabs>
          <w:tab w:val="center" w:pos="4536"/>
        </w:tabs>
        <w:ind w:left="283" w:hanging="283"/>
        <w:jc w:val="both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ab/>
      </w:r>
      <w:r w:rsidRPr="00E1787D">
        <w:rPr>
          <w:rFonts w:asciiTheme="majorHAnsi" w:hAnsiTheme="majorHAnsi"/>
          <w:b/>
          <w:sz w:val="20"/>
          <w:szCs w:val="20"/>
        </w:rPr>
        <w:tab/>
        <w:t>Předmět plnění</w:t>
      </w:r>
    </w:p>
    <w:p w:rsidR="00DC3B26" w:rsidRPr="00E1787D" w:rsidRDefault="00DC3B26" w:rsidP="00DC3B26">
      <w:pPr>
        <w:tabs>
          <w:tab w:val="center" w:pos="4536"/>
        </w:tabs>
        <w:ind w:left="283" w:hanging="283"/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E1787D">
      <w:pPr>
        <w:pStyle w:val="pornochrana"/>
      </w:pPr>
      <w:r w:rsidRPr="00E1787D">
        <w:t xml:space="preserve">Tato smlouva se týká podnikatelské činnosti smluvních stran. Smluvní strany potvrzují a prohlašují, že jsou plně oprávněny k uzavření této smlouvy jednajícími osobami a k její realizaci. 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Dodavatel se zavazuje poskytovat Objednateli následující práce a služby (dále jen „Předmět plnění“):</w:t>
      </w:r>
    </w:p>
    <w:p w:rsidR="00031DEA" w:rsidRDefault="00031DEA" w:rsidP="00DC3B26">
      <w:pPr>
        <w:ind w:left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Dodavatel se zavazuje zajistit spolehlivou funkci, hospodárný provoz a maximální životnost elektronických zabezpečovacích systémů v objektu objednatele.</w:t>
      </w:r>
    </w:p>
    <w:p w:rsidR="00DC3B26" w:rsidRDefault="00BE39FA" w:rsidP="00031DEA">
      <w:pPr>
        <w:pStyle w:val="pornochrana"/>
      </w:pPr>
      <w:r w:rsidRPr="00E1787D">
        <w:t>Dodavatel se touto smlouvou zavazuje, že bude provádět funkční zkoušky v termínech stanovených v </w:t>
      </w:r>
      <w:r w:rsidR="00E1787D" w:rsidRPr="00E1787D">
        <w:rPr>
          <w:rStyle w:val="Siln"/>
        </w:rPr>
        <w:t>TNI 33 4591-3</w:t>
      </w:r>
      <w:r w:rsidRPr="00E1787D">
        <w:t>, případně dalších normativních dokumentech, pozáruční servis a běžnou údržbu vyplývající z běžného opotřebení poplachových systémů a zařízení</w:t>
      </w:r>
      <w:r w:rsidR="00031DEA">
        <w:t>.</w:t>
      </w:r>
      <w:r w:rsidR="00DC3B26" w:rsidRPr="00E1787D">
        <w:t xml:space="preserve"> </w:t>
      </w:r>
    </w:p>
    <w:p w:rsidR="00254BF7" w:rsidRPr="00E1787D" w:rsidRDefault="009D3A1E" w:rsidP="00031DEA">
      <w:pPr>
        <w:pStyle w:val="pornochrana"/>
      </w:pPr>
      <w:r>
        <w:t>Zabezpečovací systémy objednatele jsou</w:t>
      </w:r>
      <w:r w:rsidR="00254BF7">
        <w:t xml:space="preserve"> dále popsán</w:t>
      </w:r>
      <w:r>
        <w:t>y</w:t>
      </w:r>
      <w:r w:rsidR="00254BF7">
        <w:t xml:space="preserve"> v  </w:t>
      </w:r>
      <w:r w:rsidR="00254BF7" w:rsidRPr="00254BF7">
        <w:rPr>
          <w:b/>
        </w:rPr>
        <w:t>přílo</w:t>
      </w:r>
      <w:r w:rsidR="00254BF7">
        <w:rPr>
          <w:b/>
        </w:rPr>
        <w:t>ze</w:t>
      </w:r>
      <w:r w:rsidR="00254BF7" w:rsidRPr="00254BF7">
        <w:rPr>
          <w:b/>
        </w:rPr>
        <w:t xml:space="preserve"> č. 1 </w:t>
      </w:r>
      <w:r w:rsidR="00254BF7">
        <w:t xml:space="preserve">„ „ </w:t>
      </w:r>
      <w:r w:rsidR="0064346F">
        <w:t>Doklad o montáži, funkční zkoušce a k</w:t>
      </w:r>
      <w:r w:rsidR="00254BF7">
        <w:t xml:space="preserve">ontrola provozuschopnosti“, které jsou nedílnou součástí této smlouvy.  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Předmět plnění bude realizován: v provozní jednotce:</w:t>
      </w:r>
    </w:p>
    <w:p w:rsidR="00DC3B26" w:rsidRDefault="0064346F" w:rsidP="00DC3B26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Kulturní dům Kaplice</w:t>
      </w:r>
      <w:r w:rsidR="00DC3B26" w:rsidRPr="00E1787D">
        <w:rPr>
          <w:rFonts w:asciiTheme="majorHAnsi" w:hAnsiTheme="majorHAnsi"/>
          <w:b/>
          <w:sz w:val="20"/>
          <w:szCs w:val="20"/>
        </w:rPr>
        <w:t xml:space="preserve">: </w:t>
      </w:r>
      <w:r w:rsidR="00DC3B26" w:rsidRPr="00E1787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Linecká 305</w:t>
      </w:r>
      <w:r w:rsidR="00DC3B26" w:rsidRPr="00E1787D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382 41 Kaplice</w:t>
      </w:r>
    </w:p>
    <w:p w:rsidR="00031DEA" w:rsidRPr="00031DEA" w:rsidRDefault="00031DEA" w:rsidP="00031DEA">
      <w:pPr>
        <w:pStyle w:val="sluby"/>
        <w:tabs>
          <w:tab w:val="clear" w:pos="720"/>
        </w:tabs>
        <w:ind w:left="1788" w:firstLine="336"/>
        <w:rPr>
          <w:rFonts w:asciiTheme="majorHAnsi" w:hAnsiTheme="majorHAnsi"/>
          <w:sz w:val="20"/>
          <w:szCs w:val="20"/>
        </w:rPr>
      </w:pPr>
      <w:r w:rsidRPr="00031DEA">
        <w:rPr>
          <w:rFonts w:asciiTheme="majorHAnsi" w:hAnsiTheme="majorHAnsi"/>
          <w:sz w:val="20"/>
          <w:szCs w:val="20"/>
        </w:rPr>
        <w:t>Elektrická požární signalizace (EPS)</w:t>
      </w:r>
      <w:r w:rsidR="00D15BB6">
        <w:rPr>
          <w:rFonts w:asciiTheme="majorHAnsi" w:hAnsiTheme="majorHAnsi"/>
          <w:sz w:val="20"/>
          <w:szCs w:val="20"/>
        </w:rPr>
        <w:t xml:space="preserve"> – rozvodna sálu 2NP</w:t>
      </w:r>
    </w:p>
    <w:p w:rsidR="00031DEA" w:rsidRPr="00031DEA" w:rsidRDefault="00031DEA" w:rsidP="00031DEA">
      <w:pPr>
        <w:pStyle w:val="sluby"/>
        <w:tabs>
          <w:tab w:val="clear" w:pos="720"/>
        </w:tabs>
        <w:ind w:left="1452" w:firstLine="672"/>
        <w:rPr>
          <w:rFonts w:asciiTheme="majorHAnsi" w:hAnsiTheme="majorHAnsi"/>
          <w:sz w:val="20"/>
          <w:szCs w:val="20"/>
        </w:rPr>
      </w:pPr>
      <w:r w:rsidRPr="00031DEA">
        <w:rPr>
          <w:rFonts w:asciiTheme="majorHAnsi" w:hAnsiTheme="majorHAnsi"/>
          <w:sz w:val="20"/>
          <w:szCs w:val="20"/>
        </w:rPr>
        <w:t>Evakuační rozhlas (ER</w:t>
      </w:r>
      <w:r w:rsidR="00345BBF">
        <w:rPr>
          <w:rFonts w:asciiTheme="majorHAnsi" w:hAnsiTheme="majorHAnsi"/>
          <w:sz w:val="20"/>
          <w:szCs w:val="20"/>
        </w:rPr>
        <w:t>O</w:t>
      </w:r>
      <w:r w:rsidRPr="00031DEA">
        <w:rPr>
          <w:rFonts w:asciiTheme="majorHAnsi" w:hAnsiTheme="majorHAnsi"/>
          <w:sz w:val="20"/>
          <w:szCs w:val="20"/>
        </w:rPr>
        <w:t>)</w:t>
      </w:r>
      <w:r w:rsidR="00D15BB6" w:rsidRPr="00D15BB6">
        <w:rPr>
          <w:rFonts w:asciiTheme="majorHAnsi" w:hAnsiTheme="majorHAnsi"/>
          <w:sz w:val="20"/>
          <w:szCs w:val="20"/>
        </w:rPr>
        <w:t xml:space="preserve"> </w:t>
      </w:r>
      <w:r w:rsidR="00D15BB6">
        <w:rPr>
          <w:rFonts w:asciiTheme="majorHAnsi" w:hAnsiTheme="majorHAnsi"/>
          <w:sz w:val="20"/>
          <w:szCs w:val="20"/>
        </w:rPr>
        <w:t>– rozvodna sálu 2NP</w:t>
      </w:r>
    </w:p>
    <w:p w:rsidR="00DC3B26" w:rsidRPr="00E1787D" w:rsidRDefault="00254BF7" w:rsidP="00254BF7">
      <w:pPr>
        <w:pStyle w:val="pornochrana"/>
      </w:pPr>
      <w:r>
        <w:t>Společný</w:t>
      </w:r>
      <w:r w:rsidR="00E537B2">
        <w:t xml:space="preserve">m cílem obou smluvních stran je zajištění provozuschopnosti </w:t>
      </w:r>
      <w:r>
        <w:t xml:space="preserve">komplexního bezpečnostního systému dle podmínek pojišťoven, případně dalších subjektů s cílem maximálně předcházet škodám. </w:t>
      </w:r>
    </w:p>
    <w:p w:rsidR="00643F15" w:rsidRDefault="00DC3B26" w:rsidP="00DC3B26">
      <w:pPr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 </w:t>
      </w:r>
      <w:r w:rsidRPr="00E1787D">
        <w:rPr>
          <w:rFonts w:asciiTheme="majorHAnsi" w:hAnsiTheme="majorHAnsi"/>
          <w:sz w:val="20"/>
          <w:szCs w:val="20"/>
        </w:rPr>
        <w:tab/>
      </w:r>
    </w:p>
    <w:p w:rsidR="00DC3B26" w:rsidRPr="00E1787D" w:rsidRDefault="00DC3B26" w:rsidP="00643F15">
      <w:pPr>
        <w:tabs>
          <w:tab w:val="center" w:pos="4536"/>
        </w:tabs>
        <w:jc w:val="center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>II.</w:t>
      </w:r>
    </w:p>
    <w:p w:rsidR="00DC3B26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 xml:space="preserve">  </w:t>
      </w:r>
      <w:r w:rsidRPr="00E1787D">
        <w:rPr>
          <w:rFonts w:asciiTheme="majorHAnsi" w:hAnsiTheme="majorHAnsi"/>
          <w:b/>
          <w:sz w:val="20"/>
          <w:szCs w:val="20"/>
        </w:rPr>
        <w:tab/>
        <w:t>Termín plnění</w:t>
      </w:r>
    </w:p>
    <w:p w:rsidR="00DC3B26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031DEA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031DEA">
        <w:rPr>
          <w:rFonts w:asciiTheme="majorHAnsi" w:hAnsiTheme="majorHAnsi"/>
          <w:sz w:val="20"/>
          <w:szCs w:val="20"/>
        </w:rPr>
        <w:t xml:space="preserve">Předmět plnění bude realizován od data účinnosti této smlouvy, tj. od </w:t>
      </w:r>
      <w:r w:rsidR="00345BBF">
        <w:rPr>
          <w:rFonts w:asciiTheme="majorHAnsi" w:hAnsiTheme="majorHAnsi"/>
          <w:b/>
          <w:sz w:val="20"/>
          <w:szCs w:val="20"/>
        </w:rPr>
        <w:t>2</w:t>
      </w:r>
      <w:r w:rsidR="00E07E19">
        <w:rPr>
          <w:rFonts w:asciiTheme="majorHAnsi" w:hAnsiTheme="majorHAnsi"/>
          <w:b/>
          <w:sz w:val="20"/>
          <w:szCs w:val="20"/>
        </w:rPr>
        <w:t>.</w:t>
      </w:r>
      <w:r w:rsidR="00345BBF">
        <w:rPr>
          <w:rFonts w:asciiTheme="majorHAnsi" w:hAnsiTheme="majorHAnsi"/>
          <w:b/>
          <w:sz w:val="20"/>
          <w:szCs w:val="20"/>
        </w:rPr>
        <w:t>5</w:t>
      </w:r>
      <w:r w:rsidR="00E07E19">
        <w:rPr>
          <w:rFonts w:asciiTheme="majorHAnsi" w:hAnsiTheme="majorHAnsi"/>
          <w:b/>
          <w:sz w:val="20"/>
          <w:szCs w:val="20"/>
        </w:rPr>
        <w:t>.201</w:t>
      </w:r>
      <w:r w:rsidR="00345BBF">
        <w:rPr>
          <w:rFonts w:asciiTheme="majorHAnsi" w:hAnsiTheme="majorHAnsi"/>
          <w:b/>
          <w:sz w:val="20"/>
          <w:szCs w:val="20"/>
        </w:rPr>
        <w:t>9</w:t>
      </w:r>
    </w:p>
    <w:p w:rsidR="00DC3B26" w:rsidRDefault="00031DEA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Termíny funkčních zkoušek a kontrol jsou následující a dodavatel je bude evidovat ve svém informačním systému a vždy s dostatečným časovým předstihem s objednatelem termín upřesní:</w:t>
      </w:r>
    </w:p>
    <w:p w:rsidR="00031DEA" w:rsidRPr="00E537B2" w:rsidRDefault="00031DEA" w:rsidP="00031DEA">
      <w:pPr>
        <w:pStyle w:val="sluby"/>
        <w:numPr>
          <w:ilvl w:val="0"/>
          <w:numId w:val="2"/>
        </w:numPr>
        <w:rPr>
          <w:rFonts w:asciiTheme="majorHAnsi" w:hAnsiTheme="majorHAnsi"/>
          <w:b/>
          <w:sz w:val="20"/>
          <w:szCs w:val="20"/>
        </w:rPr>
      </w:pPr>
      <w:r w:rsidRPr="00E537B2">
        <w:rPr>
          <w:rFonts w:asciiTheme="majorHAnsi" w:hAnsiTheme="majorHAnsi"/>
          <w:b/>
          <w:sz w:val="20"/>
          <w:szCs w:val="20"/>
        </w:rPr>
        <w:t>Kontrola provozuschopnosti EPS – 1 x za půl roku</w:t>
      </w:r>
    </w:p>
    <w:p w:rsidR="00031DEA" w:rsidRPr="00E537B2" w:rsidRDefault="00031DEA" w:rsidP="00031DEA">
      <w:pPr>
        <w:pStyle w:val="sluby"/>
        <w:numPr>
          <w:ilvl w:val="0"/>
          <w:numId w:val="2"/>
        </w:numPr>
        <w:rPr>
          <w:rFonts w:asciiTheme="majorHAnsi" w:hAnsiTheme="majorHAnsi"/>
          <w:b/>
          <w:sz w:val="20"/>
          <w:szCs w:val="20"/>
        </w:rPr>
      </w:pPr>
      <w:r w:rsidRPr="00E537B2">
        <w:rPr>
          <w:rFonts w:asciiTheme="majorHAnsi" w:hAnsiTheme="majorHAnsi"/>
          <w:b/>
          <w:sz w:val="20"/>
          <w:szCs w:val="20"/>
        </w:rPr>
        <w:t>Prohlídka Evakuačního ozvučení – 1 x za rok</w:t>
      </w:r>
    </w:p>
    <w:p w:rsidR="00031DEA" w:rsidRPr="00E537B2" w:rsidRDefault="00031DEA" w:rsidP="00031DEA">
      <w:pPr>
        <w:pStyle w:val="sluby"/>
        <w:numPr>
          <w:ilvl w:val="0"/>
          <w:numId w:val="2"/>
        </w:numPr>
        <w:rPr>
          <w:rFonts w:asciiTheme="majorHAnsi" w:hAnsiTheme="majorHAnsi"/>
          <w:b/>
          <w:sz w:val="20"/>
          <w:szCs w:val="20"/>
        </w:rPr>
      </w:pPr>
      <w:r w:rsidRPr="00E537B2">
        <w:rPr>
          <w:rFonts w:asciiTheme="majorHAnsi" w:hAnsiTheme="majorHAnsi"/>
          <w:b/>
          <w:sz w:val="20"/>
          <w:szCs w:val="20"/>
        </w:rPr>
        <w:t>Pravidelná revize</w:t>
      </w:r>
      <w:r w:rsidR="00345BBF">
        <w:rPr>
          <w:rFonts w:asciiTheme="majorHAnsi" w:hAnsiTheme="majorHAnsi"/>
          <w:b/>
          <w:sz w:val="20"/>
          <w:szCs w:val="20"/>
        </w:rPr>
        <w:t xml:space="preserve"> ( funkční zkouška )</w:t>
      </w:r>
      <w:r w:rsidRPr="00E537B2">
        <w:rPr>
          <w:rFonts w:asciiTheme="majorHAnsi" w:hAnsiTheme="majorHAnsi"/>
          <w:b/>
          <w:sz w:val="20"/>
          <w:szCs w:val="20"/>
        </w:rPr>
        <w:t xml:space="preserve"> EPS – 1 x za rok </w:t>
      </w:r>
    </w:p>
    <w:p w:rsidR="00DC3B26" w:rsidRDefault="00031DEA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Dodavatel o provedených činnostech vždy vyhotoví zápis, který předá objednateli ve lhůtě </w:t>
      </w:r>
      <w:r w:rsidR="00E07E19">
        <w:rPr>
          <w:rFonts w:asciiTheme="majorHAnsi" w:hAnsiTheme="majorHAnsi"/>
          <w:sz w:val="20"/>
          <w:szCs w:val="20"/>
        </w:rPr>
        <w:t xml:space="preserve">do </w:t>
      </w:r>
      <w:r w:rsidR="00EA4A0E">
        <w:rPr>
          <w:rFonts w:asciiTheme="majorHAnsi" w:hAnsiTheme="majorHAnsi"/>
          <w:sz w:val="20"/>
          <w:szCs w:val="20"/>
        </w:rPr>
        <w:t>10</w:t>
      </w:r>
      <w:r w:rsidR="00E07E19">
        <w:rPr>
          <w:rFonts w:asciiTheme="majorHAnsi" w:hAnsiTheme="majorHAnsi"/>
          <w:sz w:val="20"/>
          <w:szCs w:val="20"/>
        </w:rPr>
        <w:t xml:space="preserve"> dnů od data ukončení plánované zkoušky , revize .</w:t>
      </w:r>
    </w:p>
    <w:p w:rsidR="00031DEA" w:rsidRDefault="00031DEA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Termíny funkčních zkoušek a kontrol provozuschopnosti budou rovnoměrně rozvrženy v průběhu kalendářního roku.</w:t>
      </w:r>
    </w:p>
    <w:p w:rsidR="00031DEA" w:rsidRDefault="00031DEA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V rámci funkčních zkoušek a kontrol provozuschopnosti je dodavatel povinen uskutečnit také odstranění drobných závad.</w:t>
      </w:r>
      <w:r w:rsidR="00ED6CAD">
        <w:rPr>
          <w:rFonts w:asciiTheme="majorHAnsi" w:hAnsiTheme="majorHAnsi"/>
          <w:sz w:val="20"/>
          <w:szCs w:val="20"/>
        </w:rPr>
        <w:t xml:space="preserve"> V případě nutného výjezdu k opravě či jiného důvodu budou objednateli účtovány sazby dle článku III. této smlouvy. </w:t>
      </w:r>
    </w:p>
    <w:p w:rsidR="00031DEA" w:rsidRDefault="00254BF7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Objednatel se zavazuje poskytnout nutnou součinnosti a uhradit cenu za poskytnuté plnění.</w:t>
      </w:r>
    </w:p>
    <w:p w:rsidR="00DC3B26" w:rsidRPr="00E1787D" w:rsidRDefault="00DC3B26" w:rsidP="00DC3B26">
      <w:pPr>
        <w:tabs>
          <w:tab w:val="center" w:pos="4536"/>
        </w:tabs>
        <w:ind w:left="283"/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b/>
          <w:sz w:val="20"/>
          <w:szCs w:val="20"/>
        </w:rPr>
        <w:t>III.</w:t>
      </w:r>
    </w:p>
    <w:p w:rsidR="00DC3B26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 xml:space="preserve"> </w:t>
      </w:r>
      <w:r w:rsidRPr="00E1787D">
        <w:rPr>
          <w:rFonts w:asciiTheme="majorHAnsi" w:hAnsiTheme="majorHAnsi"/>
          <w:b/>
          <w:sz w:val="20"/>
          <w:szCs w:val="20"/>
        </w:rPr>
        <w:tab/>
        <w:t xml:space="preserve">Ceny </w:t>
      </w:r>
      <w:r w:rsidR="00BD3E7F" w:rsidRPr="00E1787D">
        <w:rPr>
          <w:rFonts w:asciiTheme="majorHAnsi" w:hAnsiTheme="majorHAnsi"/>
          <w:b/>
          <w:sz w:val="20"/>
          <w:szCs w:val="20"/>
        </w:rPr>
        <w:t>za plnění</w:t>
      </w:r>
    </w:p>
    <w:p w:rsidR="00DC3B26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BD3E7F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Smluvní strany se dohodly úhradě za provádění Předmětu plnění</w:t>
      </w:r>
      <w:r w:rsidR="00BD3E7F" w:rsidRPr="00E1787D">
        <w:rPr>
          <w:rFonts w:asciiTheme="majorHAnsi" w:hAnsiTheme="majorHAnsi"/>
          <w:sz w:val="20"/>
          <w:szCs w:val="20"/>
        </w:rPr>
        <w:t xml:space="preserve"> takto:</w:t>
      </w:r>
    </w:p>
    <w:p w:rsidR="00BD3E7F" w:rsidRPr="00CA6C81" w:rsidRDefault="00BD3E7F" w:rsidP="00BD3E7F">
      <w:pPr>
        <w:pStyle w:val="sluby"/>
        <w:tabs>
          <w:tab w:val="clear" w:pos="720"/>
        </w:tabs>
        <w:ind w:hanging="12"/>
        <w:rPr>
          <w:rFonts w:asciiTheme="majorHAnsi" w:hAnsiTheme="majorHAnsi"/>
          <w:b/>
          <w:sz w:val="20"/>
          <w:szCs w:val="20"/>
        </w:rPr>
      </w:pPr>
      <w:r w:rsidRPr="00CA6C81">
        <w:rPr>
          <w:rFonts w:asciiTheme="majorHAnsi" w:hAnsiTheme="majorHAnsi"/>
          <w:b/>
          <w:sz w:val="20"/>
          <w:szCs w:val="20"/>
        </w:rPr>
        <w:t>EPS</w:t>
      </w:r>
    </w:p>
    <w:p w:rsidR="00BD3E7F" w:rsidRPr="00E1787D" w:rsidRDefault="008C7C44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Kontrola provozuschopnosti</w:t>
      </w:r>
      <w:r w:rsidR="00BD3E7F" w:rsidRPr="00E1787D">
        <w:rPr>
          <w:rFonts w:asciiTheme="majorHAnsi" w:hAnsiTheme="majorHAnsi"/>
          <w:sz w:val="20"/>
          <w:szCs w:val="20"/>
        </w:rPr>
        <w:t xml:space="preserve"> EPS – 1 x za půl rok</w:t>
      </w:r>
      <w:r>
        <w:rPr>
          <w:rFonts w:asciiTheme="majorHAnsi" w:hAnsiTheme="majorHAnsi"/>
          <w:sz w:val="20"/>
          <w:szCs w:val="20"/>
        </w:rPr>
        <w:t>u</w:t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4B304A">
        <w:rPr>
          <w:rFonts w:asciiTheme="majorHAnsi" w:hAnsiTheme="majorHAnsi"/>
          <w:sz w:val="20"/>
          <w:szCs w:val="20"/>
        </w:rPr>
        <w:t>1</w:t>
      </w:r>
      <w:r w:rsidR="00CA6C81">
        <w:rPr>
          <w:rFonts w:asciiTheme="majorHAnsi" w:hAnsiTheme="majorHAnsi"/>
          <w:sz w:val="20"/>
          <w:szCs w:val="20"/>
        </w:rPr>
        <w:t>4</w:t>
      </w:r>
      <w:r w:rsidR="004B304A">
        <w:rPr>
          <w:rFonts w:asciiTheme="majorHAnsi" w:hAnsiTheme="majorHAnsi"/>
          <w:sz w:val="20"/>
          <w:szCs w:val="20"/>
        </w:rPr>
        <w:t>.</w:t>
      </w:r>
      <w:r w:rsidR="00CA6C81">
        <w:rPr>
          <w:rFonts w:asciiTheme="majorHAnsi" w:hAnsiTheme="majorHAnsi"/>
          <w:sz w:val="20"/>
          <w:szCs w:val="20"/>
        </w:rPr>
        <w:t>000</w:t>
      </w:r>
      <w:r w:rsidR="00BF719D">
        <w:rPr>
          <w:rFonts w:asciiTheme="majorHAnsi" w:hAnsiTheme="majorHAnsi"/>
          <w:sz w:val="20"/>
          <w:szCs w:val="20"/>
        </w:rPr>
        <w:t>,-Kč</w:t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BD3E7F" w:rsidRPr="00E1787D">
        <w:rPr>
          <w:rFonts w:asciiTheme="majorHAnsi" w:hAnsiTheme="majorHAnsi"/>
          <w:sz w:val="20"/>
          <w:szCs w:val="20"/>
        </w:rPr>
        <w:tab/>
      </w:r>
    </w:p>
    <w:p w:rsidR="00DC3B26" w:rsidRPr="00E1787D" w:rsidRDefault="00BD3E7F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Revize </w:t>
      </w:r>
      <w:r w:rsidR="000764E5">
        <w:rPr>
          <w:rFonts w:asciiTheme="majorHAnsi" w:hAnsiTheme="majorHAnsi"/>
          <w:sz w:val="20"/>
          <w:szCs w:val="20"/>
        </w:rPr>
        <w:t>( funkční zkouška )</w:t>
      </w:r>
      <w:r w:rsidRPr="00E1787D">
        <w:rPr>
          <w:rFonts w:asciiTheme="majorHAnsi" w:hAnsiTheme="majorHAnsi"/>
          <w:sz w:val="20"/>
          <w:szCs w:val="20"/>
        </w:rPr>
        <w:t xml:space="preserve"> zařízení EPS – 1x ročně</w:t>
      </w:r>
      <w:r w:rsidR="004D4CE3" w:rsidRPr="00E1787D">
        <w:rPr>
          <w:rFonts w:asciiTheme="majorHAnsi" w:hAnsiTheme="majorHAnsi"/>
          <w:sz w:val="20"/>
          <w:szCs w:val="20"/>
        </w:rPr>
        <w:t xml:space="preserve"> </w:t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="004B304A">
        <w:rPr>
          <w:rFonts w:asciiTheme="majorHAnsi" w:hAnsiTheme="majorHAnsi"/>
          <w:sz w:val="20"/>
          <w:szCs w:val="20"/>
        </w:rPr>
        <w:t>2</w:t>
      </w:r>
      <w:r w:rsidR="00CA6C81">
        <w:rPr>
          <w:rFonts w:asciiTheme="majorHAnsi" w:hAnsiTheme="majorHAnsi"/>
          <w:sz w:val="20"/>
          <w:szCs w:val="20"/>
        </w:rPr>
        <w:t>0</w:t>
      </w:r>
      <w:r w:rsidR="004B304A">
        <w:rPr>
          <w:rFonts w:asciiTheme="majorHAnsi" w:hAnsiTheme="majorHAnsi"/>
          <w:sz w:val="20"/>
          <w:szCs w:val="20"/>
        </w:rPr>
        <w:t>.000</w:t>
      </w:r>
      <w:r w:rsidR="00BF719D">
        <w:rPr>
          <w:rFonts w:asciiTheme="majorHAnsi" w:hAnsiTheme="majorHAnsi"/>
          <w:sz w:val="20"/>
          <w:szCs w:val="20"/>
        </w:rPr>
        <w:t>,-Kč</w:t>
      </w:r>
      <w:r w:rsidRPr="00E1787D">
        <w:rPr>
          <w:rFonts w:asciiTheme="majorHAnsi" w:hAnsiTheme="majorHAnsi"/>
          <w:sz w:val="20"/>
          <w:szCs w:val="20"/>
        </w:rPr>
        <w:tab/>
      </w:r>
    </w:p>
    <w:p w:rsidR="00BD3E7F" w:rsidRPr="00E1787D" w:rsidRDefault="00BD3E7F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Hodinová sazba technika</w:t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="00BF719D">
        <w:rPr>
          <w:rFonts w:asciiTheme="majorHAnsi" w:hAnsiTheme="majorHAnsi"/>
          <w:sz w:val="20"/>
          <w:szCs w:val="20"/>
        </w:rPr>
        <w:t>3</w:t>
      </w:r>
      <w:r w:rsidR="00CA6C81">
        <w:rPr>
          <w:rFonts w:asciiTheme="majorHAnsi" w:hAnsiTheme="majorHAnsi"/>
          <w:sz w:val="20"/>
          <w:szCs w:val="20"/>
        </w:rPr>
        <w:t>5</w:t>
      </w:r>
      <w:r w:rsidR="00BF719D">
        <w:rPr>
          <w:rFonts w:asciiTheme="majorHAnsi" w:hAnsiTheme="majorHAnsi"/>
          <w:sz w:val="20"/>
          <w:szCs w:val="20"/>
        </w:rPr>
        <w:t>0,-Kč</w:t>
      </w:r>
      <w:r w:rsidRPr="00E1787D">
        <w:rPr>
          <w:rFonts w:asciiTheme="majorHAnsi" w:hAnsiTheme="majorHAnsi"/>
          <w:sz w:val="20"/>
          <w:szCs w:val="20"/>
        </w:rPr>
        <w:tab/>
      </w:r>
    </w:p>
    <w:p w:rsidR="00BD3E7F" w:rsidRPr="00E1787D" w:rsidRDefault="00BD3E7F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Sazba za 1 km dopravy </w:t>
      </w:r>
      <w:r w:rsidR="00CA6C81">
        <w:rPr>
          <w:rFonts w:asciiTheme="majorHAnsi" w:hAnsiTheme="majorHAnsi"/>
          <w:sz w:val="20"/>
          <w:szCs w:val="20"/>
        </w:rPr>
        <w:tab/>
      </w:r>
      <w:r w:rsidR="00CA6C81">
        <w:rPr>
          <w:rFonts w:asciiTheme="majorHAnsi" w:hAnsiTheme="majorHAnsi"/>
          <w:sz w:val="20"/>
          <w:szCs w:val="20"/>
        </w:rPr>
        <w:tab/>
      </w:r>
      <w:r w:rsidR="00CA6C81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="00CA6C81">
        <w:rPr>
          <w:rFonts w:asciiTheme="majorHAnsi" w:hAnsiTheme="majorHAnsi"/>
          <w:sz w:val="20"/>
          <w:szCs w:val="20"/>
        </w:rPr>
        <w:t>10</w:t>
      </w:r>
      <w:r w:rsidR="00BF719D">
        <w:rPr>
          <w:rFonts w:asciiTheme="majorHAnsi" w:hAnsiTheme="majorHAnsi"/>
          <w:sz w:val="20"/>
          <w:szCs w:val="20"/>
        </w:rPr>
        <w:t>,-Kč/km</w:t>
      </w:r>
      <w:r w:rsidRPr="00E1787D">
        <w:rPr>
          <w:rFonts w:asciiTheme="majorHAnsi" w:hAnsiTheme="majorHAnsi"/>
          <w:sz w:val="20"/>
          <w:szCs w:val="20"/>
        </w:rPr>
        <w:tab/>
      </w:r>
    </w:p>
    <w:p w:rsidR="00BD3E7F" w:rsidRPr="00CA6C81" w:rsidRDefault="00BD3E7F" w:rsidP="00BD3E7F">
      <w:pPr>
        <w:pStyle w:val="sluby"/>
        <w:tabs>
          <w:tab w:val="clear" w:pos="720"/>
        </w:tabs>
        <w:ind w:firstLine="0"/>
        <w:rPr>
          <w:rFonts w:asciiTheme="majorHAnsi" w:hAnsiTheme="majorHAnsi"/>
          <w:b/>
          <w:sz w:val="20"/>
          <w:szCs w:val="20"/>
        </w:rPr>
      </w:pPr>
      <w:r w:rsidRPr="00CA6C81">
        <w:rPr>
          <w:rFonts w:asciiTheme="majorHAnsi" w:hAnsiTheme="majorHAnsi"/>
          <w:b/>
          <w:sz w:val="20"/>
          <w:szCs w:val="20"/>
        </w:rPr>
        <w:t>E</w:t>
      </w:r>
      <w:r w:rsidR="00CA6C81" w:rsidRPr="00CA6C81">
        <w:rPr>
          <w:rFonts w:asciiTheme="majorHAnsi" w:hAnsiTheme="majorHAnsi"/>
          <w:b/>
          <w:sz w:val="20"/>
          <w:szCs w:val="20"/>
        </w:rPr>
        <w:t>RO</w:t>
      </w:r>
    </w:p>
    <w:p w:rsidR="00BD3E7F" w:rsidRPr="00E1787D" w:rsidRDefault="00CA6C81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Kontrola</w:t>
      </w:r>
      <w:r w:rsidR="00BD3E7F" w:rsidRPr="00E1787D">
        <w:rPr>
          <w:rFonts w:asciiTheme="majorHAnsi" w:hAnsiTheme="majorHAnsi"/>
          <w:sz w:val="20"/>
          <w:szCs w:val="20"/>
        </w:rPr>
        <w:t xml:space="preserve"> provozuschopnosti ER</w:t>
      </w:r>
      <w:r>
        <w:rPr>
          <w:rFonts w:asciiTheme="majorHAnsi" w:hAnsiTheme="majorHAnsi"/>
          <w:sz w:val="20"/>
          <w:szCs w:val="20"/>
        </w:rPr>
        <w:t>O</w:t>
      </w:r>
      <w:r w:rsidR="00BD3E7F" w:rsidRPr="00E1787D">
        <w:rPr>
          <w:rFonts w:asciiTheme="majorHAnsi" w:hAnsiTheme="majorHAnsi"/>
          <w:sz w:val="20"/>
          <w:szCs w:val="20"/>
        </w:rPr>
        <w:t xml:space="preserve"> – 1 x ročně</w:t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BD3E7F" w:rsidRPr="00E1787D">
        <w:rPr>
          <w:rFonts w:asciiTheme="majorHAnsi" w:hAnsiTheme="majorHAnsi"/>
          <w:sz w:val="20"/>
          <w:szCs w:val="20"/>
        </w:rPr>
        <w:tab/>
      </w:r>
      <w:r w:rsidR="00D923F1">
        <w:rPr>
          <w:rFonts w:asciiTheme="majorHAnsi" w:hAnsiTheme="majorHAnsi"/>
          <w:sz w:val="20"/>
          <w:szCs w:val="20"/>
        </w:rPr>
        <w:t>20.000,-Kč</w:t>
      </w:r>
      <w:r w:rsidR="00BD3E7F" w:rsidRPr="00E1787D">
        <w:rPr>
          <w:rFonts w:asciiTheme="majorHAnsi" w:hAnsiTheme="majorHAnsi"/>
          <w:sz w:val="20"/>
          <w:szCs w:val="20"/>
        </w:rPr>
        <w:tab/>
      </w:r>
    </w:p>
    <w:p w:rsidR="00BD3E7F" w:rsidRPr="00E1787D" w:rsidRDefault="00BD3E7F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Hodinová sazba technika</w:t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="00D923F1">
        <w:rPr>
          <w:rFonts w:asciiTheme="majorHAnsi" w:hAnsiTheme="majorHAnsi"/>
          <w:sz w:val="20"/>
          <w:szCs w:val="20"/>
        </w:rPr>
        <w:t>3</w:t>
      </w:r>
      <w:r w:rsidR="00CA6C81">
        <w:rPr>
          <w:rFonts w:asciiTheme="majorHAnsi" w:hAnsiTheme="majorHAnsi"/>
          <w:sz w:val="20"/>
          <w:szCs w:val="20"/>
        </w:rPr>
        <w:t>5</w:t>
      </w:r>
      <w:r w:rsidR="00D923F1">
        <w:rPr>
          <w:rFonts w:asciiTheme="majorHAnsi" w:hAnsiTheme="majorHAnsi"/>
          <w:sz w:val="20"/>
          <w:szCs w:val="20"/>
        </w:rPr>
        <w:t>0,-Kč</w:t>
      </w:r>
      <w:r w:rsidRPr="00E1787D">
        <w:rPr>
          <w:rFonts w:asciiTheme="majorHAnsi" w:hAnsiTheme="majorHAnsi"/>
          <w:sz w:val="20"/>
          <w:szCs w:val="20"/>
        </w:rPr>
        <w:tab/>
      </w:r>
    </w:p>
    <w:p w:rsidR="00BD3E7F" w:rsidRPr="00E1787D" w:rsidRDefault="00BD3E7F" w:rsidP="00BD3E7F">
      <w:pPr>
        <w:pStyle w:val="sluby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Sazba za 1 km dopravy (Srubec – Hluboká – Srubec)</w:t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="00CA6C81">
        <w:rPr>
          <w:rFonts w:asciiTheme="majorHAnsi" w:hAnsiTheme="majorHAnsi"/>
          <w:sz w:val="20"/>
          <w:szCs w:val="20"/>
        </w:rPr>
        <w:t>10</w:t>
      </w:r>
      <w:r w:rsidR="00D923F1">
        <w:rPr>
          <w:rFonts w:asciiTheme="majorHAnsi" w:hAnsiTheme="majorHAnsi"/>
          <w:sz w:val="20"/>
          <w:szCs w:val="20"/>
        </w:rPr>
        <w:t>,-Kč</w:t>
      </w:r>
      <w:r w:rsidRPr="00E1787D">
        <w:rPr>
          <w:rFonts w:asciiTheme="majorHAnsi" w:hAnsiTheme="majorHAnsi"/>
          <w:sz w:val="20"/>
          <w:szCs w:val="20"/>
        </w:rPr>
        <w:tab/>
      </w:r>
    </w:p>
    <w:p w:rsidR="00BD3E7F" w:rsidRPr="00E1787D" w:rsidRDefault="00BD3E7F" w:rsidP="00BD3E7F">
      <w:pPr>
        <w:pStyle w:val="sluby"/>
        <w:tabs>
          <w:tab w:val="clear" w:pos="720"/>
        </w:tabs>
        <w:ind w:firstLine="0"/>
        <w:rPr>
          <w:rFonts w:asciiTheme="majorHAnsi" w:hAnsiTheme="majorHAnsi"/>
          <w:sz w:val="20"/>
          <w:szCs w:val="20"/>
        </w:rPr>
      </w:pPr>
    </w:p>
    <w:p w:rsidR="00BD3E7F" w:rsidRPr="00E1787D" w:rsidRDefault="00BD3E7F" w:rsidP="00BD3E7F">
      <w:pPr>
        <w:pStyle w:val="sluby"/>
        <w:tabs>
          <w:tab w:val="clear" w:pos="720"/>
        </w:tabs>
        <w:ind w:firstLine="0"/>
        <w:rPr>
          <w:rFonts w:asciiTheme="majorHAnsi" w:hAnsiTheme="majorHAnsi"/>
          <w:sz w:val="20"/>
          <w:szCs w:val="20"/>
        </w:rPr>
      </w:pPr>
      <w:r w:rsidRPr="00F8742F">
        <w:rPr>
          <w:rFonts w:asciiTheme="majorHAnsi" w:hAnsiTheme="majorHAnsi"/>
          <w:b/>
          <w:sz w:val="20"/>
          <w:szCs w:val="20"/>
        </w:rPr>
        <w:t>Celkem za revize zařízení EPS, ER</w:t>
      </w:r>
      <w:r w:rsidR="00CA6C81">
        <w:rPr>
          <w:rFonts w:asciiTheme="majorHAnsi" w:hAnsiTheme="majorHAnsi"/>
          <w:b/>
          <w:sz w:val="20"/>
          <w:szCs w:val="20"/>
        </w:rPr>
        <w:t>O</w:t>
      </w:r>
      <w:r w:rsidRPr="00F8742F">
        <w:rPr>
          <w:rFonts w:asciiTheme="majorHAnsi" w:hAnsiTheme="majorHAnsi"/>
          <w:b/>
          <w:sz w:val="20"/>
          <w:szCs w:val="20"/>
        </w:rPr>
        <w:t xml:space="preserve"> za rok </w:t>
      </w:r>
      <w:r w:rsidR="00343779">
        <w:rPr>
          <w:rFonts w:asciiTheme="majorHAnsi" w:hAnsiTheme="majorHAnsi"/>
          <w:b/>
          <w:sz w:val="20"/>
          <w:szCs w:val="20"/>
        </w:rPr>
        <w:t>bez DPH</w:t>
      </w:r>
      <w:r w:rsidR="00F8742F">
        <w:rPr>
          <w:rFonts w:asciiTheme="majorHAnsi" w:hAnsiTheme="majorHAnsi"/>
          <w:sz w:val="20"/>
          <w:szCs w:val="20"/>
        </w:rPr>
        <w:tab/>
      </w:r>
      <w:r w:rsidR="00F8742F">
        <w:rPr>
          <w:rFonts w:asciiTheme="majorHAnsi" w:hAnsiTheme="majorHAnsi"/>
          <w:sz w:val="20"/>
          <w:szCs w:val="20"/>
        </w:rPr>
        <w:tab/>
      </w:r>
      <w:r w:rsidRPr="00E1787D">
        <w:rPr>
          <w:rFonts w:asciiTheme="majorHAnsi" w:hAnsiTheme="majorHAnsi"/>
          <w:sz w:val="20"/>
          <w:szCs w:val="20"/>
        </w:rPr>
        <w:tab/>
      </w:r>
      <w:r w:rsidR="00CA6C81">
        <w:rPr>
          <w:rFonts w:asciiTheme="majorHAnsi" w:hAnsiTheme="majorHAnsi"/>
          <w:b/>
          <w:sz w:val="20"/>
          <w:szCs w:val="20"/>
        </w:rPr>
        <w:t>54</w:t>
      </w:r>
      <w:r w:rsidR="00087D7A">
        <w:rPr>
          <w:rFonts w:asciiTheme="majorHAnsi" w:hAnsiTheme="majorHAnsi"/>
          <w:b/>
          <w:sz w:val="20"/>
          <w:szCs w:val="20"/>
        </w:rPr>
        <w:t>.</w:t>
      </w:r>
      <w:r w:rsidR="00CA6C81">
        <w:rPr>
          <w:rFonts w:asciiTheme="majorHAnsi" w:hAnsiTheme="majorHAnsi"/>
          <w:b/>
          <w:sz w:val="20"/>
          <w:szCs w:val="20"/>
        </w:rPr>
        <w:t>00</w:t>
      </w:r>
      <w:r w:rsidR="00D923F1" w:rsidRPr="00D923F1">
        <w:rPr>
          <w:rFonts w:asciiTheme="majorHAnsi" w:hAnsiTheme="majorHAnsi"/>
          <w:b/>
          <w:sz w:val="20"/>
          <w:szCs w:val="20"/>
        </w:rPr>
        <w:t>0,-Kč</w:t>
      </w:r>
    </w:p>
    <w:p w:rsidR="00BD3E7F" w:rsidRPr="00E1787D" w:rsidRDefault="00BD3E7F" w:rsidP="00BD3E7F">
      <w:pPr>
        <w:pStyle w:val="sluby"/>
        <w:tabs>
          <w:tab w:val="clear" w:pos="720"/>
        </w:tabs>
        <w:ind w:left="1080" w:firstLine="0"/>
        <w:rPr>
          <w:rFonts w:asciiTheme="majorHAnsi" w:hAnsiTheme="majorHAnsi"/>
          <w:sz w:val="20"/>
          <w:szCs w:val="20"/>
        </w:rPr>
      </w:pPr>
    </w:p>
    <w:p w:rsidR="00BD3E7F" w:rsidRPr="00E1787D" w:rsidRDefault="00BD3E7F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V ceně nejsou zahrnuty náklady na dopravu, nutné opravy elektronických zabezpečovacích zařízení, úpravy a rozšíření na žádost objednatele, úmyslné poškození zařízení, nedodržování návodů k obsluze a na opravy plynoucí z nadměrného opotřebení zařízení. Hrazení těchto nákladů bude na základě dohody smluvních stran fakturováno dle servisních listů.</w:t>
      </w:r>
    </w:p>
    <w:p w:rsidR="00BD3E7F" w:rsidRPr="00E1787D" w:rsidRDefault="00BD3E7F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Ceny jsou uvedeny bez DPH. DPH bude účtováno dle zákona.</w:t>
      </w:r>
    </w:p>
    <w:p w:rsidR="00BD3E7F" w:rsidRPr="00E1787D" w:rsidRDefault="00BD3E7F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Dodavatel bude provádět fakturaci vždy po provedeném zásahu, funkční zkoušce, kontrole provozuschopnosti.</w:t>
      </w:r>
    </w:p>
    <w:p w:rsidR="00BD3E7F" w:rsidRPr="00E1787D" w:rsidRDefault="00BD3E7F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Splatnost faktur je dohodou smluvních stran stanovena na 30 dní.</w:t>
      </w:r>
    </w:p>
    <w:p w:rsidR="007155FA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ab/>
      </w:r>
    </w:p>
    <w:p w:rsidR="00643F15" w:rsidRDefault="00DC3B26" w:rsidP="00107C45">
      <w:pPr>
        <w:tabs>
          <w:tab w:val="center" w:pos="4536"/>
        </w:tabs>
        <w:jc w:val="center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>IV.</w:t>
      </w:r>
      <w:r w:rsidR="00107C45">
        <w:rPr>
          <w:rFonts w:asciiTheme="majorHAnsi" w:hAnsiTheme="majorHAnsi"/>
          <w:b/>
          <w:sz w:val="20"/>
          <w:szCs w:val="20"/>
        </w:rPr>
        <w:t xml:space="preserve"> </w:t>
      </w:r>
    </w:p>
    <w:p w:rsidR="00DC3B26" w:rsidRPr="00E1787D" w:rsidRDefault="00BD3E7F" w:rsidP="00107C45">
      <w:pPr>
        <w:tabs>
          <w:tab w:val="center" w:pos="4536"/>
        </w:tabs>
        <w:jc w:val="center"/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>Povinnosti dodavatele</w:t>
      </w:r>
    </w:p>
    <w:p w:rsidR="00DC3B26" w:rsidRPr="00E1787D" w:rsidRDefault="00DC3B26" w:rsidP="00DC3B26">
      <w:pPr>
        <w:tabs>
          <w:tab w:val="center" w:pos="4536"/>
        </w:tabs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E1787D" w:rsidRPr="00E1787D" w:rsidRDefault="00BD3E7F" w:rsidP="00BD3E7F">
      <w:pPr>
        <w:pStyle w:val="sluby"/>
        <w:numPr>
          <w:ilvl w:val="1"/>
          <w:numId w:val="1"/>
        </w:numPr>
        <w:rPr>
          <w:rFonts w:asciiTheme="majorHAnsi" w:hAnsiTheme="majorHAnsi"/>
          <w:spacing w:val="-21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Dodavatel se zavazuje</w:t>
      </w:r>
      <w:r w:rsidR="00E1787D">
        <w:rPr>
          <w:rFonts w:asciiTheme="majorHAnsi" w:hAnsiTheme="majorHAnsi"/>
          <w:sz w:val="20"/>
          <w:szCs w:val="20"/>
        </w:rPr>
        <w:t>:</w:t>
      </w:r>
    </w:p>
    <w:p w:rsidR="00E1787D" w:rsidRDefault="00BD3E7F" w:rsidP="00E1787D">
      <w:pPr>
        <w:pStyle w:val="sluby"/>
        <w:numPr>
          <w:ilvl w:val="2"/>
          <w:numId w:val="1"/>
        </w:numPr>
        <w:tabs>
          <w:tab w:val="num" w:pos="1276"/>
        </w:tabs>
        <w:ind w:left="1276" w:hanging="567"/>
        <w:rPr>
          <w:rFonts w:asciiTheme="majorHAnsi" w:hAnsiTheme="majorHAnsi"/>
          <w:spacing w:val="-21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 </w:t>
      </w:r>
      <w:r w:rsidRPr="00AE111D">
        <w:rPr>
          <w:rFonts w:asciiTheme="majorHAnsi" w:hAnsiTheme="majorHAnsi"/>
          <w:b/>
          <w:sz w:val="20"/>
          <w:szCs w:val="20"/>
        </w:rPr>
        <w:t>zahájit servisní práce do 24 hodin</w:t>
      </w:r>
      <w:r w:rsidRPr="00E1787D">
        <w:rPr>
          <w:rFonts w:asciiTheme="majorHAnsi" w:hAnsiTheme="majorHAnsi"/>
          <w:sz w:val="20"/>
          <w:szCs w:val="20"/>
        </w:rPr>
        <w:t xml:space="preserve"> od nahlášení závady objednatelem pověřené osobě dodavatele. Telefonické hlášení musí být vždy doplněno faxovým (emailovým) potvrzením, které </w:t>
      </w:r>
      <w:r w:rsidRPr="00AE111D">
        <w:rPr>
          <w:rFonts w:asciiTheme="majorHAnsi" w:hAnsiTheme="majorHAnsi"/>
          <w:b/>
          <w:sz w:val="20"/>
          <w:szCs w:val="20"/>
        </w:rPr>
        <w:t>objednatel</w:t>
      </w:r>
      <w:r w:rsidRPr="00E1787D">
        <w:rPr>
          <w:rFonts w:asciiTheme="majorHAnsi" w:hAnsiTheme="majorHAnsi"/>
          <w:sz w:val="20"/>
          <w:szCs w:val="20"/>
        </w:rPr>
        <w:t xml:space="preserve"> dodavateli </w:t>
      </w:r>
      <w:r w:rsidRPr="00AE111D">
        <w:rPr>
          <w:rFonts w:asciiTheme="majorHAnsi" w:hAnsiTheme="majorHAnsi"/>
          <w:b/>
          <w:sz w:val="20"/>
          <w:szCs w:val="20"/>
        </w:rPr>
        <w:t>doručí do 12 hodin od telefonického nahlášení</w:t>
      </w:r>
      <w:r w:rsidRPr="00E1787D">
        <w:rPr>
          <w:rFonts w:asciiTheme="majorHAnsi" w:hAnsiTheme="majorHAnsi"/>
          <w:sz w:val="20"/>
          <w:szCs w:val="20"/>
        </w:rPr>
        <w:t>.</w:t>
      </w:r>
    </w:p>
    <w:p w:rsidR="00E1787D" w:rsidRDefault="007E537B" w:rsidP="00E1787D">
      <w:pPr>
        <w:pStyle w:val="sluby"/>
        <w:numPr>
          <w:ilvl w:val="2"/>
          <w:numId w:val="1"/>
        </w:numPr>
        <w:tabs>
          <w:tab w:val="num" w:pos="1276"/>
        </w:tabs>
        <w:ind w:left="1276" w:hanging="567"/>
        <w:rPr>
          <w:rFonts w:asciiTheme="majorHAnsi" w:hAnsiTheme="majorHAnsi"/>
          <w:spacing w:val="-21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při plněn</w:t>
      </w:r>
      <w:r w:rsidR="00E1787D">
        <w:rPr>
          <w:rFonts w:asciiTheme="majorHAnsi" w:hAnsiTheme="majorHAnsi"/>
          <w:sz w:val="20"/>
          <w:szCs w:val="20"/>
        </w:rPr>
        <w:t>í</w:t>
      </w:r>
      <w:r w:rsidRPr="00E1787D">
        <w:rPr>
          <w:rFonts w:asciiTheme="majorHAnsi" w:hAnsiTheme="majorHAnsi"/>
          <w:sz w:val="20"/>
          <w:szCs w:val="20"/>
        </w:rPr>
        <w:t xml:space="preserve"> dle této smlouvy dodržovat zákony, bezpečnost a hospodárnost.</w:t>
      </w:r>
    </w:p>
    <w:p w:rsidR="00E1787D" w:rsidRPr="0011785E" w:rsidRDefault="007E537B" w:rsidP="00E1787D">
      <w:pPr>
        <w:pStyle w:val="sluby"/>
        <w:numPr>
          <w:ilvl w:val="2"/>
          <w:numId w:val="1"/>
        </w:numPr>
        <w:tabs>
          <w:tab w:val="num" w:pos="1276"/>
        </w:tabs>
        <w:ind w:left="1276" w:hanging="567"/>
        <w:rPr>
          <w:rFonts w:asciiTheme="majorHAnsi" w:hAnsiTheme="majorHAnsi"/>
          <w:spacing w:val="-21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zachovat mlčenlivost ohledně všech informací, které se dozvěděl v souvislosti s výkonem činnosti dle této smlouvy</w:t>
      </w:r>
      <w:r w:rsidR="00E1787D">
        <w:rPr>
          <w:rFonts w:asciiTheme="majorHAnsi" w:hAnsiTheme="majorHAnsi"/>
          <w:sz w:val="20"/>
          <w:szCs w:val="20"/>
        </w:rPr>
        <w:t xml:space="preserve"> (včetně utajení veškerých informací týkající se projektové dokumentace a režimu objektu objednatele). </w:t>
      </w:r>
    </w:p>
    <w:p w:rsidR="0011785E" w:rsidRPr="0011785E" w:rsidRDefault="0011785E" w:rsidP="0011785E">
      <w:pPr>
        <w:pStyle w:val="pornochrana"/>
        <w:numPr>
          <w:ilvl w:val="2"/>
          <w:numId w:val="1"/>
        </w:numPr>
        <w:tabs>
          <w:tab w:val="left" w:pos="1276"/>
        </w:tabs>
        <w:ind w:left="1276" w:hanging="567"/>
      </w:pPr>
      <w:r w:rsidRPr="0011785E">
        <w:t>řádně plnit předmět smlouvy, minimalizovat rizika škod objednatele a předávat důležité informace, které se v souvislosti s plněním této smlouvy týkají ochrany objektu objednatele.</w:t>
      </w:r>
    </w:p>
    <w:p w:rsidR="00E1787D" w:rsidRPr="0011785E" w:rsidRDefault="00E1787D" w:rsidP="0011785E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 w:rsidRPr="0011785E">
        <w:t>zajistit maximální funkčnost bezpečnostního systému.</w:t>
      </w:r>
    </w:p>
    <w:p w:rsidR="0011785E" w:rsidRDefault="00E1787D" w:rsidP="0011785E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 w:rsidRPr="0011785E">
        <w:t xml:space="preserve">zajistit přezkoušení, seřízení a naprogramování nainstalovaného zařízení. </w:t>
      </w:r>
    </w:p>
    <w:p w:rsidR="00E1787D" w:rsidRPr="0011785E" w:rsidRDefault="00E1787D" w:rsidP="0011785E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 w:rsidRPr="0011785E">
        <w:t>zachovávat v objektu objednatele čistotu a pořádek, odstra</w:t>
      </w:r>
      <w:r w:rsidR="0011785E">
        <w:t xml:space="preserve">ňovat na své náklady odpadový </w:t>
      </w:r>
      <w:r w:rsidRPr="0011785E">
        <w:t>materiál z provedených prací.</w:t>
      </w:r>
    </w:p>
    <w:p w:rsidR="00DC3B26" w:rsidRPr="0011785E" w:rsidRDefault="00E1787D" w:rsidP="0011785E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 w:rsidRPr="0011785E">
        <w:t>na vlastní náklady odstranit škody vzniklé jeho zaviněním na již instalovaném zařízení.</w:t>
      </w:r>
    </w:p>
    <w:p w:rsidR="00E1787D" w:rsidRPr="0011785E" w:rsidRDefault="00E1787D" w:rsidP="0011785E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 w:rsidRPr="0011785E">
        <w:t>Zajistit na vyžádání objednatele za úhradu proškolení všech určených pracovníků objednatele.</w:t>
      </w:r>
    </w:p>
    <w:p w:rsidR="00E1787D" w:rsidRDefault="0011785E" w:rsidP="00E1787D">
      <w:pPr>
        <w:pStyle w:val="pornochrana"/>
      </w:pPr>
      <w:r>
        <w:t>Dodavatel poskytuje na dodávky realizované dle této smlouvy záruku 24 měsíců.</w:t>
      </w:r>
    </w:p>
    <w:p w:rsidR="0011785E" w:rsidRDefault="0011785E" w:rsidP="0011785E">
      <w:pPr>
        <w:pStyle w:val="pornochrana"/>
        <w:numPr>
          <w:ilvl w:val="0"/>
          <w:numId w:val="0"/>
        </w:numPr>
        <w:ind w:left="720"/>
      </w:pPr>
    </w:p>
    <w:p w:rsidR="00107C45" w:rsidRDefault="00107C45" w:rsidP="0011785E">
      <w:pPr>
        <w:pStyle w:val="pornochrana"/>
        <w:numPr>
          <w:ilvl w:val="0"/>
          <w:numId w:val="0"/>
        </w:numPr>
        <w:ind w:left="720"/>
      </w:pPr>
    </w:p>
    <w:p w:rsidR="00643F15" w:rsidRDefault="00107C45" w:rsidP="00107C45">
      <w:pPr>
        <w:pStyle w:val="pornochrana"/>
        <w:numPr>
          <w:ilvl w:val="0"/>
          <w:numId w:val="0"/>
        </w:numPr>
        <w:ind w:left="720"/>
        <w:jc w:val="center"/>
        <w:rPr>
          <w:b/>
        </w:rPr>
      </w:pPr>
      <w:r w:rsidRPr="00107C45">
        <w:rPr>
          <w:b/>
        </w:rPr>
        <w:t xml:space="preserve">V. </w:t>
      </w:r>
    </w:p>
    <w:p w:rsidR="00107C45" w:rsidRDefault="00107C45" w:rsidP="00107C45">
      <w:pPr>
        <w:pStyle w:val="pornochrana"/>
        <w:numPr>
          <w:ilvl w:val="0"/>
          <w:numId w:val="0"/>
        </w:numPr>
        <w:ind w:left="720"/>
        <w:jc w:val="center"/>
        <w:rPr>
          <w:b/>
        </w:rPr>
      </w:pPr>
      <w:r w:rsidRPr="00107C45">
        <w:rPr>
          <w:b/>
        </w:rPr>
        <w:t>Povinnosti objednatele</w:t>
      </w:r>
    </w:p>
    <w:p w:rsidR="00643F15" w:rsidRDefault="00643F15" w:rsidP="00107C45">
      <w:pPr>
        <w:pStyle w:val="pornochrana"/>
        <w:numPr>
          <w:ilvl w:val="0"/>
          <w:numId w:val="0"/>
        </w:numPr>
        <w:ind w:left="720"/>
        <w:jc w:val="center"/>
        <w:rPr>
          <w:b/>
        </w:rPr>
      </w:pPr>
    </w:p>
    <w:p w:rsidR="00107C45" w:rsidRPr="00107C45" w:rsidRDefault="00107C45" w:rsidP="00107C45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vanish/>
          <w:sz w:val="20"/>
          <w:szCs w:val="20"/>
        </w:rPr>
      </w:pPr>
    </w:p>
    <w:p w:rsidR="00107C45" w:rsidRDefault="00107C45" w:rsidP="00107C45">
      <w:pPr>
        <w:pStyle w:val="pornochrana"/>
      </w:pPr>
      <w:r>
        <w:t>Objednatel se zavazuje:</w:t>
      </w:r>
    </w:p>
    <w:p w:rsidR="00107C45" w:rsidRDefault="00107C45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lastRenderedPageBreak/>
        <w:t>Dodržovat návod k obsluze elektronických bezpečnostních zařízení a dodržovat zásady spolehlivé funkce provozu systémů.</w:t>
      </w:r>
    </w:p>
    <w:p w:rsidR="00107C45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p</w:t>
      </w:r>
      <w:r w:rsidR="00107C45">
        <w:t>oskytnout dodavateli certifikáty (nebo osvědčení o zkouškách) všech nainstalovaných prvků systému, osvědčení o uvedení do provozu a návod k obsluze výše uvedených systémů.</w:t>
      </w:r>
    </w:p>
    <w:p w:rsidR="00107C45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i</w:t>
      </w:r>
      <w:r w:rsidR="00107C45">
        <w:t>nformovat dodavatele o stavebních úpravách</w:t>
      </w:r>
      <w:r w:rsidR="00161056">
        <w:t>, zasahování do mechanického zabezpečení, systémů a zařízení bezpečnostní povahy, které dodavatel nedodával.</w:t>
      </w:r>
    </w:p>
    <w:p w:rsidR="00161056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n</w:t>
      </w:r>
      <w:r w:rsidR="00161056">
        <w:t>ezasahovat do instalovaného zařízení, zajistit, aby zařízení obsluhovala pouze poučená osoba</w:t>
      </w:r>
      <w:r w:rsidR="00335B0E">
        <w:t>.</w:t>
      </w:r>
    </w:p>
    <w:p w:rsidR="00161056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u</w:t>
      </w:r>
      <w:r w:rsidR="00161056">
        <w:t>možnit přístup pověřeným pracovníkům dodavatele k provedení činností dle této smlouvy.</w:t>
      </w:r>
    </w:p>
    <w:p w:rsidR="00161056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z</w:t>
      </w:r>
      <w:r w:rsidR="00161056">
        <w:t xml:space="preserve">ajistit </w:t>
      </w:r>
      <w:r w:rsidR="00161056" w:rsidRPr="00343779">
        <w:rPr>
          <w:b/>
        </w:rPr>
        <w:t>řádné vedení knihy provozu zařízení</w:t>
      </w:r>
      <w:r w:rsidR="00161056">
        <w:t xml:space="preserve"> s možností provádět do knihy záznamy pověřených pracovníků objednatele a dodavatele.</w:t>
      </w:r>
    </w:p>
    <w:p w:rsidR="00161056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n</w:t>
      </w:r>
      <w:r w:rsidR="00161056">
        <w:t>ezatajit zhotoviteli žádné údaje, které by mohly ohrozit průběh ochrany objektu a utajit před nepovolanými osobami veškeré informace týkající se projektové dokumentace a režimu objektu.</w:t>
      </w:r>
    </w:p>
    <w:p w:rsidR="00161056" w:rsidRDefault="00B9761C" w:rsidP="00161056">
      <w:pPr>
        <w:pStyle w:val="pornochrana"/>
        <w:numPr>
          <w:ilvl w:val="2"/>
          <w:numId w:val="1"/>
        </w:numPr>
        <w:tabs>
          <w:tab w:val="num" w:pos="1276"/>
        </w:tabs>
        <w:ind w:left="1276" w:hanging="567"/>
      </w:pPr>
      <w:r>
        <w:t>u</w:t>
      </w:r>
      <w:r w:rsidR="00161056">
        <w:t>možnit napojení na zdroje elektrické energie pracovníkům zhotovitele při realizaci této smlouvy.</w:t>
      </w:r>
    </w:p>
    <w:p w:rsidR="00107C45" w:rsidRPr="00107C45" w:rsidRDefault="00107C45" w:rsidP="00107C45">
      <w:pPr>
        <w:pStyle w:val="pornochrana"/>
        <w:numPr>
          <w:ilvl w:val="0"/>
          <w:numId w:val="0"/>
        </w:numPr>
        <w:ind w:left="720"/>
        <w:jc w:val="center"/>
        <w:rPr>
          <w:b/>
        </w:rPr>
      </w:pPr>
    </w:p>
    <w:p w:rsidR="00643F15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>V</w:t>
      </w:r>
      <w:r w:rsidR="00643F15">
        <w:rPr>
          <w:rFonts w:asciiTheme="majorHAnsi" w:hAnsiTheme="majorHAnsi"/>
          <w:b/>
          <w:sz w:val="20"/>
          <w:szCs w:val="20"/>
        </w:rPr>
        <w:t>I</w:t>
      </w:r>
      <w:r w:rsidRPr="00E1787D">
        <w:rPr>
          <w:rFonts w:asciiTheme="majorHAnsi" w:hAnsiTheme="majorHAnsi"/>
          <w:b/>
          <w:sz w:val="20"/>
          <w:szCs w:val="20"/>
        </w:rPr>
        <w:t xml:space="preserve">. </w:t>
      </w:r>
    </w:p>
    <w:p w:rsidR="00DC3B26" w:rsidRPr="00E1787D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 xml:space="preserve">Sankce </w:t>
      </w:r>
    </w:p>
    <w:p w:rsidR="00DC3B26" w:rsidRPr="00E1787D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E1787D" w:rsidRPr="00E1787D" w:rsidRDefault="00E1787D" w:rsidP="00DC3B26">
      <w:pPr>
        <w:pStyle w:val="sluby"/>
        <w:numPr>
          <w:ilvl w:val="1"/>
          <w:numId w:val="1"/>
        </w:numPr>
        <w:rPr>
          <w:rFonts w:asciiTheme="majorHAnsi" w:hAnsiTheme="majorHAnsi"/>
          <w:spacing w:val="-2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Objednatel je oprávněn vyúčtovat dodavateli smluvní pokutu </w:t>
      </w:r>
      <w:r w:rsidR="00E337FE">
        <w:rPr>
          <w:rFonts w:asciiTheme="majorHAnsi" w:hAnsiTheme="majorHAnsi"/>
          <w:sz w:val="20"/>
          <w:szCs w:val="20"/>
        </w:rPr>
        <w:t xml:space="preserve">za každé jednotlivé porušení povinností stanovených touto smlouvou ve výši </w:t>
      </w:r>
      <w:r w:rsidR="00AE111D" w:rsidRPr="001F5525">
        <w:rPr>
          <w:rFonts w:asciiTheme="majorHAnsi" w:hAnsiTheme="majorHAnsi"/>
          <w:sz w:val="20"/>
          <w:szCs w:val="20"/>
        </w:rPr>
        <w:t>1.000</w:t>
      </w:r>
      <w:r w:rsidR="00E337FE" w:rsidRPr="001F5525">
        <w:rPr>
          <w:rFonts w:asciiTheme="majorHAnsi" w:hAnsiTheme="majorHAnsi"/>
          <w:sz w:val="20"/>
          <w:szCs w:val="20"/>
        </w:rPr>
        <w:t xml:space="preserve"> Kč.</w:t>
      </w:r>
      <w:r w:rsidR="00E337FE">
        <w:rPr>
          <w:rFonts w:asciiTheme="majorHAnsi" w:hAnsiTheme="majorHAnsi"/>
          <w:sz w:val="20"/>
          <w:szCs w:val="20"/>
        </w:rPr>
        <w:t xml:space="preserve"> Za porušení povinností dodavatele dle této smlouvy se považuje mimo jiné neprovedení revize EPS či ER</w:t>
      </w:r>
      <w:r w:rsidR="00343779">
        <w:rPr>
          <w:rFonts w:asciiTheme="majorHAnsi" w:hAnsiTheme="majorHAnsi"/>
          <w:sz w:val="20"/>
          <w:szCs w:val="20"/>
        </w:rPr>
        <w:t>O</w:t>
      </w:r>
      <w:r w:rsidR="00E337FE">
        <w:rPr>
          <w:rFonts w:asciiTheme="majorHAnsi" w:hAnsiTheme="majorHAnsi"/>
          <w:sz w:val="20"/>
          <w:szCs w:val="20"/>
        </w:rPr>
        <w:t xml:space="preserve">, neprovedení kontroly provozuschopnosti ve lhůtách sjednaných dle této smlouvy, pozdní zahájení servisní práce při řádném ohlášení závady. </w:t>
      </w:r>
      <w:r w:rsidR="00E337FE" w:rsidRPr="00E337FE">
        <w:rPr>
          <w:rFonts w:asciiTheme="majorHAnsi" w:hAnsiTheme="majorHAnsi"/>
          <w:sz w:val="20"/>
          <w:szCs w:val="20"/>
        </w:rPr>
        <w:t>Sjednáním smluvní pokuty není dotčen nárok na náhradu škody ve výši přesahující smluvní pokutu.</w:t>
      </w:r>
    </w:p>
    <w:p w:rsidR="00DC3B26" w:rsidRPr="00E1787D" w:rsidRDefault="00E1787D" w:rsidP="00DC3B26">
      <w:pPr>
        <w:pStyle w:val="sluby"/>
        <w:numPr>
          <w:ilvl w:val="1"/>
          <w:numId w:val="1"/>
        </w:numPr>
        <w:rPr>
          <w:rFonts w:asciiTheme="majorHAnsi" w:hAnsiTheme="majorHAnsi"/>
          <w:spacing w:val="-2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Dodavatel je oprávněn vyúčtovat objednateli smluvní pokutu ve výši 0,05% z dlužné částky za každý den prodlení se splatností faktury. </w:t>
      </w:r>
    </w:p>
    <w:p w:rsidR="00DC3B26" w:rsidRPr="00E1787D" w:rsidRDefault="00DC3B26" w:rsidP="00DC3B26">
      <w:pPr>
        <w:jc w:val="both"/>
        <w:rPr>
          <w:rFonts w:asciiTheme="majorHAnsi" w:hAnsiTheme="majorHAnsi"/>
          <w:b/>
          <w:sz w:val="20"/>
          <w:szCs w:val="20"/>
        </w:rPr>
      </w:pPr>
    </w:p>
    <w:p w:rsidR="00DC3B26" w:rsidRPr="00E1787D" w:rsidRDefault="00DC3B26" w:rsidP="00DC3B26">
      <w:pPr>
        <w:jc w:val="both"/>
        <w:rPr>
          <w:rFonts w:asciiTheme="majorHAnsi" w:hAnsiTheme="majorHAnsi"/>
          <w:b/>
          <w:sz w:val="20"/>
          <w:szCs w:val="20"/>
        </w:rPr>
      </w:pPr>
    </w:p>
    <w:p w:rsidR="00DC3B26" w:rsidRPr="00E1787D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</w:p>
    <w:p w:rsidR="00643F15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  <w:r w:rsidRPr="00031DEA">
        <w:rPr>
          <w:rFonts w:asciiTheme="majorHAnsi" w:hAnsiTheme="majorHAnsi"/>
          <w:b/>
          <w:sz w:val="20"/>
          <w:szCs w:val="20"/>
        </w:rPr>
        <w:t>V</w:t>
      </w:r>
      <w:r w:rsidR="00643F15">
        <w:rPr>
          <w:rFonts w:asciiTheme="majorHAnsi" w:hAnsiTheme="majorHAnsi"/>
          <w:b/>
          <w:sz w:val="20"/>
          <w:szCs w:val="20"/>
        </w:rPr>
        <w:t>I</w:t>
      </w:r>
      <w:r w:rsidRPr="00031DEA">
        <w:rPr>
          <w:rFonts w:asciiTheme="majorHAnsi" w:hAnsiTheme="majorHAnsi"/>
          <w:b/>
          <w:sz w:val="20"/>
          <w:szCs w:val="20"/>
        </w:rPr>
        <w:t xml:space="preserve">I. </w:t>
      </w:r>
    </w:p>
    <w:p w:rsidR="00DC3B26" w:rsidRPr="00E1787D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  <w:r w:rsidRPr="00031DEA">
        <w:rPr>
          <w:rFonts w:asciiTheme="majorHAnsi" w:hAnsiTheme="majorHAnsi"/>
          <w:b/>
          <w:sz w:val="20"/>
          <w:szCs w:val="20"/>
        </w:rPr>
        <w:t>Doba smluvního vztahu a ukončení smlouvy</w:t>
      </w:r>
    </w:p>
    <w:p w:rsidR="00DC3B26" w:rsidRPr="00E1787D" w:rsidRDefault="00DC3B26" w:rsidP="00DC3B26">
      <w:pPr>
        <w:jc w:val="center"/>
        <w:rPr>
          <w:rFonts w:asciiTheme="majorHAnsi" w:hAnsiTheme="majorHAnsi"/>
          <w:b/>
          <w:sz w:val="20"/>
          <w:szCs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Tato smlouva se uzavírá na dobu </w:t>
      </w:r>
      <w:r w:rsidRPr="00E1787D">
        <w:rPr>
          <w:rFonts w:asciiTheme="majorHAnsi" w:hAnsiTheme="majorHAnsi"/>
          <w:b/>
          <w:sz w:val="20"/>
          <w:szCs w:val="20"/>
        </w:rPr>
        <w:t>neurčitou</w:t>
      </w:r>
      <w:r w:rsidRPr="00E1787D">
        <w:rPr>
          <w:rFonts w:asciiTheme="majorHAnsi" w:hAnsiTheme="majorHAnsi"/>
          <w:sz w:val="20"/>
          <w:szCs w:val="20"/>
        </w:rPr>
        <w:t xml:space="preserve">. 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Platnost smlouvy může být ukončena písemnou dohodou stran.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Smluvní strany jsou oprávněny ukončit tuto smlouvu na základě písemné dohody nebo písemnou výpovědí z jakéhokoliv důvodu nebo bez udání důvodu. Výpovědní lhůta činí </w:t>
      </w:r>
      <w:r w:rsidRPr="00E537B2">
        <w:rPr>
          <w:rFonts w:asciiTheme="majorHAnsi" w:hAnsiTheme="majorHAnsi"/>
          <w:b/>
          <w:sz w:val="20"/>
          <w:szCs w:val="20"/>
        </w:rPr>
        <w:t>tři měsíce</w:t>
      </w:r>
      <w:r w:rsidRPr="00E1787D">
        <w:rPr>
          <w:rFonts w:asciiTheme="majorHAnsi" w:hAnsiTheme="majorHAnsi"/>
          <w:sz w:val="20"/>
          <w:szCs w:val="20"/>
        </w:rPr>
        <w:t xml:space="preserve"> a počíná plynout od prvého dne měsíce následujícího po měsíci, ve kterém byla výpověď doručena druhé smluvní straně. </w:t>
      </w:r>
    </w:p>
    <w:p w:rsidR="00DC3B26" w:rsidRPr="00E1787D" w:rsidRDefault="00DC3B26" w:rsidP="00DC3B26">
      <w:pPr>
        <w:tabs>
          <w:tab w:val="center" w:pos="4536"/>
        </w:tabs>
        <w:ind w:left="283"/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tabs>
          <w:tab w:val="center" w:pos="4536"/>
        </w:tabs>
        <w:ind w:left="283"/>
        <w:jc w:val="both"/>
        <w:rPr>
          <w:rFonts w:asciiTheme="majorHAnsi" w:hAnsiTheme="majorHAnsi"/>
          <w:sz w:val="20"/>
          <w:szCs w:val="20"/>
        </w:rPr>
      </w:pPr>
    </w:p>
    <w:p w:rsidR="00643F15" w:rsidRDefault="00DC3B26" w:rsidP="00DC3B26">
      <w:pPr>
        <w:tabs>
          <w:tab w:val="center" w:pos="4536"/>
        </w:tabs>
        <w:jc w:val="both"/>
        <w:rPr>
          <w:rFonts w:asciiTheme="majorHAnsi" w:hAnsiTheme="majorHAnsi"/>
          <w:b/>
          <w:sz w:val="20"/>
          <w:szCs w:val="20"/>
        </w:rPr>
      </w:pPr>
      <w:r w:rsidRPr="00E1787D">
        <w:rPr>
          <w:rFonts w:asciiTheme="majorHAnsi" w:hAnsiTheme="majorHAnsi"/>
          <w:b/>
          <w:sz w:val="20"/>
          <w:szCs w:val="20"/>
        </w:rPr>
        <w:tab/>
      </w:r>
      <w:r w:rsidRPr="00031DEA">
        <w:rPr>
          <w:rFonts w:asciiTheme="majorHAnsi" w:hAnsiTheme="majorHAnsi"/>
          <w:b/>
          <w:sz w:val="20"/>
          <w:szCs w:val="20"/>
        </w:rPr>
        <w:t>VI</w:t>
      </w:r>
      <w:r w:rsidR="00643F15">
        <w:rPr>
          <w:rFonts w:asciiTheme="majorHAnsi" w:hAnsiTheme="majorHAnsi"/>
          <w:b/>
          <w:sz w:val="20"/>
          <w:szCs w:val="20"/>
        </w:rPr>
        <w:t>I</w:t>
      </w:r>
      <w:r w:rsidRPr="00031DEA">
        <w:rPr>
          <w:rFonts w:asciiTheme="majorHAnsi" w:hAnsiTheme="majorHAnsi"/>
          <w:b/>
          <w:sz w:val="20"/>
          <w:szCs w:val="20"/>
        </w:rPr>
        <w:t>I.</w:t>
      </w:r>
      <w:r w:rsidRPr="00031DEA">
        <w:rPr>
          <w:rFonts w:asciiTheme="majorHAnsi" w:hAnsiTheme="majorHAnsi"/>
          <w:b/>
          <w:sz w:val="20"/>
          <w:szCs w:val="20"/>
        </w:rPr>
        <w:tab/>
      </w:r>
    </w:p>
    <w:p w:rsidR="00DC3B26" w:rsidRDefault="00DC3B26" w:rsidP="00643F15">
      <w:pPr>
        <w:tabs>
          <w:tab w:val="center" w:pos="4536"/>
        </w:tabs>
        <w:jc w:val="center"/>
        <w:rPr>
          <w:rFonts w:asciiTheme="majorHAnsi" w:hAnsiTheme="majorHAnsi"/>
          <w:b/>
          <w:sz w:val="20"/>
          <w:szCs w:val="20"/>
        </w:rPr>
      </w:pPr>
      <w:r w:rsidRPr="00031DEA">
        <w:rPr>
          <w:rFonts w:asciiTheme="majorHAnsi" w:hAnsiTheme="majorHAnsi"/>
          <w:b/>
          <w:sz w:val="20"/>
          <w:szCs w:val="20"/>
        </w:rPr>
        <w:t>Kontaktní osoby</w:t>
      </w:r>
    </w:p>
    <w:p w:rsidR="00643F15" w:rsidRPr="00E1787D" w:rsidRDefault="00643F15" w:rsidP="00643F15">
      <w:pPr>
        <w:tabs>
          <w:tab w:val="center" w:pos="4536"/>
        </w:tabs>
        <w:jc w:val="center"/>
        <w:rPr>
          <w:rFonts w:asciiTheme="majorHAnsi" w:hAnsiTheme="majorHAnsi"/>
          <w:b/>
          <w:sz w:val="20"/>
          <w:szCs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Smluvní strany se dohodly, že veškeré záležitosti provozního charakteru s touto smlouvou spojené budou řešit následující osoby:</w:t>
      </w:r>
    </w:p>
    <w:p w:rsidR="00DC3B26" w:rsidRPr="00E1787D" w:rsidRDefault="00DC3B26" w:rsidP="00DC3B26">
      <w:pPr>
        <w:pStyle w:val="Zkladntext"/>
        <w:ind w:left="420"/>
        <w:jc w:val="both"/>
        <w:rPr>
          <w:rFonts w:asciiTheme="majorHAnsi" w:hAnsiTheme="majorHAnsi"/>
          <w:b/>
          <w:sz w:val="20"/>
        </w:rPr>
      </w:pPr>
    </w:p>
    <w:p w:rsidR="00DC3B26" w:rsidRPr="00E1787D" w:rsidRDefault="00DC3B26" w:rsidP="00DC3B26">
      <w:pPr>
        <w:pStyle w:val="Zkladntext"/>
        <w:tabs>
          <w:tab w:val="clear" w:pos="4536"/>
          <w:tab w:val="center" w:pos="709"/>
        </w:tabs>
        <w:ind w:firstLine="709"/>
        <w:jc w:val="both"/>
        <w:rPr>
          <w:rFonts w:asciiTheme="majorHAnsi" w:hAnsiTheme="majorHAnsi"/>
          <w:b/>
          <w:sz w:val="20"/>
        </w:rPr>
      </w:pPr>
      <w:r w:rsidRPr="00E1787D">
        <w:rPr>
          <w:rFonts w:asciiTheme="majorHAnsi" w:hAnsiTheme="majorHAnsi"/>
          <w:b/>
          <w:sz w:val="20"/>
        </w:rPr>
        <w:t>Za Objednatele:</w:t>
      </w:r>
    </w:p>
    <w:p w:rsidR="00DC3B26" w:rsidRPr="00C86B2A" w:rsidRDefault="00C86B2A" w:rsidP="00BE39FA">
      <w:pPr>
        <w:pStyle w:val="Zkladntext"/>
        <w:tabs>
          <w:tab w:val="clear" w:pos="4536"/>
          <w:tab w:val="center" w:pos="709"/>
        </w:tabs>
        <w:ind w:firstLine="709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Mgr. Stanislav T</w:t>
      </w:r>
      <w:r w:rsidR="00760E5E">
        <w:rPr>
          <w:rFonts w:asciiTheme="majorHAnsi" w:hAnsiTheme="majorHAnsi"/>
          <w:sz w:val="20"/>
        </w:rPr>
        <w:t>rs</w:t>
      </w:r>
      <w:r>
        <w:rPr>
          <w:rFonts w:asciiTheme="majorHAnsi" w:hAnsiTheme="majorHAnsi"/>
          <w:sz w:val="20"/>
        </w:rPr>
        <w:t xml:space="preserve"> – vedoucí KD   </w:t>
      </w:r>
      <w:r w:rsidR="00343779" w:rsidRPr="00C86B2A">
        <w:rPr>
          <w:rFonts w:asciiTheme="majorHAnsi" w:hAnsiTheme="majorHAnsi"/>
          <w:sz w:val="20"/>
        </w:rPr>
        <w:t xml:space="preserve">tel.   </w:t>
      </w:r>
      <w:r>
        <w:rPr>
          <w:rFonts w:asciiTheme="majorHAnsi" w:hAnsiTheme="majorHAnsi"/>
          <w:sz w:val="20"/>
        </w:rPr>
        <w:t>773 823 006</w:t>
      </w:r>
      <w:r w:rsidR="00343779" w:rsidRPr="00C86B2A">
        <w:rPr>
          <w:rFonts w:asciiTheme="majorHAnsi" w:hAnsiTheme="majorHAnsi"/>
          <w:sz w:val="20"/>
        </w:rPr>
        <w:t xml:space="preserve">  mail. </w:t>
      </w:r>
      <w:r>
        <w:rPr>
          <w:rFonts w:asciiTheme="majorHAnsi" w:hAnsiTheme="majorHAnsi"/>
          <w:sz w:val="20"/>
        </w:rPr>
        <w:t>-</w:t>
      </w:r>
      <w:r w:rsidR="00343779" w:rsidRPr="00C86B2A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kaplicka.kultura@seznam.cz</w:t>
      </w:r>
    </w:p>
    <w:p w:rsidR="00760E5E" w:rsidRDefault="00955C08" w:rsidP="00DC3B26">
      <w:pPr>
        <w:pStyle w:val="Zkladntext"/>
        <w:ind w:left="420"/>
        <w:jc w:val="both"/>
        <w:rPr>
          <w:rFonts w:asciiTheme="majorHAnsi" w:hAnsiTheme="majorHAnsi"/>
          <w:sz w:val="20"/>
        </w:rPr>
      </w:pPr>
      <w:r w:rsidRPr="00C86B2A">
        <w:rPr>
          <w:rFonts w:asciiTheme="majorHAnsi" w:hAnsiTheme="majorHAnsi"/>
          <w:sz w:val="20"/>
        </w:rPr>
        <w:t xml:space="preserve"> </w:t>
      </w:r>
      <w:r w:rsidR="00343779" w:rsidRPr="00C86B2A">
        <w:rPr>
          <w:rFonts w:asciiTheme="majorHAnsi" w:hAnsiTheme="majorHAnsi"/>
          <w:sz w:val="20"/>
        </w:rPr>
        <w:t xml:space="preserve">     </w:t>
      </w:r>
      <w:r w:rsidR="00C86B2A">
        <w:rPr>
          <w:rFonts w:asciiTheme="majorHAnsi" w:hAnsiTheme="majorHAnsi"/>
          <w:sz w:val="20"/>
        </w:rPr>
        <w:t>Mgr. Dagmar C</w:t>
      </w:r>
      <w:r w:rsidR="00760E5E">
        <w:rPr>
          <w:rFonts w:asciiTheme="majorHAnsi" w:hAnsiTheme="majorHAnsi"/>
          <w:sz w:val="20"/>
        </w:rPr>
        <w:t>haloupková</w:t>
      </w:r>
      <w:r w:rsidR="00C86B2A">
        <w:rPr>
          <w:rFonts w:asciiTheme="majorHAnsi" w:hAnsiTheme="majorHAnsi"/>
          <w:sz w:val="20"/>
        </w:rPr>
        <w:t xml:space="preserve"> –</w:t>
      </w:r>
      <w:r w:rsidR="00760E5E">
        <w:rPr>
          <w:rFonts w:asciiTheme="majorHAnsi" w:hAnsiTheme="majorHAnsi"/>
          <w:sz w:val="20"/>
        </w:rPr>
        <w:t xml:space="preserve"> vedoucí </w:t>
      </w:r>
      <w:r w:rsidR="00C86B2A">
        <w:rPr>
          <w:rFonts w:asciiTheme="majorHAnsi" w:hAnsiTheme="majorHAnsi"/>
          <w:sz w:val="20"/>
        </w:rPr>
        <w:t xml:space="preserve">OSME </w:t>
      </w:r>
      <w:r w:rsidR="00343779" w:rsidRPr="00C86B2A">
        <w:rPr>
          <w:rFonts w:asciiTheme="majorHAnsi" w:hAnsiTheme="majorHAnsi"/>
          <w:sz w:val="20"/>
        </w:rPr>
        <w:t xml:space="preserve">  tel. </w:t>
      </w:r>
      <w:r w:rsidR="00760E5E">
        <w:rPr>
          <w:rFonts w:asciiTheme="majorHAnsi" w:hAnsiTheme="majorHAnsi"/>
          <w:sz w:val="20"/>
        </w:rPr>
        <w:t>721 034 924</w:t>
      </w:r>
      <w:r w:rsidR="00343779" w:rsidRPr="00C86B2A">
        <w:rPr>
          <w:rFonts w:asciiTheme="majorHAnsi" w:hAnsiTheme="majorHAnsi"/>
          <w:sz w:val="20"/>
        </w:rPr>
        <w:t xml:space="preserve"> </w:t>
      </w:r>
    </w:p>
    <w:p w:rsidR="00DC3B26" w:rsidRDefault="00760E5E" w:rsidP="00DC3B26">
      <w:pPr>
        <w:pStyle w:val="Zkladntext"/>
        <w:ind w:left="42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</w:t>
      </w:r>
      <w:r w:rsidR="00343779" w:rsidRPr="00C86B2A">
        <w:rPr>
          <w:rFonts w:asciiTheme="majorHAnsi" w:hAnsiTheme="majorHAnsi"/>
          <w:sz w:val="20"/>
        </w:rPr>
        <w:t xml:space="preserve"> mail. </w:t>
      </w:r>
      <w:r>
        <w:rPr>
          <w:rFonts w:asciiTheme="majorHAnsi" w:hAnsiTheme="majorHAnsi"/>
          <w:sz w:val="20"/>
        </w:rPr>
        <w:t>dagmar.chaloupkova@mestokaplice.cz</w:t>
      </w:r>
    </w:p>
    <w:p w:rsidR="00343779" w:rsidRDefault="00343779" w:rsidP="00DC3B26">
      <w:pPr>
        <w:pStyle w:val="Zkladntext"/>
        <w:ind w:left="420"/>
        <w:jc w:val="both"/>
        <w:rPr>
          <w:rFonts w:asciiTheme="majorHAnsi" w:hAnsiTheme="majorHAnsi"/>
          <w:sz w:val="20"/>
        </w:rPr>
      </w:pPr>
    </w:p>
    <w:p w:rsidR="00343779" w:rsidRPr="00E1787D" w:rsidRDefault="00343779" w:rsidP="00DC3B26">
      <w:pPr>
        <w:pStyle w:val="Zkladntext"/>
        <w:ind w:left="420"/>
        <w:jc w:val="both"/>
        <w:rPr>
          <w:rFonts w:asciiTheme="majorHAnsi" w:hAnsiTheme="majorHAnsi"/>
          <w:b/>
          <w:sz w:val="20"/>
        </w:rPr>
      </w:pPr>
    </w:p>
    <w:p w:rsidR="00DC3B26" w:rsidRPr="00E1787D" w:rsidRDefault="00DC3B26" w:rsidP="00DC3B26">
      <w:pPr>
        <w:pStyle w:val="Zkladntext"/>
        <w:tabs>
          <w:tab w:val="clear" w:pos="4536"/>
        </w:tabs>
        <w:jc w:val="both"/>
        <w:rPr>
          <w:rFonts w:asciiTheme="majorHAnsi" w:hAnsiTheme="majorHAnsi" w:cs="David"/>
          <w:sz w:val="20"/>
        </w:rPr>
      </w:pPr>
      <w:r w:rsidRPr="00E1787D">
        <w:rPr>
          <w:rFonts w:asciiTheme="majorHAnsi" w:hAnsiTheme="majorHAnsi"/>
          <w:b/>
          <w:sz w:val="20"/>
        </w:rPr>
        <w:tab/>
        <w:t>Za Dodavatele:</w:t>
      </w:r>
    </w:p>
    <w:p w:rsidR="00810A77" w:rsidRDefault="00DC3B26" w:rsidP="00810A77">
      <w:pPr>
        <w:pStyle w:val="Zkladntext"/>
        <w:tabs>
          <w:tab w:val="clear" w:pos="4536"/>
          <w:tab w:val="center" w:pos="0"/>
        </w:tabs>
        <w:jc w:val="both"/>
        <w:rPr>
          <w:rFonts w:asciiTheme="majorHAnsi" w:hAnsiTheme="majorHAnsi" w:cs="David"/>
          <w:sz w:val="20"/>
        </w:rPr>
      </w:pPr>
      <w:r w:rsidRPr="00E1787D">
        <w:rPr>
          <w:rFonts w:asciiTheme="majorHAnsi" w:hAnsiTheme="majorHAnsi" w:cs="David"/>
          <w:sz w:val="20"/>
        </w:rPr>
        <w:tab/>
      </w:r>
      <w:r w:rsidR="00AE111D">
        <w:rPr>
          <w:rFonts w:asciiTheme="majorHAnsi" w:hAnsiTheme="majorHAnsi" w:cs="David"/>
          <w:sz w:val="20"/>
        </w:rPr>
        <w:t xml:space="preserve">Jaroslav Prommer , tel. </w:t>
      </w:r>
      <w:r w:rsidR="00810A77">
        <w:rPr>
          <w:rFonts w:asciiTheme="majorHAnsi" w:hAnsiTheme="majorHAnsi" w:cs="David"/>
          <w:sz w:val="20"/>
        </w:rPr>
        <w:t>xxxxxxxxx</w:t>
      </w:r>
      <w:r w:rsidR="00AE111D">
        <w:rPr>
          <w:rFonts w:asciiTheme="majorHAnsi" w:hAnsiTheme="majorHAnsi" w:cs="David"/>
          <w:sz w:val="20"/>
        </w:rPr>
        <w:t xml:space="preserve"> , mail:</w:t>
      </w:r>
      <w:r w:rsidR="00810A77">
        <w:rPr>
          <w:rFonts w:asciiTheme="majorHAnsi" w:hAnsiTheme="majorHAnsi" w:cs="David"/>
          <w:sz w:val="20"/>
        </w:rPr>
        <w:t>xxxxxxxxxxxxxxxxxxxx</w:t>
      </w:r>
      <w:bookmarkStart w:id="0" w:name="_GoBack"/>
      <w:bookmarkEnd w:id="0"/>
    </w:p>
    <w:p w:rsidR="00AE111D" w:rsidRPr="00E1787D" w:rsidRDefault="00810A77" w:rsidP="00810A77">
      <w:pPr>
        <w:pStyle w:val="Zkladntext"/>
        <w:tabs>
          <w:tab w:val="clear" w:pos="4536"/>
          <w:tab w:val="center" w:pos="0"/>
        </w:tabs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 w:cs="David"/>
          <w:sz w:val="20"/>
        </w:rPr>
        <w:tab/>
        <w:t>R</w:t>
      </w:r>
      <w:r w:rsidR="000764E5">
        <w:rPr>
          <w:rFonts w:asciiTheme="majorHAnsi" w:hAnsiTheme="majorHAnsi"/>
          <w:sz w:val="20"/>
        </w:rPr>
        <w:t>oman Trsek</w:t>
      </w:r>
      <w:r w:rsidR="00AE111D">
        <w:rPr>
          <w:rFonts w:asciiTheme="majorHAnsi" w:hAnsiTheme="majorHAnsi"/>
          <w:sz w:val="20"/>
        </w:rPr>
        <w:t xml:space="preserve"> , tel.  </w:t>
      </w:r>
      <w:r>
        <w:rPr>
          <w:rFonts w:asciiTheme="majorHAnsi" w:hAnsiTheme="majorHAnsi"/>
          <w:sz w:val="20"/>
        </w:rPr>
        <w:t>xxxxxxxxx</w:t>
      </w:r>
      <w:r w:rsidR="000764E5">
        <w:rPr>
          <w:rFonts w:asciiTheme="majorHAnsi" w:hAnsiTheme="majorHAnsi"/>
          <w:sz w:val="20"/>
        </w:rPr>
        <w:t xml:space="preserve"> , mail: </w:t>
      </w:r>
      <w:r>
        <w:rPr>
          <w:rFonts w:asciiTheme="majorHAnsi" w:hAnsiTheme="majorHAnsi"/>
          <w:sz w:val="20"/>
        </w:rPr>
        <w:t>xxxxxxxxxxxxxxx</w:t>
      </w:r>
      <w:r w:rsidR="000764E5">
        <w:rPr>
          <w:rFonts w:asciiTheme="majorHAnsi" w:hAnsiTheme="majorHAnsi"/>
          <w:sz w:val="20"/>
        </w:rPr>
        <w:t xml:space="preserve"> </w:t>
      </w:r>
    </w:p>
    <w:p w:rsidR="00DC3B26" w:rsidRPr="00E1787D" w:rsidRDefault="00DC3B26" w:rsidP="00DC3B26">
      <w:pPr>
        <w:pStyle w:val="Zkladntext"/>
        <w:tabs>
          <w:tab w:val="clear" w:pos="4536"/>
          <w:tab w:val="center" w:pos="0"/>
        </w:tabs>
        <w:jc w:val="both"/>
        <w:rPr>
          <w:rFonts w:asciiTheme="majorHAnsi" w:hAnsiTheme="majorHAnsi"/>
          <w:sz w:val="20"/>
        </w:rPr>
      </w:pPr>
      <w:r w:rsidRPr="00E1787D">
        <w:rPr>
          <w:rFonts w:asciiTheme="majorHAnsi" w:hAnsiTheme="majorHAnsi"/>
          <w:sz w:val="20"/>
        </w:rPr>
        <w:tab/>
        <w:t>či další osoby, které písemně oznámí Dodavatel Objednateli</w:t>
      </w:r>
    </w:p>
    <w:p w:rsidR="00DC3B26" w:rsidRPr="00E1787D" w:rsidRDefault="00DC3B26" w:rsidP="00DC3B26">
      <w:pPr>
        <w:pStyle w:val="Zkladntext"/>
        <w:ind w:left="420"/>
        <w:jc w:val="both"/>
        <w:rPr>
          <w:rFonts w:asciiTheme="majorHAnsi" w:hAnsiTheme="majorHAnsi"/>
          <w:b/>
          <w:sz w:val="20"/>
        </w:rPr>
      </w:pPr>
    </w:p>
    <w:p w:rsidR="00DC3B26" w:rsidRPr="00E1787D" w:rsidRDefault="00DC3B26" w:rsidP="00DC3B26">
      <w:pPr>
        <w:pStyle w:val="Zkladntext"/>
        <w:ind w:left="420"/>
        <w:jc w:val="both"/>
        <w:rPr>
          <w:rFonts w:asciiTheme="majorHAnsi" w:hAnsiTheme="majorHAnsi"/>
          <w:b/>
          <w:sz w:val="20"/>
        </w:rPr>
      </w:pPr>
    </w:p>
    <w:p w:rsidR="00643F15" w:rsidRDefault="00643F15" w:rsidP="00DC3B26">
      <w:pPr>
        <w:pStyle w:val="Zkladntext"/>
        <w:ind w:left="420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IX</w:t>
      </w:r>
      <w:r w:rsidR="00DC3B26" w:rsidRPr="00E1787D">
        <w:rPr>
          <w:rFonts w:asciiTheme="majorHAnsi" w:hAnsiTheme="majorHAnsi"/>
          <w:b/>
          <w:sz w:val="20"/>
        </w:rPr>
        <w:t xml:space="preserve">. </w:t>
      </w:r>
    </w:p>
    <w:p w:rsidR="00DC3B26" w:rsidRPr="00E1787D" w:rsidRDefault="00DC3B26" w:rsidP="00DC3B26">
      <w:pPr>
        <w:pStyle w:val="Zkladntext"/>
        <w:ind w:left="420"/>
        <w:jc w:val="center"/>
        <w:rPr>
          <w:rFonts w:asciiTheme="majorHAnsi" w:hAnsiTheme="majorHAnsi"/>
          <w:b/>
          <w:sz w:val="20"/>
        </w:rPr>
      </w:pPr>
      <w:r w:rsidRPr="00E1787D">
        <w:rPr>
          <w:rFonts w:asciiTheme="majorHAnsi" w:hAnsiTheme="majorHAnsi"/>
          <w:b/>
          <w:sz w:val="20"/>
        </w:rPr>
        <w:t>Závěrečná ustanovení</w:t>
      </w:r>
    </w:p>
    <w:p w:rsidR="00DC3B26" w:rsidRPr="00E1787D" w:rsidRDefault="00DC3B26" w:rsidP="00DC3B26">
      <w:pPr>
        <w:pStyle w:val="Zkladntext"/>
        <w:ind w:left="420"/>
        <w:jc w:val="center"/>
        <w:rPr>
          <w:rFonts w:asciiTheme="majorHAnsi" w:hAnsiTheme="majorHAnsi"/>
          <w:b/>
          <w:sz w:val="20"/>
        </w:rPr>
      </w:pPr>
    </w:p>
    <w:p w:rsidR="00DC3B26" w:rsidRPr="00E1787D" w:rsidRDefault="00DC3B26" w:rsidP="00DC3B26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Tahoma"/>
          <w:vanish/>
          <w:sz w:val="20"/>
          <w:szCs w:val="20"/>
        </w:rPr>
      </w:pP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Tato smlouva je vyhotovena ve dvou originálech, z nichž po jednom obdrží každá ze smluvních stran.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Tuto smlouvu lze měnit pouze na základě písemných dodatků.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Tato smlouva nabývá platnosti dnem podpisu smluvními stranami a účinnosti dnem </w:t>
      </w:r>
      <w:r w:rsidR="000764E5">
        <w:rPr>
          <w:rFonts w:asciiTheme="majorHAnsi" w:hAnsiTheme="majorHAnsi"/>
          <w:b/>
          <w:sz w:val="20"/>
          <w:szCs w:val="20"/>
        </w:rPr>
        <w:t>2</w:t>
      </w:r>
      <w:r w:rsidR="009F3433">
        <w:rPr>
          <w:rFonts w:asciiTheme="majorHAnsi" w:hAnsiTheme="majorHAnsi"/>
          <w:b/>
          <w:sz w:val="20"/>
          <w:szCs w:val="20"/>
        </w:rPr>
        <w:t>.</w:t>
      </w:r>
      <w:r w:rsidR="000764E5">
        <w:rPr>
          <w:rFonts w:asciiTheme="majorHAnsi" w:hAnsiTheme="majorHAnsi"/>
          <w:b/>
          <w:sz w:val="20"/>
          <w:szCs w:val="20"/>
        </w:rPr>
        <w:t>5</w:t>
      </w:r>
      <w:r w:rsidR="009F3433">
        <w:rPr>
          <w:rFonts w:asciiTheme="majorHAnsi" w:hAnsiTheme="majorHAnsi"/>
          <w:b/>
          <w:sz w:val="20"/>
          <w:szCs w:val="20"/>
        </w:rPr>
        <w:t>.201</w:t>
      </w:r>
      <w:r w:rsidR="000764E5">
        <w:rPr>
          <w:rFonts w:asciiTheme="majorHAnsi" w:hAnsiTheme="majorHAnsi"/>
          <w:b/>
          <w:sz w:val="20"/>
          <w:szCs w:val="20"/>
        </w:rPr>
        <w:t>9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Tato smlouva se řídí českým právem, zejména zákonem č. </w:t>
      </w:r>
      <w:r w:rsidR="009D47FF" w:rsidRPr="00E1787D">
        <w:rPr>
          <w:rFonts w:asciiTheme="majorHAnsi" w:hAnsiTheme="majorHAnsi"/>
          <w:sz w:val="20"/>
          <w:szCs w:val="20"/>
        </w:rPr>
        <w:t>89/2012</w:t>
      </w:r>
      <w:r w:rsidRPr="00E1787D">
        <w:rPr>
          <w:rFonts w:asciiTheme="majorHAnsi" w:hAnsiTheme="majorHAnsi"/>
          <w:sz w:val="20"/>
          <w:szCs w:val="20"/>
        </w:rPr>
        <w:t xml:space="preserve"> Sb., ob</w:t>
      </w:r>
      <w:r w:rsidR="009D47FF" w:rsidRPr="00E1787D">
        <w:rPr>
          <w:rFonts w:asciiTheme="majorHAnsi" w:hAnsiTheme="majorHAnsi"/>
          <w:sz w:val="20"/>
          <w:szCs w:val="20"/>
        </w:rPr>
        <w:t>čanským</w:t>
      </w:r>
      <w:r w:rsidRPr="00E1787D">
        <w:rPr>
          <w:rFonts w:asciiTheme="majorHAnsi" w:hAnsiTheme="majorHAnsi"/>
          <w:sz w:val="20"/>
          <w:szCs w:val="20"/>
        </w:rPr>
        <w:t xml:space="preserve"> zákoníkem, v platném znění.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Smluvní strany souhlasí s tím, že všechny spory vzniklé z této smlouvy nebo v souvislosti s ní budou řešit přednostně dohodou. Pokud toto nebude možné, sjednávají smluvní strany pro případ sporů v souvislosti s touto smlouvou pravomoc českých soudů, a ve smyslu § 89a zákona č. 99/1963 Sb., občanského soudního řádu příslušnost věcně příslušného soudu se sídlem v Českých Budějovicích.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>Obě smluvní strany prohlašují, že si tuto smlouvu před jejím podpisem přečetly, že byla uzavřena po vzájemném projednání, podle jejich pravé a svobodné vůle, vážně, srozumitelně, nikoliv v tísni a za nápadně nevýhodných podmínek.</w:t>
      </w:r>
    </w:p>
    <w:p w:rsidR="00DC3B26" w:rsidRPr="00E1787D" w:rsidRDefault="00DC3B26" w:rsidP="00DC3B26">
      <w:pPr>
        <w:pStyle w:val="sluby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E1787D">
        <w:rPr>
          <w:rFonts w:asciiTheme="majorHAnsi" w:hAnsiTheme="majorHAnsi"/>
          <w:sz w:val="20"/>
          <w:szCs w:val="20"/>
        </w:rPr>
        <w:t xml:space="preserve">Nedílnou součást této smlouvy jsou následující přílohy:  </w:t>
      </w:r>
    </w:p>
    <w:p w:rsidR="00DC3B26" w:rsidRDefault="00DC3B26" w:rsidP="00DC3B26">
      <w:pPr>
        <w:pStyle w:val="poskytovnslueb"/>
        <w:tabs>
          <w:tab w:val="clear" w:pos="720"/>
        </w:tabs>
        <w:ind w:firstLine="0"/>
        <w:rPr>
          <w:b/>
          <w:i/>
          <w:sz w:val="20"/>
        </w:rPr>
      </w:pPr>
      <w:r w:rsidRPr="00E1787D">
        <w:rPr>
          <w:rFonts w:asciiTheme="majorHAnsi" w:hAnsiTheme="majorHAnsi"/>
          <w:b/>
          <w:i/>
          <w:spacing w:val="-4"/>
          <w:sz w:val="20"/>
          <w:szCs w:val="20"/>
        </w:rPr>
        <w:t>Příloha č.</w:t>
      </w:r>
      <w:r w:rsidR="00AF1925" w:rsidRPr="00E1787D">
        <w:rPr>
          <w:rFonts w:asciiTheme="majorHAnsi" w:hAnsiTheme="majorHAnsi"/>
          <w:b/>
          <w:i/>
          <w:spacing w:val="-4"/>
          <w:sz w:val="20"/>
          <w:szCs w:val="20"/>
        </w:rPr>
        <w:t xml:space="preserve"> </w:t>
      </w:r>
      <w:r w:rsidRPr="00E1787D">
        <w:rPr>
          <w:rFonts w:asciiTheme="majorHAnsi" w:hAnsiTheme="majorHAnsi"/>
          <w:b/>
          <w:i/>
          <w:spacing w:val="-4"/>
          <w:sz w:val="20"/>
          <w:szCs w:val="20"/>
        </w:rPr>
        <w:t xml:space="preserve">1 – </w:t>
      </w:r>
      <w:r w:rsidR="000764E5" w:rsidRPr="000764E5">
        <w:rPr>
          <w:b/>
          <w:i/>
          <w:sz w:val="20"/>
        </w:rPr>
        <w:t>Doklad o montáži, funkční zkoušce a kontrola provozuschopnosti</w:t>
      </w:r>
    </w:p>
    <w:p w:rsidR="00810A77" w:rsidRPr="00E1787D" w:rsidRDefault="00810A77" w:rsidP="00810A77">
      <w:pPr>
        <w:pStyle w:val="pornochrana"/>
      </w:pPr>
      <w:r>
        <w:t>Smlouva byla schválena Radou města Kaplice 20. 5. 2019, usnesení č. 362</w:t>
      </w:r>
    </w:p>
    <w:p w:rsidR="004D4CE3" w:rsidRPr="00E1787D" w:rsidRDefault="004D4CE3" w:rsidP="00DC3B26">
      <w:pPr>
        <w:pStyle w:val="poskytovnslueb"/>
        <w:tabs>
          <w:tab w:val="clear" w:pos="720"/>
        </w:tabs>
        <w:ind w:firstLine="0"/>
        <w:rPr>
          <w:rFonts w:asciiTheme="majorHAnsi" w:hAnsiTheme="majorHAnsi"/>
          <w:i/>
          <w:spacing w:val="-4"/>
          <w:sz w:val="20"/>
          <w:szCs w:val="20"/>
        </w:rPr>
      </w:pPr>
    </w:p>
    <w:p w:rsidR="00DC3B26" w:rsidRPr="00E1787D" w:rsidRDefault="00DC3B26" w:rsidP="00DC3B26">
      <w:pPr>
        <w:pStyle w:val="poskytovnslueb"/>
        <w:tabs>
          <w:tab w:val="clear" w:pos="720"/>
        </w:tabs>
        <w:ind w:firstLine="0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numPr>
          <w:ilvl w:val="12"/>
          <w:numId w:val="0"/>
        </w:numPr>
        <w:tabs>
          <w:tab w:val="center" w:pos="4536"/>
        </w:tabs>
        <w:ind w:left="283" w:hanging="283"/>
        <w:jc w:val="both"/>
        <w:rPr>
          <w:rFonts w:asciiTheme="majorHAnsi" w:hAnsiTheme="majorHAnsi"/>
          <w:sz w:val="20"/>
          <w:szCs w:val="20"/>
        </w:rPr>
      </w:pPr>
    </w:p>
    <w:p w:rsidR="00DC3B26" w:rsidRPr="00E1787D" w:rsidRDefault="00DC3B26" w:rsidP="00DC3B26">
      <w:pPr>
        <w:numPr>
          <w:ilvl w:val="12"/>
          <w:numId w:val="0"/>
        </w:numPr>
        <w:tabs>
          <w:tab w:val="center" w:pos="4536"/>
        </w:tabs>
        <w:ind w:left="283" w:hanging="283"/>
        <w:jc w:val="both"/>
        <w:rPr>
          <w:rFonts w:asciiTheme="majorHAnsi" w:hAnsiTheme="majorHAnsi"/>
          <w:sz w:val="20"/>
          <w:szCs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C3B26" w:rsidRPr="00E1787D" w:rsidTr="00BE39FA">
        <w:tc>
          <w:tcPr>
            <w:tcW w:w="4465" w:type="dxa"/>
          </w:tcPr>
          <w:p w:rsidR="00DC3B26" w:rsidRPr="00E1787D" w:rsidRDefault="00BB5139" w:rsidP="00810A7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V </w:t>
            </w:r>
            <w:r w:rsidR="000764E5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="000764E5">
              <w:rPr>
                <w:rFonts w:cs="Tahoma"/>
                <w:szCs w:val="20"/>
              </w:rPr>
              <w:t>aplici</w:t>
            </w:r>
            <w:r w:rsidRPr="00E1787D">
              <w:rPr>
                <w:rFonts w:asciiTheme="majorHAnsi" w:hAnsiTheme="majorHAnsi" w:cs="Tahoma"/>
                <w:sz w:val="20"/>
                <w:szCs w:val="20"/>
              </w:rPr>
              <w:t xml:space="preserve"> dne </w:t>
            </w:r>
            <w:r w:rsidR="00810A77">
              <w:rPr>
                <w:rFonts w:asciiTheme="majorHAnsi" w:hAnsiTheme="majorHAnsi" w:cs="Tahoma"/>
                <w:sz w:val="20"/>
                <w:szCs w:val="20"/>
              </w:rPr>
              <w:t>23.5.2019</w:t>
            </w:r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BE39FA" w:rsidRPr="00E1787D" w:rsidRDefault="00BB5139" w:rsidP="00BE39FA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V </w:t>
            </w:r>
            <w:r w:rsidR="000764E5">
              <w:rPr>
                <w:rFonts w:asciiTheme="majorHAnsi" w:hAnsiTheme="majorHAnsi" w:cs="Tahoma"/>
                <w:sz w:val="20"/>
                <w:szCs w:val="20"/>
              </w:rPr>
              <w:t>K</w:t>
            </w:r>
            <w:r w:rsidR="000764E5">
              <w:rPr>
                <w:rFonts w:cs="Tahoma"/>
                <w:szCs w:val="20"/>
              </w:rPr>
              <w:t>aplici</w:t>
            </w:r>
            <w:r w:rsidR="00BE39FA" w:rsidRPr="00E1787D">
              <w:rPr>
                <w:rFonts w:asciiTheme="majorHAnsi" w:hAnsiTheme="majorHAnsi" w:cs="Tahoma"/>
                <w:sz w:val="20"/>
                <w:szCs w:val="20"/>
              </w:rPr>
              <w:t xml:space="preserve"> dne </w:t>
            </w:r>
            <w:r w:rsidR="00810A77">
              <w:rPr>
                <w:rFonts w:asciiTheme="majorHAnsi" w:hAnsiTheme="majorHAnsi" w:cs="Tahoma"/>
                <w:sz w:val="20"/>
                <w:szCs w:val="20"/>
              </w:rPr>
              <w:t>28.5.2019</w:t>
            </w:r>
          </w:p>
          <w:p w:rsidR="00DC3B26" w:rsidRPr="00E1787D" w:rsidRDefault="00DC3B26" w:rsidP="00BE39FA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C3B26" w:rsidRPr="00E1787D" w:rsidTr="00BE39FA">
        <w:trPr>
          <w:trHeight w:val="2174"/>
        </w:trPr>
        <w:tc>
          <w:tcPr>
            <w:tcW w:w="4465" w:type="dxa"/>
          </w:tcPr>
          <w:p w:rsidR="00DC3B26" w:rsidRPr="00E1787D" w:rsidRDefault="00DC3B26" w:rsidP="008A7946">
            <w:pPr>
              <w:rPr>
                <w:rFonts w:asciiTheme="majorHAnsi" w:hAnsiTheme="majorHAnsi" w:cs="Tahoma"/>
                <w:sz w:val="20"/>
                <w:szCs w:val="20"/>
                <w:u w:val="single"/>
              </w:rPr>
            </w:pPr>
          </w:p>
          <w:p w:rsidR="00DC3B26" w:rsidRPr="00E1787D" w:rsidRDefault="00DC3B26" w:rsidP="008A7946">
            <w:pPr>
              <w:rPr>
                <w:rFonts w:asciiTheme="majorHAnsi" w:hAnsiTheme="majorHAnsi" w:cs="Tahoma"/>
                <w:sz w:val="20"/>
                <w:szCs w:val="20"/>
                <w:u w:val="single"/>
              </w:rPr>
            </w:pPr>
          </w:p>
          <w:p w:rsidR="00DC3B26" w:rsidRPr="00E1787D" w:rsidRDefault="00DC3B26" w:rsidP="008A7946">
            <w:pPr>
              <w:rPr>
                <w:rFonts w:asciiTheme="majorHAnsi" w:hAnsiTheme="majorHAnsi" w:cs="Tahoma"/>
                <w:sz w:val="20"/>
                <w:szCs w:val="20"/>
                <w:u w:val="single"/>
              </w:rPr>
            </w:pP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</w:p>
          <w:p w:rsidR="00DC3B26" w:rsidRPr="00E1787D" w:rsidRDefault="00DC3B26" w:rsidP="008A794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E1787D">
              <w:rPr>
                <w:rFonts w:asciiTheme="majorHAnsi" w:hAnsiTheme="majorHAnsi" w:cs="Tahoma"/>
                <w:sz w:val="20"/>
                <w:szCs w:val="20"/>
              </w:rPr>
              <w:t>za objednatele</w:t>
            </w:r>
          </w:p>
          <w:p w:rsidR="00DC3B26" w:rsidRPr="001F5525" w:rsidRDefault="000764E5" w:rsidP="008A794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</w:t>
            </w:r>
            <w:r w:rsidR="00760E5E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Kaplice</w:t>
            </w:r>
          </w:p>
          <w:p w:rsidR="00DC3B26" w:rsidRPr="00E1787D" w:rsidRDefault="00760E5E" w:rsidP="000764E5">
            <w:pPr>
              <w:pStyle w:val="Zkladntext"/>
              <w:tabs>
                <w:tab w:val="clear" w:pos="4536"/>
                <w:tab w:val="center" w:pos="709"/>
              </w:tabs>
              <w:jc w:val="both"/>
              <w:rPr>
                <w:rFonts w:asciiTheme="majorHAnsi" w:hAnsiTheme="majorHAnsi" w:cs="Tahoma"/>
                <w:sz w:val="20"/>
              </w:rPr>
            </w:pPr>
            <w:r>
              <w:rPr>
                <w:rFonts w:asciiTheme="majorHAnsi" w:hAnsiTheme="majorHAnsi" w:cs="Tahoma"/>
                <w:sz w:val="20"/>
              </w:rPr>
              <w:t>Mgr. Pavel Talíř, starosta</w:t>
            </w:r>
          </w:p>
        </w:tc>
        <w:tc>
          <w:tcPr>
            <w:tcW w:w="4961" w:type="dxa"/>
          </w:tcPr>
          <w:p w:rsidR="00DC3B26" w:rsidRPr="00E1787D" w:rsidRDefault="00DC3B26" w:rsidP="008A7946">
            <w:pPr>
              <w:jc w:val="right"/>
              <w:rPr>
                <w:rFonts w:asciiTheme="majorHAnsi" w:hAnsiTheme="majorHAnsi" w:cs="Tahoma"/>
                <w:sz w:val="20"/>
                <w:szCs w:val="20"/>
                <w:u w:val="single"/>
              </w:rPr>
            </w:pPr>
          </w:p>
          <w:p w:rsidR="00DC3B26" w:rsidRPr="00E1787D" w:rsidRDefault="00DC3B26" w:rsidP="008A7946">
            <w:pPr>
              <w:jc w:val="right"/>
              <w:rPr>
                <w:rFonts w:asciiTheme="majorHAnsi" w:hAnsiTheme="majorHAnsi" w:cs="Tahoma"/>
                <w:sz w:val="20"/>
                <w:szCs w:val="20"/>
                <w:u w:val="single"/>
              </w:rPr>
            </w:pPr>
          </w:p>
          <w:p w:rsidR="00DC3B26" w:rsidRPr="00E1787D" w:rsidRDefault="00DC3B26" w:rsidP="008A7946">
            <w:pPr>
              <w:jc w:val="right"/>
              <w:rPr>
                <w:rFonts w:asciiTheme="majorHAnsi" w:hAnsiTheme="majorHAnsi" w:cs="Tahoma"/>
                <w:sz w:val="20"/>
                <w:szCs w:val="20"/>
                <w:u w:val="single"/>
              </w:rPr>
            </w:pP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  <w:r w:rsidRPr="00E1787D">
              <w:rPr>
                <w:rFonts w:asciiTheme="majorHAnsi" w:hAnsiTheme="majorHAnsi" w:cs="Tahoma"/>
                <w:sz w:val="20"/>
                <w:szCs w:val="20"/>
                <w:u w:val="single"/>
              </w:rPr>
              <w:tab/>
            </w:r>
          </w:p>
          <w:p w:rsidR="00DC3B26" w:rsidRPr="00E1787D" w:rsidRDefault="00DC3B26" w:rsidP="008A7946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E1787D">
              <w:rPr>
                <w:rFonts w:asciiTheme="majorHAnsi" w:hAnsiTheme="majorHAnsi" w:cs="Tahoma"/>
                <w:sz w:val="20"/>
                <w:szCs w:val="20"/>
              </w:rPr>
              <w:t>za dodavatele</w:t>
            </w:r>
          </w:p>
          <w:p w:rsidR="00DC3B26" w:rsidRPr="00E1787D" w:rsidRDefault="009F3433" w:rsidP="008A7946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Jaroslav Prommer </w:t>
            </w:r>
          </w:p>
          <w:p w:rsidR="00DC3B26" w:rsidRPr="00E1787D" w:rsidRDefault="00DC3B26" w:rsidP="009F3433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692F1C" w:rsidRPr="00E1787D" w:rsidRDefault="00810A77" w:rsidP="002B44C5">
      <w:pPr>
        <w:numPr>
          <w:ilvl w:val="12"/>
          <w:numId w:val="0"/>
        </w:numPr>
        <w:tabs>
          <w:tab w:val="center" w:pos="4536"/>
        </w:tabs>
        <w:ind w:left="283" w:hanging="283"/>
        <w:jc w:val="both"/>
        <w:rPr>
          <w:rFonts w:asciiTheme="majorHAnsi" w:hAnsiTheme="majorHAnsi"/>
          <w:sz w:val="20"/>
          <w:szCs w:val="20"/>
        </w:rPr>
      </w:pPr>
    </w:p>
    <w:sectPr w:rsidR="00692F1C" w:rsidRPr="00E1787D" w:rsidSect="007147BD">
      <w:headerReference w:type="default" r:id="rId7"/>
      <w:footerReference w:type="default" r:id="rId8"/>
      <w:pgSz w:w="11906" w:h="16838"/>
      <w:pgMar w:top="1417" w:right="1417" w:bottom="1417" w:left="1417" w:header="705" w:footer="708" w:gutter="0"/>
      <w:cols w:space="708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1C" w:rsidRDefault="00F22E1C" w:rsidP="00DC3B26">
      <w:r>
        <w:separator/>
      </w:r>
    </w:p>
  </w:endnote>
  <w:endnote w:type="continuationSeparator" w:id="0">
    <w:p w:rsidR="00F22E1C" w:rsidRDefault="00F22E1C" w:rsidP="00DC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AC7E86">
      <w:tc>
        <w:tcPr>
          <w:tcW w:w="3070" w:type="dxa"/>
        </w:tcPr>
        <w:p w:rsidR="00AC7E86" w:rsidRDefault="007D034B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>
            <w:rPr>
              <w:rFonts w:ascii="Bookman Old Style" w:hAnsi="Bookman Old Style" w:cs="Bookman Old Style"/>
              <w:sz w:val="14"/>
              <w:szCs w:val="14"/>
            </w:rPr>
            <w:t xml:space="preserve">Strana </w:t>
          </w:r>
          <w:r w:rsidR="0002546F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PAGE </w:instrText>
          </w:r>
          <w:r w:rsidR="0002546F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810A77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2</w:t>
          </w:r>
          <w:r w:rsidR="0002546F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  <w:r>
            <w:rPr>
              <w:rStyle w:val="slostrnky"/>
              <w:rFonts w:ascii="Bookman Old Style" w:hAnsi="Bookman Old Style" w:cs="Bookman Old Style"/>
              <w:sz w:val="14"/>
              <w:szCs w:val="14"/>
            </w:rPr>
            <w:t xml:space="preserve"> ze </w:t>
          </w:r>
          <w:r w:rsidR="0002546F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begin"/>
          </w:r>
          <w:r>
            <w:rPr>
              <w:rStyle w:val="slostrnky"/>
              <w:rFonts w:ascii="Bookman Old Style" w:hAnsi="Bookman Old Style" w:cs="Bookman Old Style"/>
              <w:sz w:val="14"/>
              <w:szCs w:val="14"/>
            </w:rPr>
            <w:instrText xml:space="preserve"> NUMPAGES </w:instrText>
          </w:r>
          <w:r w:rsidR="0002546F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separate"/>
          </w:r>
          <w:r w:rsidR="00810A77">
            <w:rPr>
              <w:rStyle w:val="slostrnky"/>
              <w:rFonts w:ascii="Bookman Old Style" w:hAnsi="Bookman Old Style" w:cs="Bookman Old Style"/>
              <w:noProof/>
              <w:sz w:val="14"/>
              <w:szCs w:val="14"/>
            </w:rPr>
            <w:t>4</w:t>
          </w:r>
          <w:r w:rsidR="0002546F">
            <w:rPr>
              <w:rStyle w:val="slostrnky"/>
              <w:rFonts w:ascii="Bookman Old Style" w:hAnsi="Bookman Old Style" w:cs="Bookman Old Style"/>
              <w:sz w:val="14"/>
              <w:szCs w:val="14"/>
            </w:rPr>
            <w:fldChar w:fldCharType="end"/>
          </w:r>
        </w:p>
      </w:tc>
      <w:tc>
        <w:tcPr>
          <w:tcW w:w="3071" w:type="dxa"/>
        </w:tcPr>
        <w:p w:rsidR="00AC7E86" w:rsidRDefault="00810A77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3071" w:type="dxa"/>
        </w:tcPr>
        <w:p w:rsidR="00AC7E86" w:rsidRDefault="007D034B" w:rsidP="003B0E93">
          <w:pPr>
            <w:pStyle w:val="Zpat"/>
            <w:rPr>
              <w:rFonts w:ascii="Bookman Old Style" w:hAnsi="Bookman Old Style" w:cs="Bookman Old Style"/>
              <w:sz w:val="14"/>
              <w:szCs w:val="14"/>
            </w:rPr>
          </w:pPr>
          <w:r>
            <w:rPr>
              <w:rFonts w:ascii="Bookman Old Style" w:hAnsi="Bookman Old Style" w:cs="Bookman Old Style"/>
              <w:sz w:val="14"/>
              <w:szCs w:val="14"/>
            </w:rPr>
            <w:t xml:space="preserve"> </w:t>
          </w:r>
        </w:p>
      </w:tc>
    </w:tr>
  </w:tbl>
  <w:p w:rsidR="00AC7E86" w:rsidRDefault="00810A77">
    <w:pPr>
      <w:pStyle w:val="Zpa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1C" w:rsidRDefault="00F22E1C" w:rsidP="00DC3B26">
      <w:r>
        <w:separator/>
      </w:r>
    </w:p>
  </w:footnote>
  <w:footnote w:type="continuationSeparator" w:id="0">
    <w:p w:rsidR="00F22E1C" w:rsidRDefault="00F22E1C" w:rsidP="00DC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9"/>
      <w:gridCol w:w="4821"/>
    </w:tblGrid>
    <w:tr w:rsidR="00AC7E86">
      <w:tc>
        <w:tcPr>
          <w:tcW w:w="4390" w:type="dxa"/>
        </w:tcPr>
        <w:p w:rsidR="00BE39FA" w:rsidRPr="00BE39FA" w:rsidRDefault="00BE39FA" w:rsidP="00BE39FA">
          <w:pPr>
            <w:rPr>
              <w:rFonts w:asciiTheme="majorHAnsi" w:hAnsiTheme="majorHAnsi" w:cs="Arial"/>
              <w:bCs/>
              <w:sz w:val="16"/>
              <w:szCs w:val="16"/>
            </w:rPr>
          </w:pPr>
          <w:r w:rsidRPr="00BE39FA">
            <w:rPr>
              <w:rFonts w:asciiTheme="majorHAnsi" w:hAnsiTheme="majorHAnsi" w:cs="Arial"/>
              <w:bCs/>
              <w:sz w:val="16"/>
              <w:szCs w:val="16"/>
            </w:rPr>
            <w:t>Smlouva na zajištění servisní činnosti zahrnující funkční zkoušky a kontroly provozuschopnosti EPS a ER</w:t>
          </w:r>
          <w:r w:rsidR="00F004FA">
            <w:rPr>
              <w:rFonts w:asciiTheme="majorHAnsi" w:hAnsiTheme="majorHAnsi" w:cs="Arial"/>
              <w:bCs/>
              <w:sz w:val="16"/>
              <w:szCs w:val="16"/>
            </w:rPr>
            <w:t>O</w:t>
          </w:r>
          <w:r w:rsidR="00E07E19">
            <w:rPr>
              <w:rFonts w:asciiTheme="majorHAnsi" w:hAnsiTheme="majorHAnsi" w:cs="Arial"/>
              <w:bCs/>
              <w:sz w:val="16"/>
              <w:szCs w:val="16"/>
            </w:rPr>
            <w:t xml:space="preserve">                                  </w:t>
          </w:r>
          <w:r w:rsidR="00E07E19" w:rsidRPr="00E07E19">
            <w:rPr>
              <w:rFonts w:asciiTheme="majorHAnsi" w:hAnsiTheme="majorHAnsi" w:cs="Arial"/>
              <w:bCs/>
              <w:sz w:val="28"/>
              <w:szCs w:val="16"/>
            </w:rPr>
            <w:t>č</w:t>
          </w:r>
          <w:r w:rsidR="00E07E19">
            <w:rPr>
              <w:rFonts w:asciiTheme="majorHAnsi" w:hAnsiTheme="majorHAnsi" w:cs="Arial"/>
              <w:bCs/>
              <w:sz w:val="16"/>
              <w:szCs w:val="16"/>
            </w:rPr>
            <w:t xml:space="preserve">.  </w:t>
          </w:r>
          <w:r w:rsidR="00501055">
            <w:rPr>
              <w:rFonts w:asciiTheme="majorHAnsi" w:hAnsiTheme="majorHAnsi" w:cs="Arial"/>
              <w:b/>
              <w:bCs/>
              <w:sz w:val="28"/>
              <w:szCs w:val="16"/>
            </w:rPr>
            <w:t>PEO</w:t>
          </w:r>
          <w:r w:rsidR="00F004FA">
            <w:rPr>
              <w:rFonts w:asciiTheme="majorHAnsi" w:hAnsiTheme="majorHAnsi" w:cs="Arial"/>
              <w:b/>
              <w:bCs/>
              <w:sz w:val="28"/>
              <w:szCs w:val="16"/>
            </w:rPr>
            <w:t>18045JP</w:t>
          </w:r>
        </w:p>
        <w:p w:rsidR="00055010" w:rsidRDefault="00810A77" w:rsidP="00055010">
          <w:pPr>
            <w:pStyle w:val="Zhlav"/>
            <w:rPr>
              <w:rFonts w:ascii="Bookman Old Style" w:hAnsi="Bookman Old Style" w:cs="Bookman Old Style"/>
              <w:sz w:val="14"/>
              <w:szCs w:val="14"/>
            </w:rPr>
          </w:pPr>
        </w:p>
      </w:tc>
      <w:tc>
        <w:tcPr>
          <w:tcW w:w="4822" w:type="dxa"/>
        </w:tcPr>
        <w:p w:rsidR="00AC7E86" w:rsidRDefault="00F004FA" w:rsidP="00646556">
          <w:pPr>
            <w:pStyle w:val="Zhlav"/>
            <w:jc w:val="right"/>
            <w:rPr>
              <w:rFonts w:ascii="Bookman Old Style" w:hAnsi="Bookman Old Style" w:cs="Bookman Old Style"/>
              <w:sz w:val="14"/>
              <w:szCs w:val="14"/>
            </w:rPr>
          </w:pPr>
          <w:r>
            <w:rPr>
              <w:rFonts w:ascii="Bookman Old Style" w:hAnsi="Bookman Old Style" w:cs="Bookman Old Style"/>
              <w:sz w:val="14"/>
              <w:szCs w:val="14"/>
            </w:rPr>
            <w:t>Městský úřad Kaplice</w:t>
          </w:r>
          <w:r w:rsidR="00BE39FA">
            <w:rPr>
              <w:rFonts w:ascii="Bookman Old Style" w:hAnsi="Bookman Old Style" w:cs="Bookman Old Style"/>
              <w:sz w:val="14"/>
              <w:szCs w:val="14"/>
            </w:rPr>
            <w:t>.</w:t>
          </w:r>
          <w:r w:rsidR="00646556">
            <w:rPr>
              <w:rFonts w:ascii="Bookman Old Style" w:hAnsi="Bookman Old Style" w:cs="Bookman Old Style"/>
              <w:sz w:val="14"/>
              <w:szCs w:val="14"/>
            </w:rPr>
            <w:t xml:space="preserve"> – </w:t>
          </w:r>
          <w:r>
            <w:rPr>
              <w:rFonts w:ascii="Bookman Old Style" w:hAnsi="Bookman Old Style" w:cs="Bookman Old Style"/>
              <w:sz w:val="14"/>
              <w:szCs w:val="14"/>
            </w:rPr>
            <w:t>PEO s.r.o.</w:t>
          </w:r>
          <w:r w:rsidR="00646556">
            <w:rPr>
              <w:rFonts w:ascii="Bookman Old Style" w:hAnsi="Bookman Old Style" w:cs="Bookman Old Style"/>
              <w:sz w:val="14"/>
              <w:szCs w:val="14"/>
            </w:rPr>
            <w:t xml:space="preserve"> </w:t>
          </w:r>
        </w:p>
      </w:tc>
    </w:tr>
  </w:tbl>
  <w:p w:rsidR="00AC7E86" w:rsidRDefault="00810A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633F"/>
    <w:multiLevelType w:val="hybridMultilevel"/>
    <w:tmpl w:val="E6B8C4E4"/>
    <w:lvl w:ilvl="0" w:tplc="4FF60EB8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CC2AE4"/>
    <w:multiLevelType w:val="multilevel"/>
    <w:tmpl w:val="354645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pornochrana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26"/>
    <w:rsid w:val="0002546F"/>
    <w:rsid w:val="00031DEA"/>
    <w:rsid w:val="00076079"/>
    <w:rsid w:val="000764E5"/>
    <w:rsid w:val="00087D7A"/>
    <w:rsid w:val="000B2164"/>
    <w:rsid w:val="00106754"/>
    <w:rsid w:val="00107C45"/>
    <w:rsid w:val="0011785E"/>
    <w:rsid w:val="00161056"/>
    <w:rsid w:val="00166A61"/>
    <w:rsid w:val="00181402"/>
    <w:rsid w:val="00187638"/>
    <w:rsid w:val="001F5525"/>
    <w:rsid w:val="00254BF7"/>
    <w:rsid w:val="002B44C5"/>
    <w:rsid w:val="002C5539"/>
    <w:rsid w:val="002E6471"/>
    <w:rsid w:val="002F0CC8"/>
    <w:rsid w:val="00335B0E"/>
    <w:rsid w:val="00343779"/>
    <w:rsid w:val="00345BBF"/>
    <w:rsid w:val="003761E5"/>
    <w:rsid w:val="003D60C6"/>
    <w:rsid w:val="004653DC"/>
    <w:rsid w:val="004875E4"/>
    <w:rsid w:val="004B304A"/>
    <w:rsid w:val="004D4CE3"/>
    <w:rsid w:val="004F3B3B"/>
    <w:rsid w:val="00501055"/>
    <w:rsid w:val="00581B45"/>
    <w:rsid w:val="005962BF"/>
    <w:rsid w:val="0060779C"/>
    <w:rsid w:val="0064346F"/>
    <w:rsid w:val="00643F15"/>
    <w:rsid w:val="00646556"/>
    <w:rsid w:val="006627A4"/>
    <w:rsid w:val="00664F0B"/>
    <w:rsid w:val="00697B44"/>
    <w:rsid w:val="006C27DA"/>
    <w:rsid w:val="006D6328"/>
    <w:rsid w:val="006E7A0D"/>
    <w:rsid w:val="00701458"/>
    <w:rsid w:val="007155FA"/>
    <w:rsid w:val="00753221"/>
    <w:rsid w:val="00760E5E"/>
    <w:rsid w:val="007B1D31"/>
    <w:rsid w:val="007D034B"/>
    <w:rsid w:val="007E537B"/>
    <w:rsid w:val="00810A77"/>
    <w:rsid w:val="00846925"/>
    <w:rsid w:val="008C7C44"/>
    <w:rsid w:val="0095470C"/>
    <w:rsid w:val="00955C08"/>
    <w:rsid w:val="009C0044"/>
    <w:rsid w:val="009D3A1E"/>
    <w:rsid w:val="009D47FF"/>
    <w:rsid w:val="009E5EC1"/>
    <w:rsid w:val="009F0A2A"/>
    <w:rsid w:val="009F3433"/>
    <w:rsid w:val="00A05CDA"/>
    <w:rsid w:val="00A1492B"/>
    <w:rsid w:val="00A360F5"/>
    <w:rsid w:val="00A62139"/>
    <w:rsid w:val="00A6687C"/>
    <w:rsid w:val="00AE111D"/>
    <w:rsid w:val="00AF1925"/>
    <w:rsid w:val="00B81711"/>
    <w:rsid w:val="00B9761C"/>
    <w:rsid w:val="00BB5139"/>
    <w:rsid w:val="00BD3E7F"/>
    <w:rsid w:val="00BE39FA"/>
    <w:rsid w:val="00BF0FAB"/>
    <w:rsid w:val="00BF719D"/>
    <w:rsid w:val="00C540FF"/>
    <w:rsid w:val="00C86B2A"/>
    <w:rsid w:val="00CA6C81"/>
    <w:rsid w:val="00D15BB6"/>
    <w:rsid w:val="00D231FD"/>
    <w:rsid w:val="00D50A0A"/>
    <w:rsid w:val="00D67653"/>
    <w:rsid w:val="00D923F1"/>
    <w:rsid w:val="00DC3B26"/>
    <w:rsid w:val="00E07E19"/>
    <w:rsid w:val="00E1787D"/>
    <w:rsid w:val="00E337FE"/>
    <w:rsid w:val="00E537B2"/>
    <w:rsid w:val="00EA3E5B"/>
    <w:rsid w:val="00EA4A0E"/>
    <w:rsid w:val="00EB4337"/>
    <w:rsid w:val="00ED6CAD"/>
    <w:rsid w:val="00EF61B6"/>
    <w:rsid w:val="00F004FA"/>
    <w:rsid w:val="00F22E1C"/>
    <w:rsid w:val="00F8742F"/>
    <w:rsid w:val="00FA1B3C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4B4D8-C43E-4101-BF53-383B52E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DC3B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3B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DC3B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3B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DC3B26"/>
  </w:style>
  <w:style w:type="paragraph" w:styleId="Odstavecseseznamem">
    <w:name w:val="List Paragraph"/>
    <w:basedOn w:val="Normln"/>
    <w:link w:val="OdstavecseseznamemChar"/>
    <w:uiPriority w:val="34"/>
    <w:qFormat/>
    <w:rsid w:val="00DC3B26"/>
    <w:pPr>
      <w:ind w:left="708"/>
    </w:pPr>
  </w:style>
  <w:style w:type="paragraph" w:customStyle="1" w:styleId="dodatek2">
    <w:name w:val="dodatek2"/>
    <w:basedOn w:val="Normln"/>
    <w:qFormat/>
    <w:rsid w:val="00DC3B26"/>
    <w:pPr>
      <w:tabs>
        <w:tab w:val="num" w:pos="720"/>
      </w:tabs>
      <w:ind w:left="720" w:hanging="720"/>
      <w:jc w:val="both"/>
    </w:pPr>
    <w:rPr>
      <w:rFonts w:ascii="Cambria" w:hAnsi="Cambria" w:cs="Arial"/>
      <w:b/>
      <w:sz w:val="22"/>
      <w:szCs w:val="22"/>
    </w:rPr>
  </w:style>
  <w:style w:type="character" w:styleId="Siln">
    <w:name w:val="Strong"/>
    <w:basedOn w:val="Standardnpsmoodstavce"/>
    <w:uiPriority w:val="22"/>
    <w:qFormat/>
    <w:rsid w:val="00DC3B26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C3B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B26"/>
    <w:pPr>
      <w:tabs>
        <w:tab w:val="center" w:pos="4536"/>
      </w:tabs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C3B26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oskytovnslueb">
    <w:name w:val="poskytování služeb"/>
    <w:basedOn w:val="Normln"/>
    <w:link w:val="poskytovnsluebChar"/>
    <w:qFormat/>
    <w:rsid w:val="00DC3B26"/>
    <w:pPr>
      <w:tabs>
        <w:tab w:val="num" w:pos="720"/>
      </w:tabs>
      <w:ind w:left="720" w:hanging="720"/>
      <w:jc w:val="both"/>
    </w:pPr>
    <w:rPr>
      <w:rFonts w:ascii="Garamond" w:hAnsi="Garamond"/>
      <w:sz w:val="22"/>
      <w:szCs w:val="22"/>
    </w:rPr>
  </w:style>
  <w:style w:type="character" w:customStyle="1" w:styleId="poskytovnsluebChar">
    <w:name w:val="poskytování služeb Char"/>
    <w:link w:val="poskytovnslueb"/>
    <w:rsid w:val="00DC3B26"/>
    <w:rPr>
      <w:rFonts w:ascii="Garamond" w:eastAsia="Times New Roman" w:hAnsi="Garamond" w:cs="Times New Roman"/>
      <w:lang w:eastAsia="cs-CZ"/>
    </w:rPr>
  </w:style>
  <w:style w:type="paragraph" w:customStyle="1" w:styleId="sluby">
    <w:name w:val="služby"/>
    <w:basedOn w:val="Normln"/>
    <w:link w:val="slubyChar"/>
    <w:qFormat/>
    <w:rsid w:val="00DC3B26"/>
    <w:pPr>
      <w:tabs>
        <w:tab w:val="num" w:pos="720"/>
      </w:tabs>
      <w:ind w:left="720" w:hanging="720"/>
      <w:jc w:val="both"/>
    </w:pPr>
    <w:rPr>
      <w:rFonts w:ascii="Garamond" w:hAnsi="Garamond"/>
      <w:sz w:val="22"/>
      <w:szCs w:val="22"/>
    </w:rPr>
  </w:style>
  <w:style w:type="character" w:customStyle="1" w:styleId="slubyChar">
    <w:name w:val="služby Char"/>
    <w:link w:val="sluby"/>
    <w:rsid w:val="00DC3B26"/>
    <w:rPr>
      <w:rFonts w:ascii="Garamond" w:eastAsia="Times New Roman" w:hAnsi="Garamond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C3B26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C3B26"/>
    <w:rPr>
      <w:rFonts w:ascii="Consolas" w:eastAsia="Calibri" w:hAnsi="Consolas" w:cs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8763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178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8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8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8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rnochrana">
    <w:name w:val="požární ochrana"/>
    <w:basedOn w:val="sluby"/>
    <w:link w:val="pornochranaChar"/>
    <w:qFormat/>
    <w:rsid w:val="00E1787D"/>
    <w:pPr>
      <w:numPr>
        <w:ilvl w:val="1"/>
        <w:numId w:val="1"/>
      </w:numPr>
    </w:pPr>
    <w:rPr>
      <w:rFonts w:asciiTheme="majorHAnsi" w:hAnsiTheme="majorHAnsi"/>
      <w:sz w:val="20"/>
      <w:szCs w:val="20"/>
    </w:rPr>
  </w:style>
  <w:style w:type="character" w:customStyle="1" w:styleId="pornochranaChar">
    <w:name w:val="požární ochrana Char"/>
    <w:basedOn w:val="slubyChar"/>
    <w:link w:val="pornochrana"/>
    <w:rsid w:val="00E1787D"/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8109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enovakova</dc:creator>
  <cp:lastModifiedBy>Putzerová Ivana</cp:lastModifiedBy>
  <cp:revision>2</cp:revision>
  <cp:lastPrinted>2014-07-15T11:06:00Z</cp:lastPrinted>
  <dcterms:created xsi:type="dcterms:W3CDTF">2019-06-10T14:16:00Z</dcterms:created>
  <dcterms:modified xsi:type="dcterms:W3CDTF">2019-06-10T14:16:00Z</dcterms:modified>
</cp:coreProperties>
</file>