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tabs>
          <w:tab w:val="right" w:leader="none" w:pos="8957"/>
        </w:tabs>
        <w:rPr>
          <w:b w:val="true"/>
          <w:color w:val="#000000"/>
          <w:sz w:val="32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3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KUPNÍ SMLOUVA </w:t>
      </w:r>
      <w:r>
        <w:rPr>
          <w:b w:val="true"/>
          <w:color w:val="#000000"/>
          <w:sz w:val="3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č.: 21</w:t>
      </w:r>
      <w:r>
        <w:rPr>
          <w:b w:val="true"/>
          <w:color w:val="#000000"/>
          <w:sz w:val="3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9034	</w:t>
      </w:r>
      <w:r>
        <w:rPr>
          <w:b w:val="true"/>
          <w:color w:val="#000000"/>
          <w:sz w:val="3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ZAKÁZKA č.:</w:t>
      </w:r>
      <w:r>
        <w:rPr>
          <w:b w:val="true"/>
          <w:color w:val="#000000"/>
          <w:sz w:val="3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 219010</w:t>
      </w:r>
    </w:p>
    <w:p>
      <w:pPr>
        <w:ind w:right="0" w:left="0" w:firstLine="0"/>
        <w:spacing w:before="684" w:after="0" w:line="182" w:lineRule="auto"/>
        <w:jc w:val="left"/>
        <w:tabs>
          <w:tab w:val="right" w:leader="none" w:pos="7124"/>
        </w:tabs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OBJEDNATEL:	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ZHOTOVITEL:</w:t>
      </w:r>
    </w:p>
    <w:p>
      <w:pPr>
        <w:ind w:right="0" w:left="1368" w:firstLine="0"/>
        <w:spacing w:before="216" w:after="0" w:line="280" w:lineRule="auto"/>
        <w:jc w:val="left"/>
        <w:tabs>
          <w:tab w:val="right" w:leader="none" w:pos="7378"/>
        </w:tabs>
        <w:rPr>
          <w:b w:val="true"/>
          <w:color w:val="#000000"/>
          <w:sz w:val="24"/>
          <w:lang w:val="cs-CZ"/>
          <w:spacing w:val="-12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-12"/>
          <w:w w:val="105"/>
          <w:strike w:val="false"/>
          <w:vertAlign w:val="baseline"/>
          <w:rFonts w:ascii="Arial" w:hAnsi="Arial"/>
        </w:rPr>
        <w:t xml:space="preserve">DD Loreta a ŠJ, Fulnek</w:t>
      </w:r>
      <w:r>
        <w:rPr>
          <w:b w:val="true"/>
          <w:color w:val="#000000"/>
          <w:sz w:val="24"/>
          <w:lang w:val="cs-CZ"/>
          <w:spacing w:val="-12"/>
          <w:w w:val="105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VYSOT, s.r.o.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,</w:t>
      </w:r>
    </w:p>
    <w:p>
      <w:pPr>
        <w:ind w:right="0" w:left="1368" w:firstLine="0"/>
        <w:spacing w:before="0" w:after="0" w:line="240" w:lineRule="auto"/>
        <w:jc w:val="left"/>
        <w:tabs>
          <w:tab w:val="right" w:leader="none" w:pos="7733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říspěvková organizace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zast.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Ing. Petr Hruška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44" w:after="0" w:line="240" w:lineRule="auto"/>
        <w:jc w:val="left"/>
        <w:tabs>
          <w:tab w:val="right" w:leader="none" w:pos="2813"/>
        </w:tabs>
        <w:rPr>
          <w:color w:val="#000000"/>
          <w:sz w:val="20"/>
          <w:lang w:val="cs-CZ"/>
          <w:spacing w:val="-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Ulice:	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Kapucínská 281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08" w:after="0" w:line="240" w:lineRule="auto"/>
        <w:jc w:val="left"/>
        <w:tabs>
          <w:tab w:val="left" w:leader="none" w:pos="1397"/>
          <w:tab w:val="right" w:leader="none" w:pos="7493"/>
        </w:tabs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Místo:</w:t>
      </w: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742 45 Fulnek	</w:t>
      </w:r>
      <w:r>
        <w:rPr>
          <w:b w:val="true"/>
          <w:color w:val="#000000"/>
          <w:sz w:val="20"/>
          <w:lang w:val="cs-CZ"/>
          <w:spacing w:val="-10"/>
          <w:w w:val="110"/>
          <w:strike w:val="false"/>
          <w:vertAlign w:val="baseline"/>
          <w:rFonts w:ascii="Arial" w:hAnsi="Arial"/>
        </w:rPr>
        <w:t xml:space="preserve">742 53 KUNÍN 10</w:t>
      </w: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5</w:t>
      </w:r>
    </w:p>
    <w:p>
      <w:pPr>
        <w:ind w:right="0" w:left="0" w:firstLine="0"/>
        <w:spacing w:before="360" w:after="0" w:line="240" w:lineRule="auto"/>
        <w:jc w:val="left"/>
        <w:tabs>
          <w:tab w:val="right" w:leader="none" w:pos="6960"/>
        </w:tabs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R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Č/DIČ: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CZ25825526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2300"/>
        </w:tabs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ČO:</w:t>
      </w: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62330268</w:t>
      </w:r>
    </w:p>
    <w:p>
      <w:pPr>
        <w:ind w:right="0" w:left="0" w:firstLine="0"/>
        <w:spacing w:before="0" w:after="0" w:line="283" w:lineRule="auto"/>
        <w:jc w:val="left"/>
        <w:tabs>
          <w:tab w:val="right" w:leader="none" w:pos="8472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Bank.spojení: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1865125309/0800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ČSOB, č.ú. 156861536 / 0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300</w:t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uzavírají níže uvedeného dne, m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ěsíce a roku ve smyslu ustanovení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-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§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2586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a násl.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bčanského zákoníku následující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smlouvu o dílo na provedení stavebních prací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včetně dodávky zboží, dále jen „smlouva“: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000000"/>
          <w:sz w:val="20"/>
          <w:lang w:val="cs-CZ"/>
          <w:spacing w:val="-8"/>
          <w:w w:val="11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8"/>
          <w:w w:val="110"/>
          <w:strike w:val="false"/>
          <w:u w:val="singl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0"/>
          <w:lang w:val="cs-CZ"/>
          <w:spacing w:val="-8"/>
          <w:w w:val="110"/>
          <w:strike w:val="false"/>
          <w:u w:val="single"/>
          <w:vertAlign w:val="baseline"/>
          <w:rFonts w:ascii="Arial" w:hAnsi="Arial"/>
        </w:rPr>
        <w:t xml:space="preserve">ředmět dodávky: </w:t>
      </w:r>
      <w:r>
        <w:rPr>
          <w:b w:val="true"/>
          <w:color w:val="#000000"/>
          <w:sz w:val="20"/>
          <w:lang w:val="cs-CZ"/>
          <w:spacing w:val="-8"/>
          <w:w w:val="100"/>
          <w:strike w:val="false"/>
          <w:u w:val="single"/>
          <w:vertAlign w:val="baseline"/>
          <w:rFonts w:ascii="Arial" w:hAnsi="Arial"/>
        </w:rPr>
      </w:r>
    </w:p>
    <w:p>
      <w:pPr>
        <w:ind w:right="0" w:left="0" w:firstLine="0"/>
        <w:spacing w:before="36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Dodávka a montáž horizontálních a vertikálních žaluzií –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viz. CN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jež tvo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 přílohu č. 1.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468" w:after="0" w:line="240" w:lineRule="auto"/>
        <w:jc w:val="left"/>
        <w:tabs>
          <w:tab w:val="left" w:leader="none" w:pos="3120"/>
          <w:tab w:val="left" w:leader="none" w:pos="4968"/>
          <w:tab w:val="left" w:leader="none" w:pos="7124"/>
          <w:tab w:val="right" w:leader="none" w:pos="9384"/>
        </w:tabs>
        <w:rPr>
          <w:b w:val="true"/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Datum: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 6. 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června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 2019	</w:t>
      </w:r>
      <w:r>
        <w:rPr>
          <w:b w:val="true"/>
          <w:color w:val="#000000"/>
          <w:sz w:val="20"/>
          <w:lang w:val="cs-CZ"/>
          <w:spacing w:val="-10"/>
          <w:w w:val="110"/>
          <w:strike w:val="false"/>
          <w:vertAlign w:val="baseline"/>
          <w:rFonts w:ascii="Arial" w:hAnsi="Arial"/>
        </w:rPr>
        <w:t xml:space="preserve">Termín dodání: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do 28. </w:t>
      </w: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červn</w:t>
      </w: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a 2019	</w:t>
      </w:r>
      <w:r>
        <w:rPr>
          <w:b w:val="true"/>
          <w:color w:val="#000000"/>
          <w:sz w:val="20"/>
          <w:lang w:val="cs-CZ"/>
          <w:spacing w:val="-10"/>
          <w:w w:val="110"/>
          <w:strike w:val="false"/>
          <w:vertAlign w:val="baseline"/>
          <w:rFonts w:ascii="Arial" w:hAnsi="Arial"/>
        </w:rPr>
        <w:t xml:space="preserve">Místo plnění: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Fulnek</w:t>
      </w:r>
    </w:p>
    <w:p>
      <w:pPr>
        <w:ind w:right="0" w:left="0" w:firstLine="0"/>
        <w:spacing w:before="360" w:after="0" w:line="240" w:lineRule="auto"/>
        <w:jc w:val="left"/>
        <w:rPr>
          <w:b w:val="true"/>
          <w:color w:val="#000000"/>
          <w:sz w:val="20"/>
          <w:lang w:val="cs-CZ"/>
          <w:spacing w:val="-2"/>
          <w:w w:val="11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2"/>
          <w:w w:val="110"/>
          <w:strike w:val="false"/>
          <w:u w:val="single"/>
          <w:vertAlign w:val="baseline"/>
          <w:rFonts w:ascii="Arial" w:hAnsi="Arial"/>
        </w:rPr>
        <w:t xml:space="preserve">Záru</w:t>
      </w:r>
      <w:r>
        <w:rPr>
          <w:b w:val="true"/>
          <w:color w:val="#000000"/>
          <w:sz w:val="20"/>
          <w:lang w:val="cs-CZ"/>
          <w:spacing w:val="-2"/>
          <w:w w:val="110"/>
          <w:strike w:val="false"/>
          <w:u w:val="single"/>
          <w:vertAlign w:val="baseline"/>
          <w:rFonts w:ascii="Arial" w:hAnsi="Arial"/>
        </w:rPr>
        <w:t xml:space="preserve">ční doba: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 Zhotovitel poskytuje záruku na okna v délce 24 měsíců.</w:t>
      </w:r>
    </w:p>
    <w:p>
      <w:pPr>
        <w:ind w:right="0" w:left="0" w:firstLine="0"/>
        <w:spacing w:before="396" w:after="0" w:line="208" w:lineRule="auto"/>
        <w:jc w:val="left"/>
        <w:rPr>
          <w:b w:val="true"/>
          <w:color w:val="#000000"/>
          <w:sz w:val="20"/>
          <w:lang w:val="cs-CZ"/>
          <w:spacing w:val="-6"/>
          <w:w w:val="11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6"/>
          <w:w w:val="110"/>
          <w:strike w:val="false"/>
          <w:u w:val="single"/>
          <w:vertAlign w:val="baseline"/>
          <w:rFonts w:ascii="Arial" w:hAnsi="Arial"/>
        </w:rPr>
        <w:t xml:space="preserve">Cena díla: </w:t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u w:val="single"/>
          <w:vertAlign w:val="baseline"/>
          <w:rFonts w:ascii="Arial" w:hAnsi="Arial"/>
        </w:rPr>
      </w:r>
    </w:p>
    <w:p>
      <w:pPr>
        <w:ind w:right="0" w:left="0" w:firstLine="0"/>
        <w:spacing w:before="252" w:after="0" w:line="240" w:lineRule="auto"/>
        <w:jc w:val="left"/>
        <w:tabs>
          <w:tab w:val="left" w:leader="none" w:pos="2813"/>
          <w:tab w:val="right" w:leader="none" w:pos="9264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Sjednaná cena celkem: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68 738,- </w:t>
      </w:r>
      <w:r>
        <w:rPr>
          <w:b w:val="true"/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K</w:t>
      </w:r>
      <w:r>
        <w:rPr>
          <w:b w:val="true"/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,	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Slovy: 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šedesátosmtisícsedmsettřicetosmkorunčeských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08" w:after="0" w:line="240" w:lineRule="auto"/>
        <w:jc w:val="left"/>
        <w:tabs>
          <w:tab w:val="left" w:leader="none" w:pos="2813"/>
          <w:tab w:val="left" w:leader="none" w:pos="4402"/>
          <w:tab w:val="right" w:leader="none" w:pos="6797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Z toho: cena dodávky: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56 808,- </w:t>
      </w:r>
      <w:r>
        <w:rPr>
          <w:b w:val="true"/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K</w:t>
      </w:r>
      <w:r>
        <w:rPr>
          <w:b w:val="true"/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,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DPH.21%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:	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11 930,- </w:t>
      </w:r>
      <w:r>
        <w:rPr>
          <w:b w:val="true"/>
          <w:color w:val="#000000"/>
          <w:sz w:val="20"/>
          <w:lang w:val="cs-CZ"/>
          <w:spacing w:val="0"/>
          <w:w w:val="110"/>
          <w:strike w:val="false"/>
          <w:vertAlign w:val="baseline"/>
          <w:rFonts w:ascii="Arial" w:hAnsi="Arial"/>
        </w:rPr>
        <w:t xml:space="preserve">Kč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576" w:after="0" w:line="240" w:lineRule="auto"/>
        <w:jc w:val="left"/>
        <w:rPr>
          <w:b w:val="true"/>
          <w:color w:val="#000000"/>
          <w:sz w:val="20"/>
          <w:lang w:val="cs-CZ"/>
          <w:spacing w:val="-12"/>
          <w:w w:val="11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12"/>
          <w:w w:val="110"/>
          <w:strike w:val="false"/>
          <w:u w:val="single"/>
          <w:vertAlign w:val="baseline"/>
          <w:rFonts w:ascii="Arial" w:hAnsi="Arial"/>
        </w:rPr>
        <w:t xml:space="preserve">Platební podmínky: </w:t>
      </w:r>
      <w:r>
        <w:rPr>
          <w:color w:val="#000000"/>
          <w:sz w:val="20"/>
          <w:lang w:val="cs-CZ"/>
          <w:spacing w:val="-12"/>
          <w:w w:val="100"/>
          <w:strike w:val="false"/>
          <w:u w:val="single"/>
          <w:vertAlign w:val="baseline"/>
          <w:rFonts w:ascii="Arial" w:hAnsi="Arial"/>
        </w:rPr>
      </w:r>
    </w:p>
    <w:p>
      <w:pPr>
        <w:ind w:right="0" w:left="0" w:firstLine="0"/>
        <w:spacing w:before="144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 se touto smlouvou zavazuje zaplatit smluvní cenu podle této smlouvy zhotoviteli takto: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720" w:firstLine="0"/>
        <w:spacing w:before="180" w:after="0" w:line="240" w:lineRule="auto"/>
        <w:jc w:val="left"/>
        <w:tabs>
          <w:tab w:val="left" w:leader="none" w:pos="2813"/>
          <w:tab w:val="right" w:leader="none" w:pos="8256"/>
        </w:tabs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Záloha: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0,- </w:t>
      </w:r>
      <w:r>
        <w:rPr>
          <w:b w:val="true"/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K</w:t>
      </w:r>
      <w:r>
        <w:rPr>
          <w:b w:val="true"/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č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,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splatnost: do 10ti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dnů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 podpisu smlouvy</w:t>
      </w:r>
    </w:p>
    <w:p>
      <w:pPr>
        <w:ind w:right="0" w:left="720" w:firstLine="0"/>
        <w:spacing w:before="0" w:after="1584" w:line="240" w:lineRule="auto"/>
        <w:jc w:val="left"/>
        <w:tabs>
          <w:tab w:val="left" w:leader="none" w:pos="2300"/>
          <w:tab w:val="right" w:leader="none" w:pos="7815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Doplatek: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68 738,- </w:t>
      </w:r>
      <w:r>
        <w:rPr>
          <w:b w:val="true"/>
          <w:color w:val="#000000"/>
          <w:sz w:val="20"/>
          <w:lang w:val="cs-CZ"/>
          <w:spacing w:val="-10"/>
          <w:w w:val="110"/>
          <w:strike w:val="false"/>
          <w:vertAlign w:val="baseline"/>
          <w:rFonts w:ascii="Arial" w:hAnsi="Arial"/>
        </w:rPr>
        <w:t xml:space="preserve">K</w:t>
      </w:r>
      <w:r>
        <w:rPr>
          <w:b w:val="true"/>
          <w:color w:val="#000000"/>
          <w:sz w:val="20"/>
          <w:lang w:val="cs-CZ"/>
          <w:spacing w:val="-10"/>
          <w:w w:val="110"/>
          <w:strike w:val="false"/>
          <w:vertAlign w:val="baseline"/>
          <w:rFonts w:ascii="Arial" w:hAnsi="Arial"/>
        </w:rPr>
        <w:t xml:space="preserve">č,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splatnost: do 10t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 dnů po předání díla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2088" w:firstLine="0"/>
        <w:spacing w:before="72" w:after="0" w:line="240" w:lineRule="auto"/>
        <w:jc w:val="left"/>
        <w:tabs>
          <w:tab w:val="right" w:leader="none" w:pos="8338"/>
        </w:tabs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pict>
          <v:line strokeweight="1.2pt" strokecolor="#000000" from="57.15pt,0.65pt" to="183.45pt,0.65pt" style="position:absolute;mso-position-horizontal-relative:text;mso-position-vertical-relative:text;">
            <v:stroke dashstyle="shortdot"/>
          </v:line>
        </w:pict>
      </w:r>
      <w:r>
        <w:pict>
          <v:line strokeweight="1.2pt" strokecolor="#000000" from="323.55pt,0.65pt" to="466.85pt,0.65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objednatel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zhotovitel</w:t>
      </w:r>
    </w:p>
    <w:p>
      <w:pPr>
        <w:ind w:right="0" w:left="0" w:firstLine="0"/>
        <w:spacing w:before="576" w:after="0" w:line="240" w:lineRule="auto"/>
        <w:jc w:val="left"/>
        <w:tabs>
          <w:tab w:val="left" w:leader="none" w:pos="1450"/>
          <w:tab w:val="right" w:leader="none" w:pos="2727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řílohy: číslo:	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listů: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název: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864" w:firstLine="0"/>
        <w:spacing w:before="0" w:after="0" w:line="240" w:lineRule="auto"/>
        <w:jc w:val="left"/>
        <w:tabs>
          <w:tab w:val="left" w:leader="none" w:pos="1565"/>
          <w:tab w:val="right" w:leader="none" w:pos="5583"/>
        </w:tabs>
        <w:rPr>
          <w:color w:val="#000000"/>
          <w:sz w:val="20"/>
          <w:lang w:val="cs-CZ"/>
          <w:spacing w:val="-3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34"/>
          <w:w w:val="100"/>
          <w:strike w:val="false"/>
          <w:vertAlign w:val="baseline"/>
          <w:rFonts w:ascii="Arial" w:hAnsi="Arial"/>
        </w:rPr>
        <w:t xml:space="preserve">1,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Cenová nabídka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-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specifikace dodávky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296" w:after="0" w:line="240" w:lineRule="auto"/>
        <w:jc w:val="center"/>
        <w:rPr>
          <w:b w:val="true"/>
          <w:color w:val="#000000"/>
          <w:sz w:val="20"/>
          <w:lang w:val="cs-CZ"/>
          <w:spacing w:val="-9"/>
          <w:w w:val="11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9"/>
          <w:w w:val="110"/>
          <w:strike w:val="false"/>
          <w:vertAlign w:val="baseline"/>
          <w:rFonts w:ascii="Arial" w:hAnsi="Arial"/>
        </w:rPr>
        <w:t xml:space="preserve">Platné ve spojení s všeobecnými obchodními podmínkami VYSOT, s.r.o. (str. 2)</w:t>
      </w:r>
      <w:r>
        <w:rPr>
          <w:b w:val="true"/>
          <w:color w:val="#000000"/>
          <w:sz w:val="20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
</w:t>
        <w:br/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Registrace VYSOT, s.r.o. </w:t>
      </w:r>
      <w:r>
        <w:rPr>
          <w:b w:val="true"/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– Obchodní rejst</w:t>
      </w:r>
      <w:r>
        <w:rPr>
          <w:b w:val="true"/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řík KS v Ostravě, oddíl C, vložka 19640</w:t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</w:r>
    </w:p>
    <w:sectPr>
      <w:pgSz w:w="11918" w:h="16854" w:orient="portrait"/>
      <w:type w:val="nextPage"/>
      <w:textDirection w:val="lrTb"/>
      <w:pgMar w:bottom="694" w:top="790" w:right="644" w:left="71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