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F0" w:rsidRDefault="002D2EF0" w:rsidP="002D2EF0">
      <w:pPr>
        <w:rPr>
          <w:rFonts w:ascii="Times New Roman" w:eastAsia="Times New Roman" w:hAnsi="Times New Roman"/>
          <w:lang w:eastAsia="cs-CZ"/>
        </w:rPr>
      </w:pPr>
      <w:r>
        <w:tab/>
      </w:r>
      <w:r>
        <w:tab/>
      </w:r>
      <w:r>
        <w:tab/>
      </w:r>
      <w:r>
        <w:tab/>
      </w:r>
      <w:r>
        <w:tab/>
      </w:r>
      <w:r>
        <w:tab/>
      </w:r>
      <w:r>
        <w:tab/>
      </w:r>
      <w:r>
        <w:tab/>
      </w:r>
      <w:r w:rsidRPr="00406CC0">
        <w:rPr>
          <w:rFonts w:ascii="Times New Roman" w:eastAsia="Times New Roman" w:hAnsi="Times New Roman"/>
          <w:lang w:eastAsia="cs-CZ"/>
        </w:rPr>
        <w:t>Evidenční číslo smlouvy:</w:t>
      </w:r>
    </w:p>
    <w:p w:rsidR="002D2EF0" w:rsidRPr="0096502F" w:rsidRDefault="002D2EF0" w:rsidP="002D2EF0">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rsidR="002D2EF0" w:rsidRPr="0096502F" w:rsidRDefault="002D2EF0" w:rsidP="002D2EF0">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t>o poskytnutí dotace z rozpočtu Karlovarského kraje</w:t>
      </w:r>
    </w:p>
    <w:p w:rsidR="002D2EF0" w:rsidRPr="0096502F" w:rsidRDefault="002D2EF0" w:rsidP="00FB5867">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rsidR="004D7863" w:rsidRDefault="004D7863" w:rsidP="002D2EF0">
      <w:pPr>
        <w:spacing w:after="0" w:line="240" w:lineRule="auto"/>
        <w:jc w:val="center"/>
        <w:rPr>
          <w:rFonts w:ascii="Times New Roman" w:eastAsia="Times New Roman" w:hAnsi="Times New Roman"/>
          <w:lang w:eastAsia="cs-CZ"/>
        </w:rPr>
      </w:pPr>
    </w:p>
    <w:p w:rsidR="00FB5867" w:rsidRPr="0096502F" w:rsidRDefault="00FB5867" w:rsidP="002D2EF0">
      <w:pPr>
        <w:spacing w:after="0" w:line="240" w:lineRule="auto"/>
        <w:jc w:val="center"/>
        <w:rPr>
          <w:rFonts w:ascii="Times New Roman" w:eastAsia="Times New Roman" w:hAnsi="Times New Roman"/>
          <w:lang w:eastAsia="cs-CZ"/>
        </w:rPr>
      </w:pPr>
    </w:p>
    <w:p w:rsidR="002D2EF0" w:rsidRPr="0096502F"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rsidR="002D2EF0" w:rsidRPr="0096502F" w:rsidRDefault="002D2EF0" w:rsidP="002D2EF0">
      <w:pPr>
        <w:spacing w:after="0" w:line="240" w:lineRule="auto"/>
        <w:rPr>
          <w:rFonts w:ascii="Times New Roman" w:eastAsia="Times New Roman" w:hAnsi="Times New Roman"/>
          <w:lang w:eastAsia="cs-CZ"/>
        </w:rPr>
      </w:pPr>
    </w:p>
    <w:p w:rsidR="002D2EF0" w:rsidRPr="0096502F" w:rsidRDefault="002D2EF0" w:rsidP="002D2EF0">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rsidR="002D2EF0" w:rsidRPr="0096502F"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Pr="0096502F">
        <w:rPr>
          <w:rFonts w:ascii="Times New Roman" w:eastAsia="Times New Roman" w:hAnsi="Times New Roman"/>
          <w:lang w:eastAsia="cs-CZ"/>
        </w:rPr>
        <w:tab/>
      </w:r>
      <w:r w:rsidRPr="0096502F">
        <w:rPr>
          <w:rFonts w:ascii="Times New Roman" w:eastAsia="Times New Roman" w:hAnsi="Times New Roman"/>
          <w:lang w:eastAsia="cs-CZ"/>
        </w:rPr>
        <w:tab/>
        <w:t>Závodní 353/88, 360 06 Karlovy Vary – Dvory</w:t>
      </w:r>
    </w:p>
    <w:p w:rsidR="002D2EF0" w:rsidRPr="0096502F"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číslo:</w:t>
      </w:r>
      <w:r w:rsidRPr="0096502F">
        <w:rPr>
          <w:rFonts w:ascii="Times New Roman" w:eastAsia="Times New Roman" w:hAnsi="Times New Roman"/>
          <w:lang w:eastAsia="cs-CZ"/>
        </w:rPr>
        <w:tab/>
        <w:t>70891168</w:t>
      </w:r>
    </w:p>
    <w:p w:rsidR="002D2EF0" w:rsidRPr="0096502F"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rsidR="002D2EF0" w:rsidRPr="00EC631E"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EC631E">
        <w:rPr>
          <w:rFonts w:ascii="Times New Roman" w:eastAsia="Times New Roman" w:hAnsi="Times New Roman"/>
          <w:lang w:eastAsia="cs-CZ"/>
        </w:rPr>
        <w:t>Mgr. Janou Mračkovou Vildumetzovou, hejtmankou</w:t>
      </w:r>
    </w:p>
    <w:p w:rsidR="002D2EF0" w:rsidRPr="0096502F" w:rsidRDefault="002D2EF0" w:rsidP="00A75643">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001B7A74">
        <w:rPr>
          <w:rFonts w:ascii="Times New Roman" w:eastAsia="Times New Roman" w:hAnsi="Times New Roman"/>
          <w:lang w:eastAsia="cs-CZ"/>
        </w:rPr>
        <w:t>*****</w:t>
      </w:r>
    </w:p>
    <w:p w:rsidR="002D2EF0" w:rsidRPr="0096502F" w:rsidRDefault="002D2EF0" w:rsidP="002D2EF0">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číslo účtu</w:t>
      </w:r>
      <w:r w:rsidRPr="0096502F">
        <w:rPr>
          <w:rFonts w:ascii="Times New Roman" w:eastAsia="Times New Roman" w:hAnsi="Times New Roman"/>
          <w:lang w:eastAsia="cs-CZ"/>
        </w:rPr>
        <w:tab/>
      </w:r>
      <w:r w:rsidR="00875FC8">
        <w:rPr>
          <w:rFonts w:ascii="Times New Roman" w:eastAsia="Times New Roman" w:hAnsi="Times New Roman"/>
          <w:lang w:eastAsia="cs-CZ"/>
        </w:rPr>
        <w:t>*****</w:t>
      </w:r>
    </w:p>
    <w:p w:rsidR="002D2EF0" w:rsidRPr="0096502F"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Pr>
          <w:rFonts w:ascii="Times New Roman" w:eastAsia="Times New Roman" w:hAnsi="Times New Roman"/>
          <w:lang w:eastAsia="cs-CZ"/>
        </w:rPr>
        <w:t>:</w:t>
      </w:r>
      <w:r w:rsidR="00A75643">
        <w:rPr>
          <w:rFonts w:ascii="Times New Roman" w:eastAsia="Times New Roman" w:hAnsi="Times New Roman"/>
          <w:lang w:eastAsia="cs-CZ"/>
        </w:rPr>
        <w:t xml:space="preserve">       </w:t>
      </w:r>
      <w:r w:rsidR="001B7A74">
        <w:rPr>
          <w:rFonts w:ascii="Times New Roman" w:eastAsia="Times New Roman" w:hAnsi="Times New Roman"/>
          <w:lang w:eastAsia="cs-CZ"/>
        </w:rPr>
        <w:t>*****</w:t>
      </w:r>
    </w:p>
    <w:p w:rsidR="002D2EF0" w:rsidRPr="0096502F" w:rsidRDefault="002D2EF0" w:rsidP="002D2EF0">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00875FC8">
        <w:rPr>
          <w:rFonts w:ascii="Times New Roman" w:hAnsi="Times New Roman"/>
          <w:color w:val="000000"/>
        </w:rPr>
        <w:t>*****</w:t>
      </w:r>
    </w:p>
    <w:p w:rsidR="002D2EF0" w:rsidRPr="0096502F" w:rsidRDefault="002D2EF0" w:rsidP="002D2EF0">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1B7A74">
        <w:rPr>
          <w:rFonts w:ascii="Times New Roman" w:hAnsi="Times New Roman"/>
          <w:color w:val="000000"/>
        </w:rPr>
        <w:t>*****</w:t>
      </w:r>
    </w:p>
    <w:p w:rsidR="002D2EF0" w:rsidRPr="0096502F" w:rsidRDefault="002D2EF0" w:rsidP="002D2EF0">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sidR="00875FC8">
        <w:rPr>
          <w:rFonts w:ascii="Times New Roman" w:hAnsi="Times New Roman"/>
          <w:color w:val="000000"/>
        </w:rPr>
        <w:t>*****</w:t>
      </w:r>
    </w:p>
    <w:p w:rsidR="002D2EF0" w:rsidRPr="0096502F" w:rsidRDefault="002D2EF0" w:rsidP="002D2EF0">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1B7A74">
        <w:rPr>
          <w:rFonts w:ascii="Times New Roman" w:hAnsi="Times New Roman"/>
          <w:color w:val="000000"/>
        </w:rPr>
        <w:t>*****</w:t>
      </w:r>
    </w:p>
    <w:p w:rsidR="002D2EF0" w:rsidRPr="0096502F" w:rsidRDefault="002D2EF0" w:rsidP="002D2EF0">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lang w:eastAsia="cs-CZ"/>
        </w:rPr>
        <w:tab/>
      </w:r>
      <w:r w:rsidR="00875FC8">
        <w:rPr>
          <w:rFonts w:ascii="Times New Roman" w:hAnsi="Times New Roman"/>
          <w:color w:val="000000"/>
        </w:rPr>
        <w:t>*****</w:t>
      </w:r>
    </w:p>
    <w:p w:rsidR="002D2EF0" w:rsidRPr="0096502F"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rsidR="002D2EF0" w:rsidRPr="0096502F"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t>odbor</w:t>
      </w:r>
      <w:r>
        <w:rPr>
          <w:rFonts w:ascii="Times New Roman" w:eastAsia="Times New Roman" w:hAnsi="Times New Roman"/>
          <w:lang w:eastAsia="cs-CZ"/>
        </w:rPr>
        <w:t xml:space="preserve"> bezpečnosti a krizového řízení</w:t>
      </w:r>
    </w:p>
    <w:p w:rsidR="002D2EF0" w:rsidRPr="0096502F" w:rsidRDefault="002D2EF0" w:rsidP="002D2EF0">
      <w:pPr>
        <w:spacing w:after="0" w:line="240" w:lineRule="auto"/>
        <w:rPr>
          <w:rFonts w:ascii="Times New Roman" w:eastAsia="Times New Roman" w:hAnsi="Times New Roman"/>
          <w:lang w:eastAsia="cs-CZ"/>
        </w:rPr>
      </w:pPr>
    </w:p>
    <w:p w:rsidR="002D2EF0" w:rsidRPr="0096502F"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rsidR="002D2EF0" w:rsidRPr="0096502F" w:rsidRDefault="002D2EF0" w:rsidP="002D2EF0">
      <w:pPr>
        <w:spacing w:after="0" w:line="240" w:lineRule="auto"/>
        <w:rPr>
          <w:rFonts w:ascii="Times New Roman" w:eastAsia="Times New Roman" w:hAnsi="Times New Roman"/>
          <w:lang w:eastAsia="cs-CZ"/>
        </w:rPr>
      </w:pPr>
    </w:p>
    <w:p w:rsidR="002D2EF0" w:rsidRDefault="002D2EF0" w:rsidP="002D2E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rsidR="002D2EF0" w:rsidRDefault="002D2EF0" w:rsidP="002D2EF0">
      <w:pPr>
        <w:spacing w:after="0" w:line="240" w:lineRule="auto"/>
        <w:rPr>
          <w:rFonts w:ascii="Times New Roman" w:eastAsia="Times New Roman" w:hAnsi="Times New Roman"/>
          <w:lang w:eastAsia="cs-CZ"/>
        </w:rPr>
      </w:pPr>
    </w:p>
    <w:p w:rsidR="002D2EF0" w:rsidRPr="002D2EF0" w:rsidRDefault="002D2EF0" w:rsidP="002D2EF0">
      <w:pPr>
        <w:spacing w:after="0" w:line="240" w:lineRule="auto"/>
        <w:rPr>
          <w:rFonts w:ascii="Times New Roman" w:eastAsia="Times New Roman" w:hAnsi="Times New Roman"/>
          <w:b/>
          <w:lang w:eastAsia="cs-CZ"/>
        </w:rPr>
      </w:pPr>
      <w:r w:rsidRPr="002D2EF0">
        <w:rPr>
          <w:rFonts w:ascii="Times New Roman" w:eastAsia="Times New Roman" w:hAnsi="Times New Roman"/>
          <w:b/>
          <w:lang w:eastAsia="cs-CZ"/>
        </w:rPr>
        <w:t>NOVÉ ČESKO, nadační fond</w:t>
      </w:r>
    </w:p>
    <w:p w:rsidR="002D2EF0" w:rsidRPr="00CB0C47" w:rsidRDefault="002D2EF0" w:rsidP="002D2EF0">
      <w:pPr>
        <w:tabs>
          <w:tab w:val="left" w:pos="2127"/>
        </w:tabs>
        <w:spacing w:after="0" w:line="240" w:lineRule="auto"/>
        <w:ind w:left="2127" w:right="-57" w:hanging="2127"/>
        <w:rPr>
          <w:rFonts w:ascii="Times New Roman" w:eastAsia="Times New Roman" w:hAnsi="Times New Roman"/>
          <w:bCs/>
          <w:color w:val="FF0000"/>
          <w:lang w:eastAsia="cs-CZ"/>
        </w:rPr>
      </w:pPr>
      <w:r w:rsidRPr="0096502F">
        <w:rPr>
          <w:rFonts w:ascii="Times New Roman" w:eastAsia="Times New Roman" w:hAnsi="Times New Roman"/>
          <w:bCs/>
          <w:lang w:eastAsia="cs-CZ"/>
        </w:rPr>
        <w:t>Adresa sídla:</w:t>
      </w:r>
      <w:r w:rsidRPr="0096502F">
        <w:rPr>
          <w:rFonts w:ascii="Times New Roman" w:eastAsia="Times New Roman" w:hAnsi="Times New Roman"/>
          <w:bCs/>
          <w:lang w:eastAsia="cs-CZ"/>
        </w:rPr>
        <w:tab/>
      </w:r>
      <w:r w:rsidRPr="002D2EF0">
        <w:rPr>
          <w:rFonts w:ascii="Times New Roman" w:eastAsia="Times New Roman" w:hAnsi="Times New Roman"/>
          <w:bCs/>
          <w:lang w:eastAsia="cs-CZ"/>
        </w:rPr>
        <w:t>Eliášova 274/4, 160 00 Praha 6</w:t>
      </w:r>
    </w:p>
    <w:p w:rsidR="002D2EF0" w:rsidRPr="00213F09" w:rsidRDefault="002D2EF0" w:rsidP="002D2EF0">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Pr="00213F09">
        <w:rPr>
          <w:rFonts w:ascii="Times New Roman" w:eastAsia="Times New Roman" w:hAnsi="Times New Roman"/>
          <w:bCs/>
          <w:lang w:eastAsia="cs-CZ"/>
        </w:rPr>
        <w:t>24697486</w:t>
      </w:r>
    </w:p>
    <w:p w:rsidR="002D2EF0" w:rsidRPr="00213F09" w:rsidRDefault="002D2EF0" w:rsidP="002D2EF0">
      <w:pPr>
        <w:tabs>
          <w:tab w:val="left" w:pos="2127"/>
        </w:tabs>
        <w:spacing w:after="0" w:line="240" w:lineRule="auto"/>
        <w:ind w:left="2127" w:right="-57" w:hanging="2127"/>
        <w:rPr>
          <w:rFonts w:ascii="Times New Roman" w:eastAsia="Times New Roman" w:hAnsi="Times New Roman"/>
          <w:bCs/>
          <w:lang w:eastAsia="cs-CZ"/>
        </w:rPr>
      </w:pPr>
      <w:r w:rsidRPr="00213F09">
        <w:rPr>
          <w:rFonts w:ascii="Times New Roman" w:eastAsia="Times New Roman" w:hAnsi="Times New Roman"/>
          <w:bCs/>
          <w:lang w:eastAsia="cs-CZ"/>
        </w:rPr>
        <w:t>DIČ:</w:t>
      </w:r>
      <w:r w:rsidRPr="00213F09">
        <w:rPr>
          <w:rFonts w:ascii="Times New Roman" w:eastAsia="Times New Roman" w:hAnsi="Times New Roman"/>
          <w:bCs/>
          <w:lang w:eastAsia="cs-CZ"/>
        </w:rPr>
        <w:tab/>
      </w:r>
      <w:r w:rsidR="00213F09" w:rsidRPr="00213F09">
        <w:rPr>
          <w:rFonts w:ascii="Times New Roman" w:eastAsia="Times New Roman" w:hAnsi="Times New Roman"/>
          <w:bCs/>
          <w:lang w:eastAsia="cs-CZ"/>
        </w:rPr>
        <w:t>CZ24697486</w:t>
      </w:r>
    </w:p>
    <w:p w:rsidR="002D2EF0" w:rsidRPr="00213F09" w:rsidRDefault="002D2EF0" w:rsidP="002D2EF0">
      <w:pPr>
        <w:tabs>
          <w:tab w:val="left" w:pos="2127"/>
        </w:tabs>
        <w:spacing w:after="0" w:line="240" w:lineRule="auto"/>
        <w:ind w:left="2127" w:right="-57" w:hanging="2127"/>
        <w:rPr>
          <w:rFonts w:ascii="Times New Roman" w:eastAsia="Times New Roman" w:hAnsi="Times New Roman"/>
          <w:bCs/>
          <w:lang w:eastAsia="cs-CZ"/>
        </w:rPr>
      </w:pPr>
      <w:r w:rsidRPr="00213F09">
        <w:rPr>
          <w:rFonts w:ascii="Times New Roman" w:eastAsia="Times New Roman" w:hAnsi="Times New Roman"/>
          <w:bCs/>
          <w:lang w:eastAsia="cs-CZ"/>
        </w:rPr>
        <w:t>Právní forma:</w:t>
      </w:r>
      <w:r w:rsidRPr="00213F09">
        <w:rPr>
          <w:rFonts w:ascii="Times New Roman" w:eastAsia="Times New Roman" w:hAnsi="Times New Roman"/>
          <w:bCs/>
          <w:lang w:eastAsia="cs-CZ"/>
        </w:rPr>
        <w:tab/>
        <w:t>nadační fond</w:t>
      </w:r>
    </w:p>
    <w:p w:rsidR="002D2EF0" w:rsidRPr="00213F09" w:rsidRDefault="002D2EF0" w:rsidP="002D2EF0">
      <w:pPr>
        <w:tabs>
          <w:tab w:val="left" w:pos="2127"/>
        </w:tabs>
        <w:spacing w:after="0" w:line="240" w:lineRule="auto"/>
        <w:ind w:right="-57"/>
        <w:rPr>
          <w:rFonts w:ascii="Times New Roman" w:eastAsia="Arial Unicode MS" w:hAnsi="Times New Roman"/>
          <w:lang w:eastAsia="cs-CZ"/>
        </w:rPr>
      </w:pPr>
      <w:r w:rsidRPr="00213F09">
        <w:rPr>
          <w:rFonts w:ascii="Times New Roman" w:eastAsia="Times New Roman" w:hAnsi="Times New Roman"/>
          <w:lang w:eastAsia="cs-CZ"/>
        </w:rPr>
        <w:t>Zastoupený:</w:t>
      </w:r>
      <w:r w:rsidRPr="00213F09">
        <w:rPr>
          <w:rFonts w:ascii="Times New Roman" w:eastAsia="Times New Roman" w:hAnsi="Times New Roman"/>
          <w:lang w:eastAsia="cs-CZ"/>
        </w:rPr>
        <w:tab/>
      </w:r>
      <w:r w:rsidR="006B0D39" w:rsidRPr="00213F09">
        <w:rPr>
          <w:rFonts w:ascii="Times New Roman" w:eastAsia="Times New Roman" w:hAnsi="Times New Roman"/>
          <w:lang w:eastAsia="cs-CZ"/>
        </w:rPr>
        <w:t>Pav</w:t>
      </w:r>
      <w:r w:rsidRPr="00213F09">
        <w:rPr>
          <w:rFonts w:ascii="Times New Roman" w:eastAsia="Times New Roman" w:hAnsi="Times New Roman"/>
          <w:lang w:eastAsia="cs-CZ"/>
        </w:rPr>
        <w:t>l</w:t>
      </w:r>
      <w:r w:rsidR="006B0D39" w:rsidRPr="00213F09">
        <w:rPr>
          <w:rFonts w:ascii="Times New Roman" w:eastAsia="Times New Roman" w:hAnsi="Times New Roman"/>
          <w:lang w:eastAsia="cs-CZ"/>
        </w:rPr>
        <w:t>em Tůmou</w:t>
      </w:r>
      <w:r w:rsidRPr="00213F09">
        <w:rPr>
          <w:rFonts w:ascii="Times New Roman" w:eastAsia="Times New Roman" w:hAnsi="Times New Roman"/>
          <w:lang w:eastAsia="cs-CZ"/>
        </w:rPr>
        <w:t>, Vladimír</w:t>
      </w:r>
      <w:r w:rsidR="006B0D39" w:rsidRPr="00213F09">
        <w:rPr>
          <w:rFonts w:ascii="Times New Roman" w:eastAsia="Times New Roman" w:hAnsi="Times New Roman"/>
          <w:lang w:eastAsia="cs-CZ"/>
        </w:rPr>
        <w:t>em Adam</w:t>
      </w:r>
      <w:r w:rsidRPr="00213F09">
        <w:rPr>
          <w:rFonts w:ascii="Times New Roman" w:eastAsia="Times New Roman" w:hAnsi="Times New Roman"/>
          <w:lang w:eastAsia="cs-CZ"/>
        </w:rPr>
        <w:t>c</w:t>
      </w:r>
      <w:r w:rsidR="006B0D39" w:rsidRPr="00213F09">
        <w:rPr>
          <w:rFonts w:ascii="Times New Roman" w:eastAsia="Times New Roman" w:hAnsi="Times New Roman"/>
          <w:lang w:eastAsia="cs-CZ"/>
        </w:rPr>
        <w:t>em</w:t>
      </w:r>
    </w:p>
    <w:p w:rsidR="002D2EF0" w:rsidRPr="00213F09" w:rsidRDefault="002D2EF0" w:rsidP="002D2EF0">
      <w:pPr>
        <w:tabs>
          <w:tab w:val="left" w:pos="2127"/>
        </w:tabs>
        <w:spacing w:after="0" w:line="240" w:lineRule="auto"/>
        <w:ind w:right="-57"/>
        <w:rPr>
          <w:rFonts w:ascii="Times New Roman" w:eastAsia="Arial Unicode MS" w:hAnsi="Times New Roman"/>
          <w:lang w:eastAsia="cs-CZ"/>
        </w:rPr>
      </w:pPr>
      <w:r w:rsidRPr="00213F09">
        <w:rPr>
          <w:rFonts w:ascii="Times New Roman" w:eastAsia="Arial Unicode MS" w:hAnsi="Times New Roman"/>
          <w:lang w:eastAsia="cs-CZ"/>
        </w:rPr>
        <w:t xml:space="preserve">Registrace ve veřejném rejstříku: </w:t>
      </w:r>
      <w:r w:rsidRPr="00213F09">
        <w:rPr>
          <w:rFonts w:ascii="Times New Roman" w:eastAsia="Arial Unicode MS" w:hAnsi="Times New Roman"/>
          <w:lang w:eastAsia="cs-CZ"/>
        </w:rPr>
        <w:tab/>
      </w:r>
      <w:r w:rsidR="006B0D39" w:rsidRPr="00213F09">
        <w:rPr>
          <w:rFonts w:ascii="Times New Roman" w:eastAsia="Arial Unicode MS" w:hAnsi="Times New Roman"/>
          <w:lang w:eastAsia="cs-CZ"/>
        </w:rPr>
        <w:t>N 794 u Městského soudu v Praze</w:t>
      </w:r>
    </w:p>
    <w:p w:rsidR="002D2EF0" w:rsidRPr="00213F09" w:rsidRDefault="002D2EF0" w:rsidP="002D2EF0">
      <w:pPr>
        <w:tabs>
          <w:tab w:val="left" w:pos="2127"/>
        </w:tabs>
        <w:spacing w:after="0" w:line="240" w:lineRule="auto"/>
        <w:ind w:right="-57"/>
        <w:rPr>
          <w:rFonts w:ascii="Times New Roman" w:eastAsia="Arial Unicode MS" w:hAnsi="Times New Roman"/>
          <w:lang w:eastAsia="cs-CZ"/>
        </w:rPr>
      </w:pPr>
      <w:r w:rsidRPr="00213F09">
        <w:rPr>
          <w:rFonts w:ascii="Times New Roman" w:eastAsia="Times New Roman" w:hAnsi="Times New Roman"/>
          <w:lang w:eastAsia="cs-CZ"/>
        </w:rPr>
        <w:t>Bankovní spojení:</w:t>
      </w:r>
      <w:r w:rsidRPr="00213F09">
        <w:rPr>
          <w:rFonts w:ascii="Times New Roman" w:eastAsia="Times New Roman" w:hAnsi="Times New Roman"/>
          <w:lang w:eastAsia="cs-CZ"/>
        </w:rPr>
        <w:tab/>
      </w:r>
      <w:r w:rsidR="001B7A74">
        <w:rPr>
          <w:rFonts w:ascii="Times New Roman" w:eastAsia="Times New Roman" w:hAnsi="Times New Roman"/>
          <w:lang w:eastAsia="cs-CZ"/>
        </w:rPr>
        <w:t>*****</w:t>
      </w:r>
    </w:p>
    <w:p w:rsidR="002D2EF0" w:rsidRPr="00213F09" w:rsidRDefault="002D2EF0" w:rsidP="002D2EF0">
      <w:pPr>
        <w:tabs>
          <w:tab w:val="left" w:pos="2127"/>
          <w:tab w:val="left" w:pos="2214"/>
        </w:tabs>
        <w:spacing w:after="0" w:line="240" w:lineRule="auto"/>
        <w:rPr>
          <w:rFonts w:ascii="Times New Roman" w:eastAsia="Times New Roman" w:hAnsi="Times New Roman"/>
          <w:lang w:eastAsia="cs-CZ"/>
        </w:rPr>
      </w:pPr>
      <w:r w:rsidRPr="00213F09">
        <w:rPr>
          <w:rFonts w:ascii="Times New Roman" w:eastAsia="Times New Roman" w:hAnsi="Times New Roman"/>
          <w:lang w:eastAsia="cs-CZ"/>
        </w:rPr>
        <w:tab/>
        <w:t>číslo účtu:</w:t>
      </w:r>
      <w:r w:rsidRPr="00213F09">
        <w:rPr>
          <w:rFonts w:ascii="Times New Roman" w:eastAsia="Times New Roman" w:hAnsi="Times New Roman"/>
          <w:lang w:eastAsia="cs-CZ"/>
        </w:rPr>
        <w:tab/>
      </w:r>
      <w:r w:rsidR="00875FC8">
        <w:rPr>
          <w:rFonts w:ascii="Times New Roman" w:eastAsia="Times New Roman" w:hAnsi="Times New Roman"/>
          <w:lang w:eastAsia="cs-CZ"/>
        </w:rPr>
        <w:t>*****</w:t>
      </w:r>
    </w:p>
    <w:p w:rsidR="002D2EF0" w:rsidRPr="00213F09" w:rsidRDefault="002D2EF0" w:rsidP="002D2EF0">
      <w:pPr>
        <w:spacing w:after="0" w:line="240" w:lineRule="auto"/>
        <w:rPr>
          <w:rFonts w:ascii="Times New Roman" w:eastAsia="Times New Roman" w:hAnsi="Times New Roman"/>
          <w:lang w:eastAsia="cs-CZ"/>
        </w:rPr>
      </w:pPr>
      <w:r w:rsidRPr="00213F09">
        <w:rPr>
          <w:rFonts w:ascii="Times New Roman" w:eastAsia="Times New Roman" w:hAnsi="Times New Roman"/>
          <w:lang w:eastAsia="cs-CZ"/>
        </w:rPr>
        <w:t>E-mail:</w:t>
      </w:r>
      <w:r w:rsidRPr="00213F09">
        <w:rPr>
          <w:rFonts w:ascii="Times New Roman" w:eastAsia="Times New Roman" w:hAnsi="Times New Roman"/>
          <w:lang w:eastAsia="cs-CZ"/>
        </w:rPr>
        <w:tab/>
      </w:r>
      <w:r w:rsidRPr="00213F09">
        <w:rPr>
          <w:rFonts w:ascii="Times New Roman" w:eastAsia="Times New Roman" w:hAnsi="Times New Roman"/>
          <w:lang w:eastAsia="cs-CZ"/>
        </w:rPr>
        <w:tab/>
      </w:r>
      <w:r w:rsidRPr="00213F09">
        <w:rPr>
          <w:rFonts w:ascii="Times New Roman" w:eastAsia="Times New Roman" w:hAnsi="Times New Roman"/>
          <w:lang w:eastAsia="cs-CZ"/>
        </w:rPr>
        <w:tab/>
      </w:r>
      <w:r w:rsidR="00875FC8">
        <w:rPr>
          <w:rFonts w:ascii="Times New Roman" w:eastAsia="Times New Roman" w:hAnsi="Times New Roman"/>
          <w:lang w:eastAsia="cs-CZ"/>
        </w:rPr>
        <w:t>*****</w:t>
      </w:r>
    </w:p>
    <w:p w:rsidR="002D2EF0" w:rsidRPr="0096502F" w:rsidRDefault="00213F09" w:rsidP="002D2EF0">
      <w:pPr>
        <w:tabs>
          <w:tab w:val="left" w:pos="2127"/>
          <w:tab w:val="left" w:pos="2214"/>
        </w:tabs>
        <w:spacing w:after="0" w:line="240" w:lineRule="auto"/>
        <w:rPr>
          <w:rFonts w:ascii="Times New Roman" w:eastAsia="Times New Roman" w:hAnsi="Times New Roman"/>
          <w:lang w:eastAsia="cs-CZ"/>
        </w:rPr>
      </w:pPr>
      <w:r w:rsidRPr="00213F09">
        <w:rPr>
          <w:rFonts w:ascii="Times New Roman" w:eastAsia="Times New Roman" w:hAnsi="Times New Roman"/>
          <w:lang w:eastAsia="cs-CZ"/>
        </w:rPr>
        <w:t>Je</w:t>
      </w:r>
      <w:r w:rsidR="002D2EF0" w:rsidRPr="0096502F">
        <w:rPr>
          <w:rFonts w:ascii="Times New Roman" w:eastAsia="Times New Roman" w:hAnsi="Times New Roman"/>
          <w:lang w:eastAsia="cs-CZ"/>
        </w:rPr>
        <w:t xml:space="preserve"> plátce DPH.</w:t>
      </w:r>
    </w:p>
    <w:p w:rsidR="002D2EF0" w:rsidRPr="0096502F" w:rsidRDefault="002D2EF0" w:rsidP="002D2EF0">
      <w:pPr>
        <w:spacing w:after="0" w:line="240" w:lineRule="auto"/>
        <w:rPr>
          <w:rFonts w:ascii="Times New Roman" w:eastAsia="Times New Roman" w:hAnsi="Times New Roman"/>
          <w:lang w:eastAsia="cs-CZ"/>
        </w:rPr>
      </w:pPr>
    </w:p>
    <w:p w:rsidR="00213F09" w:rsidRDefault="00213F09" w:rsidP="00213F0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rsidR="00213F09" w:rsidRDefault="00213F09" w:rsidP="00213F09">
      <w:pPr>
        <w:spacing w:after="0" w:line="240" w:lineRule="auto"/>
      </w:pPr>
    </w:p>
    <w:p w:rsidR="00213F09" w:rsidRPr="0096502F" w:rsidRDefault="00213F09" w:rsidP="00213F0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(společně jako „smluvní strany“)</w:t>
      </w:r>
    </w:p>
    <w:p w:rsidR="00FB5867" w:rsidRDefault="00FB5867" w:rsidP="00213F09">
      <w:pPr>
        <w:spacing w:after="0" w:line="240" w:lineRule="auto"/>
      </w:pPr>
    </w:p>
    <w:p w:rsidR="00FB5867" w:rsidRPr="0096502F" w:rsidRDefault="00FB5867" w:rsidP="00213F09">
      <w:pPr>
        <w:spacing w:after="0" w:line="240" w:lineRule="auto"/>
        <w:rPr>
          <w:rFonts w:ascii="Times New Roman" w:eastAsia="Times New Roman" w:hAnsi="Times New Roman"/>
          <w:lang w:eastAsia="cs-CZ"/>
        </w:rPr>
      </w:pPr>
    </w:p>
    <w:p w:rsidR="00213F09" w:rsidRPr="0096502F" w:rsidRDefault="00213F09" w:rsidP="00213F09">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rsidR="00FB5867" w:rsidRPr="0096502F" w:rsidRDefault="00213F09" w:rsidP="00FB5867">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rsidR="00213F09" w:rsidRDefault="00213F09" w:rsidP="002D2EF0">
      <w:pPr>
        <w:numPr>
          <w:ilvl w:val="0"/>
          <w:numId w:val="1"/>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 (krajské zřízení), ve znění pozdějších předpisů a č. 250/2000 Sb., o rozpočtových pravidlech územních rozpočtů, ve znění pozdějších předpisů (dále také „RPÚR“) poskytovatel poskytuje příjemci dotaci na účel uvedený v článku II. smlouvy a příjemce tuto dotaci přijímá.</w:t>
      </w:r>
    </w:p>
    <w:p w:rsidR="00FB5867" w:rsidRDefault="00FB5867" w:rsidP="00FB5867">
      <w:pPr>
        <w:spacing w:after="0" w:line="240" w:lineRule="auto"/>
        <w:ind w:left="426"/>
        <w:jc w:val="both"/>
        <w:rPr>
          <w:rFonts w:ascii="Times New Roman" w:eastAsia="Arial Unicode MS" w:hAnsi="Times New Roman"/>
          <w:lang w:eastAsia="cs-CZ"/>
        </w:rPr>
      </w:pPr>
    </w:p>
    <w:p w:rsidR="00FB5867" w:rsidRPr="00FB5867" w:rsidRDefault="00FB5867" w:rsidP="00FB5867">
      <w:pPr>
        <w:spacing w:after="0" w:line="240" w:lineRule="auto"/>
        <w:ind w:left="426"/>
        <w:jc w:val="both"/>
        <w:rPr>
          <w:rFonts w:ascii="Times New Roman" w:eastAsia="Arial Unicode MS" w:hAnsi="Times New Roman"/>
          <w:lang w:eastAsia="cs-CZ"/>
        </w:rPr>
      </w:pPr>
    </w:p>
    <w:p w:rsidR="00FB5867" w:rsidRDefault="00FB5867" w:rsidP="00FB5867">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lastRenderedPageBreak/>
        <w:t>Článek II.</w:t>
      </w:r>
    </w:p>
    <w:p w:rsidR="00FB5867" w:rsidRPr="0096502F" w:rsidRDefault="00213F09" w:rsidP="00FB5867">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 její účel a údaje o dotaci</w:t>
      </w:r>
    </w:p>
    <w:p w:rsidR="00213F09" w:rsidRPr="0096502F" w:rsidRDefault="00213F09" w:rsidP="00213F09">
      <w:pPr>
        <w:pStyle w:val="Normlnweb"/>
        <w:numPr>
          <w:ilvl w:val="0"/>
          <w:numId w:val="2"/>
        </w:numPr>
        <w:ind w:left="426" w:hanging="426"/>
        <w:jc w:val="both"/>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213F09" w:rsidRPr="0096502F" w:rsidRDefault="00213F09" w:rsidP="00213F09">
      <w:pPr>
        <w:pStyle w:val="Normlnweb"/>
        <w:ind w:left="426"/>
        <w:jc w:val="both"/>
        <w:rPr>
          <w:b/>
          <w:bCs/>
          <w:sz w:val="22"/>
          <w:szCs w:val="22"/>
        </w:rPr>
      </w:pPr>
    </w:p>
    <w:p w:rsidR="00FB5867" w:rsidRPr="00FB5867" w:rsidRDefault="00213F09" w:rsidP="00FB5867">
      <w:pPr>
        <w:pStyle w:val="Normlnweb"/>
        <w:numPr>
          <w:ilvl w:val="0"/>
          <w:numId w:val="2"/>
        </w:numPr>
        <w:ind w:left="426" w:hanging="426"/>
        <w:jc w:val="both"/>
        <w:rPr>
          <w:b/>
          <w:bCs/>
          <w:sz w:val="22"/>
          <w:szCs w:val="22"/>
        </w:rPr>
      </w:pPr>
      <w:r w:rsidRPr="0096502F">
        <w:rPr>
          <w:sz w:val="22"/>
          <w:szCs w:val="22"/>
        </w:rPr>
        <w:t>Údaje o dotaci:</w:t>
      </w:r>
    </w:p>
    <w:p w:rsidR="00213F09" w:rsidRDefault="00213F09" w:rsidP="004D7863">
      <w:pPr>
        <w:pStyle w:val="Normlnweb"/>
        <w:ind w:firstLine="426"/>
        <w:jc w:val="both"/>
        <w:rPr>
          <w:b/>
          <w:sz w:val="22"/>
          <w:szCs w:val="22"/>
        </w:rPr>
      </w:pPr>
      <w:r w:rsidRPr="0096502F">
        <w:rPr>
          <w:sz w:val="22"/>
          <w:szCs w:val="22"/>
        </w:rPr>
        <w:t>Dotace se posk</w:t>
      </w:r>
      <w:r w:rsidR="00982C49">
        <w:rPr>
          <w:sz w:val="22"/>
          <w:szCs w:val="22"/>
        </w:rPr>
        <w:t xml:space="preserve">ytuje v kalendářním roce: </w:t>
      </w:r>
      <w:r w:rsidRPr="00C64327">
        <w:rPr>
          <w:b/>
          <w:sz w:val="22"/>
          <w:szCs w:val="22"/>
        </w:rPr>
        <w:t>2019</w:t>
      </w:r>
    </w:p>
    <w:p w:rsidR="00213F09" w:rsidRPr="00982C49" w:rsidRDefault="00F11B48" w:rsidP="004D7863">
      <w:pPr>
        <w:pStyle w:val="Normlnweb"/>
        <w:ind w:left="426"/>
        <w:rPr>
          <w:b/>
          <w:bCs/>
          <w:sz w:val="22"/>
          <w:szCs w:val="22"/>
        </w:rPr>
      </w:pPr>
      <w:r>
        <w:rPr>
          <w:sz w:val="22"/>
          <w:szCs w:val="22"/>
        </w:rPr>
        <w:t xml:space="preserve">Dotace se poskytuje ve výši: </w:t>
      </w:r>
      <w:r w:rsidR="00213F09" w:rsidRPr="00C64327">
        <w:rPr>
          <w:b/>
          <w:sz w:val="22"/>
          <w:szCs w:val="22"/>
        </w:rPr>
        <w:t>199 980 Kč</w:t>
      </w:r>
      <w:r w:rsidR="00C64327">
        <w:rPr>
          <w:b/>
          <w:sz w:val="22"/>
          <w:szCs w:val="22"/>
        </w:rPr>
        <w:t xml:space="preserve"> včetně DPH</w:t>
      </w:r>
      <w:r>
        <w:rPr>
          <w:b/>
          <w:bCs/>
          <w:sz w:val="22"/>
          <w:szCs w:val="22"/>
        </w:rPr>
        <w:t xml:space="preserve"> </w:t>
      </w:r>
      <w:r>
        <w:rPr>
          <w:b/>
          <w:bCs/>
          <w:sz w:val="22"/>
          <w:szCs w:val="22"/>
        </w:rPr>
        <w:br/>
      </w:r>
      <w:r w:rsidR="00213F09" w:rsidRPr="00922A30">
        <w:rPr>
          <w:sz w:val="22"/>
          <w:szCs w:val="22"/>
        </w:rPr>
        <w:t>(Slovy: stodevadesátdevět</w:t>
      </w:r>
      <w:r>
        <w:rPr>
          <w:sz w:val="22"/>
          <w:szCs w:val="22"/>
        </w:rPr>
        <w:t>tisíc</w:t>
      </w:r>
      <w:r w:rsidR="00213F09" w:rsidRPr="00922A30">
        <w:rPr>
          <w:sz w:val="22"/>
          <w:szCs w:val="22"/>
        </w:rPr>
        <w:t xml:space="preserve">devětsetosmdesát </w:t>
      </w:r>
      <w:r w:rsidR="00982C49">
        <w:rPr>
          <w:sz w:val="22"/>
          <w:szCs w:val="22"/>
        </w:rPr>
        <w:t xml:space="preserve"> </w:t>
      </w:r>
      <w:r w:rsidR="00213F09" w:rsidRPr="00922A30">
        <w:rPr>
          <w:sz w:val="22"/>
          <w:szCs w:val="22"/>
        </w:rPr>
        <w:t>korun českých)</w:t>
      </w:r>
    </w:p>
    <w:p w:rsidR="00213F09" w:rsidRDefault="00213F09" w:rsidP="001834C4">
      <w:pPr>
        <w:pStyle w:val="Normlnweb"/>
        <w:ind w:left="426"/>
        <w:jc w:val="both"/>
        <w:rPr>
          <w:sz w:val="22"/>
          <w:szCs w:val="22"/>
        </w:rPr>
      </w:pPr>
      <w:r w:rsidRPr="00922A30">
        <w:rPr>
          <w:sz w:val="22"/>
          <w:szCs w:val="22"/>
        </w:rPr>
        <w:t>Dotace se poskytuje na účel:</w:t>
      </w:r>
      <w:r w:rsidR="00922A30">
        <w:rPr>
          <w:sz w:val="22"/>
          <w:szCs w:val="22"/>
        </w:rPr>
        <w:t xml:space="preserve"> </w:t>
      </w:r>
      <w:r w:rsidR="00C64327">
        <w:rPr>
          <w:sz w:val="22"/>
          <w:szCs w:val="22"/>
        </w:rPr>
        <w:t xml:space="preserve">přistavení vlaku </w:t>
      </w:r>
      <w:r w:rsidR="001834C4">
        <w:rPr>
          <w:sz w:val="22"/>
          <w:szCs w:val="22"/>
        </w:rPr>
        <w:t xml:space="preserve">a realizace projektu </w:t>
      </w:r>
      <w:r w:rsidR="001834C4" w:rsidRPr="00A370FE">
        <w:rPr>
          <w:b/>
          <w:sz w:val="22"/>
          <w:szCs w:val="22"/>
        </w:rPr>
        <w:t>REVOLUTION TRAIN – TOUR 2019 V KARLOVÝCH VARECH</w:t>
      </w:r>
      <w:r w:rsidR="001834C4">
        <w:rPr>
          <w:sz w:val="22"/>
          <w:szCs w:val="22"/>
        </w:rPr>
        <w:t xml:space="preserve"> </w:t>
      </w:r>
      <w:r w:rsidR="00C64327">
        <w:rPr>
          <w:sz w:val="22"/>
          <w:szCs w:val="22"/>
        </w:rPr>
        <w:t>ve dnech 2. a 3. 5. 2019 ve městě Karlovy Vary</w:t>
      </w:r>
      <w:r w:rsidR="00760C01">
        <w:rPr>
          <w:sz w:val="22"/>
          <w:szCs w:val="22"/>
        </w:rPr>
        <w:t>.</w:t>
      </w:r>
      <w:r w:rsidR="00385BE5">
        <w:rPr>
          <w:sz w:val="22"/>
          <w:szCs w:val="22"/>
        </w:rPr>
        <w:t xml:space="preserve"> </w:t>
      </w:r>
    </w:p>
    <w:p w:rsidR="00213F09" w:rsidRPr="0096502F" w:rsidRDefault="00213F09" w:rsidP="00FB5867">
      <w:pPr>
        <w:pStyle w:val="Normlnweb"/>
        <w:ind w:firstLine="426"/>
        <w:jc w:val="both"/>
        <w:rPr>
          <w:b/>
          <w:bCs/>
          <w:sz w:val="22"/>
          <w:szCs w:val="22"/>
        </w:rPr>
      </w:pPr>
      <w:r w:rsidRPr="0096502F">
        <w:rPr>
          <w:sz w:val="22"/>
          <w:szCs w:val="22"/>
        </w:rPr>
        <w:t xml:space="preserve">Platba dotace bude opatřena variabilním </w:t>
      </w:r>
      <w:r w:rsidR="00982C49">
        <w:rPr>
          <w:sz w:val="22"/>
          <w:szCs w:val="22"/>
        </w:rPr>
        <w:t xml:space="preserve">symbolem: </w:t>
      </w:r>
      <w:r w:rsidR="00875FC8">
        <w:rPr>
          <w:b/>
          <w:sz w:val="22"/>
          <w:szCs w:val="22"/>
        </w:rPr>
        <w:t>*****</w:t>
      </w:r>
    </w:p>
    <w:p w:rsidR="00FB5867" w:rsidRPr="0096502F" w:rsidRDefault="00FB5867" w:rsidP="00213F09">
      <w:pPr>
        <w:spacing w:after="0" w:line="240" w:lineRule="auto"/>
        <w:jc w:val="both"/>
        <w:rPr>
          <w:rFonts w:ascii="Times New Roman" w:eastAsia="Times New Roman" w:hAnsi="Times New Roman"/>
          <w:b/>
          <w:bCs/>
          <w:lang w:eastAsia="cs-CZ"/>
        </w:rPr>
      </w:pPr>
    </w:p>
    <w:p w:rsidR="00213F09" w:rsidRPr="0096502F" w:rsidRDefault="00213F09" w:rsidP="00213F09">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rsidR="00FB5867" w:rsidRPr="0096502F" w:rsidRDefault="00213F09" w:rsidP="00FB5867">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rsidR="00A51A64" w:rsidRPr="0096502F" w:rsidRDefault="00A51A64" w:rsidP="00A51A64">
      <w:pPr>
        <w:numPr>
          <w:ilvl w:val="0"/>
          <w:numId w:val="3"/>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do </w:t>
      </w:r>
      <w:r w:rsidR="00B54D23">
        <w:rPr>
          <w:rFonts w:ascii="Times New Roman" w:eastAsia="Arial Unicode MS" w:hAnsi="Times New Roman"/>
          <w:lang w:eastAsia="cs-CZ"/>
        </w:rPr>
        <w:t>1</w:t>
      </w:r>
      <w:r w:rsidR="00760C01">
        <w:rPr>
          <w:rFonts w:ascii="Times New Roman" w:eastAsia="Arial Unicode MS" w:hAnsi="Times New Roman"/>
          <w:lang w:eastAsia="cs-CZ"/>
        </w:rPr>
        <w:t>5</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pracovních dnů od uzavření smlouvy, a to formou bezhotovostního převodu na bankovní účet příjemce uvedený výše v</w:t>
      </w:r>
      <w:r w:rsidR="00C53018">
        <w:rPr>
          <w:rFonts w:ascii="Times New Roman" w:eastAsia="Arial Unicode MS" w:hAnsi="Times New Roman"/>
          <w:lang w:eastAsia="cs-CZ"/>
        </w:rPr>
        <w:t>e</w:t>
      </w:r>
      <w:r w:rsidRPr="0096502F">
        <w:rPr>
          <w:rFonts w:ascii="Times New Roman" w:eastAsia="Arial Unicode MS" w:hAnsi="Times New Roman"/>
          <w:lang w:eastAsia="cs-CZ"/>
        </w:rPr>
        <w:t> smlouvě. Platba bude opatřena variabilním symbol</w:t>
      </w:r>
      <w:r w:rsidR="00CB076B">
        <w:rPr>
          <w:rFonts w:ascii="Times New Roman" w:eastAsia="Arial Unicode MS" w:hAnsi="Times New Roman"/>
          <w:lang w:eastAsia="cs-CZ"/>
        </w:rPr>
        <w:t>em uvedeným v odstavci 2</w:t>
      </w:r>
      <w:r w:rsidR="00C53018">
        <w:rPr>
          <w:rFonts w:ascii="Times New Roman" w:eastAsia="Arial Unicode MS" w:hAnsi="Times New Roman"/>
          <w:lang w:eastAsia="cs-CZ"/>
        </w:rPr>
        <w:t xml:space="preserve"> čl. I</w:t>
      </w:r>
      <w:r w:rsidRPr="0096502F">
        <w:rPr>
          <w:rFonts w:ascii="Times New Roman" w:eastAsia="Arial Unicode MS" w:hAnsi="Times New Roman"/>
          <w:lang w:eastAsia="cs-CZ"/>
        </w:rPr>
        <w:t>I.</w:t>
      </w:r>
    </w:p>
    <w:p w:rsidR="00A51A64" w:rsidRPr="0096502F" w:rsidRDefault="00A51A64" w:rsidP="00A51A64">
      <w:pPr>
        <w:spacing w:after="0" w:line="240" w:lineRule="auto"/>
        <w:ind w:left="426" w:hanging="426"/>
        <w:jc w:val="both"/>
        <w:rPr>
          <w:rFonts w:ascii="Times New Roman" w:eastAsia="Times New Roman" w:hAnsi="Times New Roman"/>
          <w:i/>
          <w:lang w:eastAsia="cs-CZ"/>
        </w:rPr>
      </w:pPr>
    </w:p>
    <w:p w:rsidR="00A51A64" w:rsidRPr="00FB5867" w:rsidRDefault="00A51A64" w:rsidP="00FB5867">
      <w:pPr>
        <w:numPr>
          <w:ilvl w:val="0"/>
          <w:numId w:val="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rsidR="00FB5867" w:rsidRDefault="00FB5867" w:rsidP="00A51A64">
      <w:pPr>
        <w:spacing w:after="0" w:line="240" w:lineRule="auto"/>
        <w:jc w:val="center"/>
        <w:rPr>
          <w:rFonts w:ascii="Times New Roman" w:eastAsia="Times New Roman" w:hAnsi="Times New Roman"/>
          <w:b/>
          <w:bCs/>
          <w:lang w:eastAsia="cs-CZ"/>
        </w:rPr>
      </w:pPr>
    </w:p>
    <w:p w:rsidR="00A51A64" w:rsidRPr="0096502F" w:rsidRDefault="00A51A64" w:rsidP="00A51A64">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rsidR="00FB5867" w:rsidRPr="0096502F" w:rsidRDefault="00A51A64" w:rsidP="00FB5867">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rsidR="00A51A64" w:rsidRPr="00385BE5" w:rsidRDefault="00A51A64" w:rsidP="00A51A64">
      <w:pPr>
        <w:numPr>
          <w:ilvl w:val="0"/>
          <w:numId w:val="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touto smlouvou.</w:t>
      </w:r>
    </w:p>
    <w:p w:rsidR="00385BE5" w:rsidRPr="0096502F" w:rsidRDefault="00385BE5" w:rsidP="00385BE5">
      <w:pPr>
        <w:spacing w:after="0" w:line="240" w:lineRule="auto"/>
        <w:ind w:left="426"/>
        <w:jc w:val="both"/>
        <w:rPr>
          <w:rFonts w:ascii="Times New Roman" w:eastAsia="Arial Unicode MS" w:hAnsi="Times New Roman"/>
          <w:lang w:eastAsia="cs-CZ"/>
        </w:rPr>
      </w:pPr>
    </w:p>
    <w:p w:rsidR="00A51A64" w:rsidRPr="0096502F" w:rsidRDefault="00A51A64" w:rsidP="00A51A64">
      <w:pPr>
        <w:numPr>
          <w:ilvl w:val="0"/>
          <w:numId w:val="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použít poskytnuté finanční prostředky maximálně hospodárným způsobem. Příjemce je povinen použít poskytnuté finanční prostředky výhradně k účelu uvedenému v článku II. smlouvy a v souladu se </w:t>
      </w:r>
      <w:r w:rsidRPr="00BE799B">
        <w:rPr>
          <w:rFonts w:ascii="Times New Roman" w:eastAsia="Arial Unicode MS" w:hAnsi="Times New Roman"/>
          <w:lang w:eastAsia="cs-CZ"/>
        </w:rPr>
        <w:t>specifikací uvedenou v</w:t>
      </w:r>
      <w:r w:rsidR="00BE799B" w:rsidRPr="00BE799B">
        <w:rPr>
          <w:rFonts w:ascii="Times New Roman" w:eastAsia="Arial Unicode MS" w:hAnsi="Times New Roman"/>
          <w:lang w:eastAsia="cs-CZ"/>
        </w:rPr>
        <w:t> </w:t>
      </w:r>
      <w:r w:rsidRPr="00BE799B">
        <w:rPr>
          <w:rFonts w:ascii="Times New Roman" w:eastAsia="Arial Unicode MS" w:hAnsi="Times New Roman"/>
          <w:lang w:eastAsia="cs-CZ"/>
        </w:rPr>
        <w:t>odstavci</w:t>
      </w:r>
      <w:r w:rsidR="00BE799B" w:rsidRPr="00BE799B">
        <w:rPr>
          <w:rFonts w:ascii="Times New Roman" w:eastAsia="Arial Unicode MS" w:hAnsi="Times New Roman"/>
          <w:lang w:eastAsia="cs-CZ"/>
        </w:rPr>
        <w:t xml:space="preserve"> 5. </w:t>
      </w:r>
      <w:r w:rsidRPr="00BE799B">
        <w:rPr>
          <w:rFonts w:ascii="Times New Roman" w:eastAsia="Arial Unicode MS" w:hAnsi="Times New Roman"/>
          <w:lang w:eastAsia="cs-CZ"/>
        </w:rPr>
        <w:t>tohoto článku</w:t>
      </w:r>
      <w:r w:rsidRPr="0096502F">
        <w:rPr>
          <w:rFonts w:ascii="Times New Roman" w:eastAsia="Arial Unicode MS" w:hAnsi="Times New Roman"/>
          <w:lang w:eastAsia="cs-CZ"/>
        </w:rPr>
        <w:t xml:space="preserve">. Příjemce tyto prostředky nesmí poskytnout jiným právnickým nebo fyzickým osobám (pokud nejde o úhrady spojené s realizací účelu, na který byly poskytnuty). Dále příjemce tyto prostředky nesmí použít </w:t>
      </w:r>
      <w:r w:rsidRPr="00982C49">
        <w:rPr>
          <w:rFonts w:ascii="Times New Roman" w:eastAsia="Arial Unicode MS" w:hAnsi="Times New Roman"/>
          <w:lang w:eastAsia="cs-CZ"/>
        </w:rPr>
        <w:t xml:space="preserve">na dary, </w:t>
      </w:r>
      <w:r w:rsidRPr="0096502F">
        <w:rPr>
          <w:rFonts w:ascii="Times New Roman" w:eastAsia="Arial Unicode MS" w:hAnsi="Times New Roman"/>
          <w:lang w:eastAsia="cs-CZ"/>
        </w:rPr>
        <w:t>penále, úroky z úvěrů, náhrady škod, pokuty, úhrady dluhu apod.</w:t>
      </w:r>
    </w:p>
    <w:p w:rsidR="00A51A64" w:rsidRPr="0096502F" w:rsidRDefault="00A51A64" w:rsidP="00A51A64">
      <w:pPr>
        <w:spacing w:after="0" w:line="240" w:lineRule="auto"/>
        <w:ind w:left="426" w:hanging="426"/>
        <w:jc w:val="both"/>
        <w:rPr>
          <w:rFonts w:ascii="Times New Roman" w:eastAsia="Arial Unicode MS" w:hAnsi="Times New Roman"/>
          <w:lang w:eastAsia="cs-CZ"/>
        </w:rPr>
      </w:pPr>
    </w:p>
    <w:p w:rsidR="00A51A64" w:rsidRPr="0096502F" w:rsidRDefault="00A51A64" w:rsidP="00A51A64">
      <w:pPr>
        <w:numPr>
          <w:ilvl w:val="0"/>
          <w:numId w:val="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vyčerpat poskytnuté finanční prostředky nejpozději do </w:t>
      </w:r>
      <w:r w:rsidR="00404DE0">
        <w:rPr>
          <w:rFonts w:ascii="Times New Roman" w:eastAsia="Arial Unicode MS" w:hAnsi="Times New Roman"/>
          <w:lang w:eastAsia="cs-CZ"/>
        </w:rPr>
        <w:t xml:space="preserve">31. </w:t>
      </w:r>
      <w:r w:rsidR="004A46D0">
        <w:rPr>
          <w:rFonts w:ascii="Times New Roman" w:eastAsia="Arial Unicode MS" w:hAnsi="Times New Roman"/>
          <w:lang w:eastAsia="cs-CZ"/>
        </w:rPr>
        <w:t>12</w:t>
      </w:r>
      <w:r w:rsidR="00404DE0">
        <w:rPr>
          <w:rFonts w:ascii="Times New Roman" w:eastAsia="Arial Unicode MS" w:hAnsi="Times New Roman"/>
          <w:lang w:eastAsia="cs-CZ"/>
        </w:rPr>
        <w:t>. 2019.</w:t>
      </w:r>
    </w:p>
    <w:p w:rsidR="00A51A64" w:rsidRPr="0096502F" w:rsidRDefault="00A51A64" w:rsidP="00A51A64">
      <w:pPr>
        <w:spacing w:after="0" w:line="240" w:lineRule="auto"/>
        <w:ind w:left="426" w:hanging="426"/>
        <w:jc w:val="both"/>
        <w:rPr>
          <w:rFonts w:ascii="Times New Roman" w:eastAsia="Arial Unicode MS" w:hAnsi="Times New Roman"/>
          <w:lang w:eastAsia="cs-CZ"/>
        </w:rPr>
      </w:pPr>
    </w:p>
    <w:p w:rsidR="00A51A64" w:rsidRDefault="00A51A64" w:rsidP="002D2EF0">
      <w:pPr>
        <w:numPr>
          <w:ilvl w:val="0"/>
          <w:numId w:val="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lang w:eastAsia="cs-CZ"/>
        </w:rPr>
        <w:t>.</w:t>
      </w:r>
    </w:p>
    <w:p w:rsidR="00A51A64" w:rsidRPr="00A51A64" w:rsidRDefault="00A51A64" w:rsidP="00A51A64">
      <w:pPr>
        <w:spacing w:after="0" w:line="240" w:lineRule="auto"/>
        <w:ind w:left="426"/>
        <w:jc w:val="both"/>
        <w:rPr>
          <w:rFonts w:ascii="Times New Roman" w:eastAsia="Arial Unicode MS" w:hAnsi="Times New Roman"/>
          <w:lang w:eastAsia="cs-CZ"/>
        </w:rPr>
      </w:pPr>
    </w:p>
    <w:p w:rsidR="00A51A64" w:rsidRPr="00385BE5" w:rsidRDefault="00A370FE" w:rsidP="00A51A64">
      <w:pPr>
        <w:numPr>
          <w:ilvl w:val="0"/>
          <w:numId w:val="4"/>
        </w:numPr>
        <w:tabs>
          <w:tab w:val="clear" w:pos="360"/>
        </w:tabs>
        <w:spacing w:after="0" w:line="240" w:lineRule="auto"/>
        <w:ind w:left="426" w:hanging="426"/>
        <w:jc w:val="both"/>
        <w:rPr>
          <w:rFonts w:ascii="Times New Roman" w:eastAsia="Arial Unicode MS" w:hAnsi="Times New Roman"/>
          <w:lang w:eastAsia="cs-CZ"/>
        </w:rPr>
      </w:pPr>
      <w:r w:rsidRPr="00B54D23">
        <w:rPr>
          <w:rFonts w:ascii="Times New Roman" w:eastAsia="Times New Roman" w:hAnsi="Times New Roman"/>
          <w:bCs/>
          <w:lang w:eastAsia="cs-CZ"/>
        </w:rPr>
        <w:t xml:space="preserve">Dotace je </w:t>
      </w:r>
      <w:r w:rsidRPr="00385BE5">
        <w:rPr>
          <w:rFonts w:ascii="Times New Roman" w:eastAsia="Times New Roman" w:hAnsi="Times New Roman"/>
          <w:b/>
          <w:bCs/>
          <w:lang w:eastAsia="cs-CZ"/>
        </w:rPr>
        <w:t>neinvestičního</w:t>
      </w:r>
      <w:r w:rsidRPr="00B54D23">
        <w:rPr>
          <w:rFonts w:ascii="Times New Roman" w:eastAsia="Times New Roman" w:hAnsi="Times New Roman"/>
          <w:bCs/>
          <w:lang w:eastAsia="cs-CZ"/>
        </w:rPr>
        <w:t xml:space="preserve"> charakteru a příjemce je povinen ji použít výhradně k </w:t>
      </w:r>
      <w:r w:rsidRPr="00B54D23">
        <w:rPr>
          <w:rFonts w:ascii="Times New Roman" w:eastAsia="Arial Unicode MS" w:hAnsi="Times New Roman"/>
          <w:lang w:eastAsia="cs-CZ"/>
        </w:rPr>
        <w:t xml:space="preserve">pokrytí </w:t>
      </w:r>
      <w:r w:rsidR="00BE799B" w:rsidRPr="00B54D23">
        <w:rPr>
          <w:rFonts w:ascii="Times New Roman" w:eastAsia="Arial Unicode MS" w:hAnsi="Times New Roman"/>
          <w:lang w:eastAsia="cs-CZ"/>
        </w:rPr>
        <w:t xml:space="preserve">nákladů vynaložených k </w:t>
      </w:r>
      <w:r w:rsidRPr="00B54D23">
        <w:rPr>
          <w:rFonts w:ascii="Times New Roman" w:eastAsia="Arial Unicode MS" w:hAnsi="Times New Roman"/>
          <w:lang w:eastAsia="cs-CZ"/>
        </w:rPr>
        <w:t xml:space="preserve">zajištění </w:t>
      </w:r>
      <w:r w:rsidRPr="00760C01">
        <w:rPr>
          <w:rFonts w:ascii="Times New Roman" w:eastAsia="Arial Unicode MS" w:hAnsi="Times New Roman"/>
          <w:b/>
          <w:lang w:eastAsia="cs-CZ"/>
        </w:rPr>
        <w:t>2 dnů</w:t>
      </w:r>
      <w:r w:rsidRPr="00B54D23">
        <w:rPr>
          <w:rFonts w:ascii="Times New Roman" w:eastAsia="Arial Unicode MS" w:hAnsi="Times New Roman"/>
          <w:lang w:eastAsia="cs-CZ"/>
        </w:rPr>
        <w:t xml:space="preserve"> přistavení vlaku</w:t>
      </w:r>
      <w:r w:rsidR="001834C4">
        <w:rPr>
          <w:rFonts w:ascii="Times New Roman" w:eastAsia="Arial Unicode MS" w:hAnsi="Times New Roman"/>
          <w:lang w:eastAsia="cs-CZ"/>
        </w:rPr>
        <w:t xml:space="preserve"> a realizaci projektu </w:t>
      </w:r>
      <w:r w:rsidRPr="00B54D23">
        <w:rPr>
          <w:rFonts w:ascii="Times New Roman" w:eastAsia="Arial Unicode MS" w:hAnsi="Times New Roman"/>
          <w:lang w:eastAsia="cs-CZ"/>
        </w:rPr>
        <w:t xml:space="preserve"> REVOLUTION TRAIN</w:t>
      </w:r>
      <w:r w:rsidR="001834C4">
        <w:rPr>
          <w:rFonts w:ascii="Times New Roman" w:eastAsia="Arial Unicode MS" w:hAnsi="Times New Roman"/>
          <w:lang w:eastAsia="cs-CZ"/>
        </w:rPr>
        <w:t xml:space="preserve"> – TOUR 2019 V KARLOVÝCH VARECH</w:t>
      </w:r>
      <w:r w:rsidR="00B54D23">
        <w:rPr>
          <w:rFonts w:ascii="Times New Roman" w:eastAsia="Arial Unicode MS" w:hAnsi="Times New Roman"/>
          <w:lang w:eastAsia="cs-CZ"/>
        </w:rPr>
        <w:t>,</w:t>
      </w:r>
      <w:r w:rsidR="00385BE5">
        <w:rPr>
          <w:rFonts w:ascii="Times New Roman" w:eastAsia="Arial Unicode MS" w:hAnsi="Times New Roman"/>
          <w:lang w:eastAsia="cs-CZ"/>
        </w:rPr>
        <w:t xml:space="preserve"> blíže specifikovaných v</w:t>
      </w:r>
      <w:r w:rsidR="001834C4">
        <w:rPr>
          <w:rFonts w:ascii="Times New Roman" w:eastAsia="Arial Unicode MS" w:hAnsi="Times New Roman"/>
          <w:lang w:eastAsia="cs-CZ"/>
        </w:rPr>
        <w:t> </w:t>
      </w:r>
      <w:r w:rsidR="00CB076B">
        <w:rPr>
          <w:rFonts w:ascii="Times New Roman" w:eastAsia="Arial Unicode MS" w:hAnsi="Times New Roman"/>
          <w:lang w:eastAsia="cs-CZ"/>
        </w:rPr>
        <w:t>Ž</w:t>
      </w:r>
      <w:r w:rsidR="001834C4">
        <w:rPr>
          <w:rFonts w:ascii="Times New Roman" w:eastAsia="Arial Unicode MS" w:hAnsi="Times New Roman"/>
          <w:lang w:eastAsia="cs-CZ"/>
        </w:rPr>
        <w:t>ádosti o individuální dotaci a</w:t>
      </w:r>
      <w:r w:rsidR="00CB076B">
        <w:rPr>
          <w:rFonts w:ascii="Times New Roman" w:eastAsia="Arial Unicode MS" w:hAnsi="Times New Roman"/>
          <w:lang w:eastAsia="cs-CZ"/>
        </w:rPr>
        <w:t> P</w:t>
      </w:r>
      <w:r w:rsidR="00385BE5">
        <w:rPr>
          <w:rFonts w:ascii="Times New Roman" w:eastAsia="Arial Unicode MS" w:hAnsi="Times New Roman"/>
          <w:lang w:eastAsia="cs-CZ"/>
        </w:rPr>
        <w:t>oložkovém</w:t>
      </w:r>
      <w:r w:rsidR="00CB076B">
        <w:rPr>
          <w:rFonts w:ascii="Times New Roman" w:eastAsia="Arial Unicode MS" w:hAnsi="Times New Roman"/>
          <w:lang w:eastAsia="cs-CZ"/>
        </w:rPr>
        <w:t xml:space="preserve"> rozpočtu akce</w:t>
      </w:r>
      <w:r w:rsidR="00385BE5">
        <w:rPr>
          <w:rFonts w:ascii="Times New Roman" w:eastAsia="Arial Unicode MS" w:hAnsi="Times New Roman"/>
          <w:lang w:eastAsia="cs-CZ"/>
        </w:rPr>
        <w:t>, kter</w:t>
      </w:r>
      <w:r w:rsidR="001834C4">
        <w:rPr>
          <w:rFonts w:ascii="Times New Roman" w:eastAsia="Arial Unicode MS" w:hAnsi="Times New Roman"/>
          <w:lang w:eastAsia="cs-CZ"/>
        </w:rPr>
        <w:t>é</w:t>
      </w:r>
      <w:r w:rsidR="00385BE5">
        <w:rPr>
          <w:rFonts w:ascii="Times New Roman" w:eastAsia="Arial Unicode MS" w:hAnsi="Times New Roman"/>
          <w:lang w:eastAsia="cs-CZ"/>
        </w:rPr>
        <w:t xml:space="preserve"> tvoří nedílnou součást této smlouvy jako </w:t>
      </w:r>
      <w:r w:rsidR="002F4BEE">
        <w:rPr>
          <w:rFonts w:ascii="Times New Roman" w:eastAsia="Arial Unicode MS" w:hAnsi="Times New Roman"/>
          <w:lang w:eastAsia="cs-CZ"/>
        </w:rPr>
        <w:t>P</w:t>
      </w:r>
      <w:r w:rsidR="00385BE5">
        <w:rPr>
          <w:rFonts w:ascii="Times New Roman" w:eastAsia="Arial Unicode MS" w:hAnsi="Times New Roman"/>
          <w:lang w:eastAsia="cs-CZ"/>
        </w:rPr>
        <w:t xml:space="preserve">říloha </w:t>
      </w:r>
      <w:r w:rsidR="002F4BEE">
        <w:rPr>
          <w:rFonts w:ascii="Times New Roman" w:eastAsia="Arial Unicode MS" w:hAnsi="Times New Roman"/>
          <w:lang w:eastAsia="cs-CZ"/>
        </w:rPr>
        <w:t>č. 1 a P</w:t>
      </w:r>
      <w:r w:rsidR="001834C4">
        <w:rPr>
          <w:rFonts w:ascii="Times New Roman" w:eastAsia="Arial Unicode MS" w:hAnsi="Times New Roman"/>
          <w:lang w:eastAsia="cs-CZ"/>
        </w:rPr>
        <w:t xml:space="preserve">říloha </w:t>
      </w:r>
      <w:r w:rsidR="00385BE5">
        <w:rPr>
          <w:rFonts w:ascii="Times New Roman" w:eastAsia="Arial Unicode MS" w:hAnsi="Times New Roman"/>
          <w:lang w:eastAsia="cs-CZ"/>
        </w:rPr>
        <w:t>č. 2.</w:t>
      </w:r>
    </w:p>
    <w:p w:rsidR="00A51A64" w:rsidRPr="0096502F" w:rsidRDefault="00A51A64" w:rsidP="00A51A64">
      <w:pPr>
        <w:tabs>
          <w:tab w:val="num" w:pos="720"/>
        </w:tabs>
        <w:spacing w:after="0" w:line="240" w:lineRule="auto"/>
        <w:ind w:left="360"/>
        <w:jc w:val="both"/>
        <w:rPr>
          <w:rFonts w:ascii="Times New Roman" w:eastAsia="Arial Unicode MS" w:hAnsi="Times New Roman"/>
          <w:lang w:eastAsia="cs-CZ"/>
        </w:rPr>
      </w:pPr>
    </w:p>
    <w:p w:rsidR="00A51A64" w:rsidRDefault="00A51A64" w:rsidP="00FB5867">
      <w:pPr>
        <w:numPr>
          <w:ilvl w:val="0"/>
          <w:numId w:val="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004A46D0">
        <w:rPr>
          <w:rFonts w:ascii="Times New Roman" w:eastAsia="Arial Unicode MS" w:hAnsi="Times New Roman"/>
          <w:b/>
          <w:lang w:eastAsia="cs-CZ"/>
        </w:rPr>
        <w:t>31. 1</w:t>
      </w:r>
      <w:r w:rsidR="001834C4" w:rsidRPr="002F4BEE">
        <w:rPr>
          <w:rFonts w:ascii="Times New Roman" w:eastAsia="Arial Unicode MS" w:hAnsi="Times New Roman"/>
          <w:b/>
          <w:lang w:eastAsia="cs-CZ"/>
        </w:rPr>
        <w:t>. 20</w:t>
      </w:r>
      <w:r w:rsidR="004A46D0">
        <w:rPr>
          <w:rFonts w:ascii="Times New Roman" w:eastAsia="Arial Unicode MS" w:hAnsi="Times New Roman"/>
          <w:b/>
          <w:lang w:eastAsia="cs-CZ"/>
        </w:rPr>
        <w:t>20</w:t>
      </w:r>
      <w:r w:rsidRPr="00AE1C37">
        <w:rPr>
          <w:rFonts w:ascii="Times New Roman" w:eastAsia="Arial Unicode MS" w:hAnsi="Times New Roman"/>
          <w:lang w:eastAsia="cs-CZ"/>
        </w:rPr>
        <w:t>,</w:t>
      </w:r>
      <w:r w:rsidRPr="0096502F">
        <w:rPr>
          <w:rFonts w:ascii="Times New Roman" w:eastAsia="Arial Unicode MS" w:hAnsi="Times New Roman"/>
          <w:lang w:eastAsia="cs-CZ"/>
        </w:rPr>
        <w:t xml:space="preserve"> resp. do dne ukončení smlouvy v případě čl. VII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lang w:eastAsia="cs-CZ"/>
          </w:rPr>
          <w:t>http://www.kr-karlovarsky.cz/dotace/Stranky/Prehled-dotace.aspx</w:t>
        </w:r>
      </w:hyperlink>
      <w:r w:rsidRPr="0096502F">
        <w:rPr>
          <w:rFonts w:ascii="Times New Roman" w:eastAsia="Arial Unicode MS" w:hAnsi="Times New Roman"/>
          <w:lang w:eastAsia="cs-CZ"/>
        </w:rPr>
        <w:t>.</w:t>
      </w:r>
    </w:p>
    <w:p w:rsidR="00CB076B" w:rsidRPr="00FB5867" w:rsidRDefault="00CB076B" w:rsidP="00CB076B">
      <w:pPr>
        <w:spacing w:after="0" w:line="240" w:lineRule="auto"/>
        <w:ind w:left="426"/>
        <w:jc w:val="both"/>
        <w:rPr>
          <w:rFonts w:ascii="Times New Roman" w:eastAsia="Arial Unicode MS" w:hAnsi="Times New Roman"/>
          <w:lang w:eastAsia="cs-CZ"/>
        </w:rPr>
      </w:pPr>
    </w:p>
    <w:p w:rsidR="00A51A64" w:rsidRPr="0096502F" w:rsidRDefault="00A51A64" w:rsidP="00A51A64">
      <w:pPr>
        <w:numPr>
          <w:ilvl w:val="0"/>
          <w:numId w:val="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lastRenderedPageBreak/>
        <w:t>Příjemce je povinen společně s finančním vypořádáním dotace předložit kopie veškerých dokladů vztahujících se k poskytnuté dotaci. Ke každému dokladu musí být přiložen doklad o jeho úhradě (bankovní výpis či pokladní doklad). Doklady, zejména faktury</w:t>
      </w:r>
      <w:r w:rsidR="002F4BEE">
        <w:rPr>
          <w:rFonts w:ascii="Times New Roman" w:eastAsia="Arial Unicode MS" w:hAnsi="Times New Roman"/>
          <w:lang w:eastAsia="cs-CZ"/>
        </w:rPr>
        <w:t>,</w:t>
      </w:r>
      <w:r w:rsidRPr="0096502F">
        <w:rPr>
          <w:rFonts w:ascii="Times New Roman" w:eastAsia="Arial Unicode MS" w:hAnsi="Times New Roman"/>
          <w:lang w:eastAsia="cs-CZ"/>
        </w:rPr>
        <w:t xml:space="preserve">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A51A64" w:rsidRPr="0096502F" w:rsidRDefault="00A51A64" w:rsidP="00A51A64">
      <w:pPr>
        <w:spacing w:after="0" w:line="240" w:lineRule="auto"/>
        <w:ind w:left="426"/>
        <w:jc w:val="both"/>
        <w:rPr>
          <w:rFonts w:ascii="Times New Roman" w:eastAsia="Arial Unicode MS" w:hAnsi="Times New Roman"/>
          <w:lang w:eastAsia="cs-CZ"/>
        </w:rPr>
      </w:pPr>
    </w:p>
    <w:p w:rsidR="00A51A64" w:rsidRDefault="00A51A64" w:rsidP="00A51A64">
      <w:pPr>
        <w:numPr>
          <w:ilvl w:val="0"/>
          <w:numId w:val="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Spolu s finančním vypořádáním dotace je příjemce povinen předložit administrujícímu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rsidR="00A51A64" w:rsidRDefault="00A51A64" w:rsidP="00A51A64">
      <w:pPr>
        <w:spacing w:after="0" w:line="240" w:lineRule="auto"/>
        <w:ind w:left="426"/>
        <w:jc w:val="both"/>
        <w:rPr>
          <w:rFonts w:ascii="Times New Roman" w:eastAsia="Arial Unicode MS" w:hAnsi="Times New Roman"/>
          <w:lang w:eastAsia="cs-CZ"/>
        </w:rPr>
      </w:pPr>
    </w:p>
    <w:p w:rsidR="00A51A64" w:rsidRDefault="00A51A64" w:rsidP="00A51A64">
      <w:pPr>
        <w:numPr>
          <w:ilvl w:val="0"/>
          <w:numId w:val="4"/>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96502F">
          <w:rPr>
            <w:rFonts w:ascii="Times New Roman" w:eastAsia="Arial Unicode MS" w:hAnsi="Times New Roman"/>
            <w:lang w:eastAsia="cs-CZ"/>
          </w:rPr>
          <w:t>www.zivykraj.cz</w:t>
        </w:r>
      </w:hyperlink>
      <w:r w:rsidRPr="0096502F">
        <w:rPr>
          <w:rFonts w:ascii="Times New Roman" w:eastAsia="Arial Unicode MS" w:hAnsi="Times New Roman"/>
          <w:lang w:eastAsia="cs-CZ"/>
        </w:rPr>
        <w:t xml:space="preserve">). Od podpisu smlouvy po dobu realizace projektu umístí příjemce na webových stránkách, pokud je má zřízeny, aktivní </w:t>
      </w:r>
      <w:r w:rsidRPr="00AE1C37">
        <w:rPr>
          <w:rFonts w:ascii="Times New Roman" w:eastAsia="Arial Unicode MS" w:hAnsi="Times New Roman"/>
          <w:lang w:eastAsia="cs-CZ"/>
        </w:rPr>
        <w:t xml:space="preserve">odkaz  </w:t>
      </w:r>
      <w:hyperlink r:id="rId9" w:history="1">
        <w:r w:rsidRPr="00AE1C37">
          <w:rPr>
            <w:rFonts w:ascii="Times New Roman" w:eastAsia="Arial Unicode MS" w:hAnsi="Times New Roman"/>
            <w:lang w:eastAsia="cs-CZ"/>
          </w:rPr>
          <w:t>www.kr-karlovarsky.cz</w:t>
        </w:r>
      </w:hyperlink>
      <w:r w:rsidRPr="00AE1C37">
        <w:rPr>
          <w:rFonts w:ascii="Times New Roman" w:eastAsia="Arial Unicode MS" w:hAnsi="Times New Roman"/>
          <w:lang w:eastAsia="cs-CZ"/>
        </w:rPr>
        <w:t xml:space="preserve"> a </w:t>
      </w:r>
      <w:hyperlink r:id="rId10" w:history="1">
        <w:r w:rsidRPr="00AE1C37">
          <w:rPr>
            <w:rFonts w:ascii="Times New Roman" w:eastAsia="Arial Unicode MS" w:hAnsi="Times New Roman"/>
            <w:lang w:eastAsia="cs-CZ"/>
          </w:rPr>
          <w:t>www.zivykraj.cz</w:t>
        </w:r>
      </w:hyperlink>
      <w:r w:rsidRPr="00AE1C37">
        <w:rPr>
          <w:rFonts w:ascii="Times New Roman" w:eastAsia="Arial Unicode MS" w:hAnsi="Times New Roman"/>
          <w:lang w:eastAsia="cs-CZ"/>
        </w:rPr>
        <w:t xml:space="preserve">. Návrh způsobu propagace předloží příjemce poskytovateli do 10 kalendářních dnů od podpisu smlouvy k odsouhlasení. Propagaci </w:t>
      </w:r>
      <w:r w:rsidRPr="0096502F">
        <w:rPr>
          <w:rFonts w:ascii="Times New Roman" w:eastAsia="Arial Unicode MS" w:hAnsi="Times New Roman"/>
          <w:lang w:eastAsia="cs-CZ"/>
        </w:rPr>
        <w:t xml:space="preserve">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96502F">
          <w:rPr>
            <w:rFonts w:ascii="Times New Roman" w:eastAsia="Arial Unicode MS" w:hAnsi="Times New Roman"/>
            <w:lang w:eastAsia="cs-CZ"/>
          </w:rPr>
          <w:t>www.kr-karlovarsky.cz</w:t>
        </w:r>
      </w:hyperlink>
      <w:r w:rsidRPr="0096502F">
        <w:rPr>
          <w:rFonts w:ascii="Times New Roman" w:eastAsia="Arial Unicode MS" w:hAnsi="Times New Roman"/>
          <w:lang w:eastAsia="cs-CZ"/>
        </w:rPr>
        <w:t xml:space="preserve">, odkaz Karlovarský kraj – Poskytování symbolů a záštit) a loga projektu „Živý kraj“ viz </w:t>
      </w:r>
      <w:hyperlink r:id="rId12" w:history="1">
        <w:r w:rsidRPr="0096502F">
          <w:rPr>
            <w:rFonts w:ascii="Times New Roman" w:eastAsia="Arial Unicode MS" w:hAnsi="Times New Roman"/>
            <w:lang w:eastAsia="cs-CZ"/>
          </w:rPr>
          <w:t>www.zivykraj.cz</w:t>
        </w:r>
      </w:hyperlink>
      <w:r w:rsidRPr="0096502F">
        <w:rPr>
          <w:rFonts w:ascii="Times New Roman" w:eastAsia="Arial Unicode MS" w:hAnsi="Times New Roman"/>
          <w:lang w:eastAsia="cs-CZ"/>
        </w:rPr>
        <w:t xml:space="preserve"> záložka Tourism professionals.“</w:t>
      </w:r>
    </w:p>
    <w:p w:rsidR="00A51A64" w:rsidRPr="0096502F" w:rsidRDefault="00A51A64" w:rsidP="00A51A64">
      <w:pPr>
        <w:spacing w:after="0" w:line="240" w:lineRule="auto"/>
        <w:ind w:left="360"/>
        <w:jc w:val="both"/>
        <w:rPr>
          <w:rFonts w:ascii="Times New Roman" w:eastAsia="Arial Unicode MS" w:hAnsi="Times New Roman"/>
          <w:lang w:eastAsia="cs-CZ"/>
        </w:rPr>
      </w:pPr>
    </w:p>
    <w:p w:rsidR="00A51A64" w:rsidRPr="00A51A64" w:rsidRDefault="00A51A64" w:rsidP="00A51A64">
      <w:pPr>
        <w:numPr>
          <w:ilvl w:val="0"/>
          <w:numId w:val="4"/>
        </w:numPr>
        <w:spacing w:after="0" w:line="240" w:lineRule="auto"/>
        <w:jc w:val="both"/>
        <w:rPr>
          <w:rFonts w:ascii="Times New Roman" w:eastAsia="Times New Roman" w:hAnsi="Times New Roman"/>
          <w:lang w:eastAsia="cs-CZ"/>
        </w:rPr>
      </w:pPr>
      <w:r w:rsidRPr="0096502F">
        <w:rPr>
          <w:rFonts w:ascii="Times New Roman" w:eastAsia="Arial Unicode MS" w:hAnsi="Times New Roman"/>
          <w:lang w:eastAsia="cs-CZ"/>
        </w:rPr>
        <w:t>Nevyčerpané finanční prostředky dotace je příjemce povinen vrátit nejpozději do termínu předložení závěrečného finančního vypořádání do</w:t>
      </w:r>
      <w:r w:rsidR="00C335A3">
        <w:rPr>
          <w:rFonts w:ascii="Times New Roman" w:eastAsia="Arial Unicode MS" w:hAnsi="Times New Roman"/>
          <w:lang w:eastAsia="cs-CZ"/>
        </w:rPr>
        <w:t>tace uvedeného v čl. IV. odst. 6</w:t>
      </w:r>
      <w:r w:rsidRPr="0096502F">
        <w:rPr>
          <w:rFonts w:ascii="Times New Roman" w:eastAsia="Arial Unicode MS" w:hAnsi="Times New Roman"/>
          <w:lang w:eastAsia="cs-CZ"/>
        </w:rPr>
        <w:t xml:space="preserve">, a to formou bezhotovostního převodu na účet poskytovatele vedený </w:t>
      </w:r>
      <w:r w:rsidR="00C335A3">
        <w:rPr>
          <w:rFonts w:ascii="Times New Roman" w:eastAsia="Arial Unicode MS" w:hAnsi="Times New Roman"/>
          <w:lang w:eastAsia="cs-CZ"/>
        </w:rPr>
        <w:t xml:space="preserve">u Komerční banky, a.s., pobočka Karlovy Vary, č. účtu </w:t>
      </w:r>
      <w:r w:rsidR="00C335A3">
        <w:rPr>
          <w:rFonts w:ascii="Times New Roman" w:eastAsia="Arial Unicode MS" w:hAnsi="Times New Roman"/>
          <w:lang w:eastAsia="cs-CZ"/>
        </w:rPr>
        <w:br/>
      </w:r>
      <w:r w:rsidR="00875FC8">
        <w:rPr>
          <w:rFonts w:ascii="Times New Roman" w:eastAsia="Arial Unicode MS" w:hAnsi="Times New Roman"/>
          <w:lang w:eastAsia="cs-CZ"/>
        </w:rPr>
        <w:t xml:space="preserve">***** </w:t>
      </w:r>
      <w:r w:rsidRPr="0096502F">
        <w:rPr>
          <w:rFonts w:ascii="Times New Roman" w:eastAsia="Arial Unicode MS" w:hAnsi="Times New Roman"/>
          <w:lang w:eastAsia="cs-CZ"/>
        </w:rPr>
        <w:t>. Platba bude opatřena variabilním symbolem uvedeným v odst. 2 čl. II.</w:t>
      </w:r>
    </w:p>
    <w:p w:rsidR="00A51A64" w:rsidRPr="00A51A64" w:rsidRDefault="00A51A64" w:rsidP="00A51A64">
      <w:pPr>
        <w:spacing w:after="0" w:line="240" w:lineRule="auto"/>
        <w:ind w:left="360"/>
        <w:jc w:val="both"/>
        <w:rPr>
          <w:rFonts w:ascii="Times New Roman" w:eastAsia="Times New Roman" w:hAnsi="Times New Roman"/>
          <w:lang w:eastAsia="cs-CZ"/>
        </w:rPr>
      </w:pPr>
    </w:p>
    <w:p w:rsidR="00A51A64" w:rsidRPr="0096502F" w:rsidRDefault="00A51A64" w:rsidP="00A51A64">
      <w:pPr>
        <w:numPr>
          <w:ilvl w:val="0"/>
          <w:numId w:val="4"/>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rovněž povinen vrátit poskytnuté finanční prostředky na účet </w:t>
      </w:r>
      <w:r w:rsidR="00385BE5">
        <w:rPr>
          <w:rFonts w:ascii="Times New Roman" w:eastAsia="Arial Unicode MS" w:hAnsi="Times New Roman"/>
          <w:lang w:eastAsia="cs-CZ"/>
        </w:rPr>
        <w:t>poskytovatele</w:t>
      </w:r>
      <w:r w:rsidR="00C335A3">
        <w:rPr>
          <w:rFonts w:ascii="Times New Roman" w:eastAsia="Arial Unicode MS" w:hAnsi="Times New Roman"/>
          <w:lang w:eastAsia="cs-CZ"/>
        </w:rPr>
        <w:t xml:space="preserve"> </w:t>
      </w:r>
      <w:r w:rsidRPr="0096502F">
        <w:rPr>
          <w:rFonts w:ascii="Times New Roman" w:eastAsia="Arial Unicode MS" w:hAnsi="Times New Roman"/>
          <w:lang w:eastAsia="cs-CZ"/>
        </w:rPr>
        <w:t xml:space="preserve">uvedený v odst. 10 tohoto článku, jestliže odpadne účel, na který je dotace poskytována, a to do </w:t>
      </w:r>
      <w:r w:rsidR="00C335A3">
        <w:rPr>
          <w:rFonts w:ascii="Times New Roman" w:eastAsia="Arial Unicode MS" w:hAnsi="Times New Roman"/>
          <w:lang w:eastAsia="cs-CZ"/>
        </w:rPr>
        <w:t>10</w:t>
      </w:r>
      <w:r w:rsidRPr="00AE1C37">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pracovních dnů ode dne, kdy se příjemce o této skutečnosti dozví. Platba bude opatřena variabilním symbolem uvedeným v odst. 2 čl. II.</w:t>
      </w:r>
    </w:p>
    <w:p w:rsidR="00A51A64" w:rsidRPr="0096502F" w:rsidRDefault="00A51A64" w:rsidP="00A51A64">
      <w:pPr>
        <w:spacing w:after="0" w:line="240" w:lineRule="auto"/>
        <w:ind w:left="426" w:hanging="426"/>
        <w:jc w:val="both"/>
        <w:rPr>
          <w:rFonts w:ascii="Times New Roman" w:eastAsia="Arial Unicode MS" w:hAnsi="Times New Roman"/>
          <w:lang w:eastAsia="cs-CZ"/>
        </w:rPr>
      </w:pPr>
    </w:p>
    <w:p w:rsidR="00A51A64" w:rsidRDefault="00A51A64" w:rsidP="00A51A64">
      <w:pPr>
        <w:numPr>
          <w:ilvl w:val="0"/>
          <w:numId w:val="4"/>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 této skutečnosti povinen informovat 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rsidR="00A44FFE" w:rsidRDefault="00A44FFE" w:rsidP="00A44FFE">
      <w:pPr>
        <w:spacing w:after="0" w:line="240" w:lineRule="auto"/>
        <w:ind w:left="360"/>
        <w:jc w:val="both"/>
        <w:rPr>
          <w:rFonts w:ascii="Times New Roman" w:eastAsia="Arial Unicode MS" w:hAnsi="Times New Roman"/>
          <w:lang w:eastAsia="cs-CZ"/>
        </w:rPr>
      </w:pPr>
    </w:p>
    <w:p w:rsidR="00A51A64" w:rsidRDefault="00A51A64" w:rsidP="00A51A64">
      <w:pPr>
        <w:numPr>
          <w:ilvl w:val="0"/>
          <w:numId w:val="4"/>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 vymáhání zadržených nebo neoprávněně použitých prostředků dotace zhoršit jeho pozici věřitele nebo dobytnost jeho pohledávky.</w:t>
      </w:r>
    </w:p>
    <w:p w:rsidR="00A75643" w:rsidRPr="0096502F" w:rsidRDefault="00A75643" w:rsidP="00A75643">
      <w:pPr>
        <w:spacing w:after="0" w:line="240" w:lineRule="auto"/>
        <w:ind w:left="360"/>
        <w:jc w:val="both"/>
        <w:rPr>
          <w:rFonts w:ascii="Times New Roman" w:eastAsia="Arial Unicode MS" w:hAnsi="Times New Roman"/>
          <w:lang w:eastAsia="cs-CZ"/>
        </w:rPr>
      </w:pPr>
    </w:p>
    <w:p w:rsidR="00A51A64" w:rsidRPr="0096502F" w:rsidRDefault="00A51A64" w:rsidP="00A51A64">
      <w:pPr>
        <w:numPr>
          <w:ilvl w:val="0"/>
          <w:numId w:val="4"/>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w:t>
      </w:r>
      <w:r w:rsidRPr="00A44FFE">
        <w:rPr>
          <w:rFonts w:ascii="Times New Roman" w:eastAsia="Arial Unicode MS" w:hAnsi="Times New Roman"/>
          <w:lang w:eastAsia="cs-CZ"/>
        </w:rPr>
        <w:t xml:space="preserve">do 10 </w:t>
      </w:r>
      <w:r w:rsidRPr="0096502F">
        <w:rPr>
          <w:rFonts w:ascii="Times New Roman" w:eastAsia="Arial Unicode MS" w:hAnsi="Times New Roman"/>
          <w:lang w:eastAsia="cs-CZ"/>
        </w:rPr>
        <w:t>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A51A64" w:rsidRPr="0096502F" w:rsidRDefault="00A51A64" w:rsidP="00A51A64">
      <w:pPr>
        <w:spacing w:after="0" w:line="240" w:lineRule="auto"/>
        <w:ind w:left="426" w:hanging="426"/>
        <w:jc w:val="both"/>
        <w:rPr>
          <w:rFonts w:ascii="Times New Roman" w:eastAsia="Arial Unicode MS" w:hAnsi="Times New Roman"/>
          <w:lang w:eastAsia="cs-CZ"/>
        </w:rPr>
      </w:pPr>
    </w:p>
    <w:p w:rsidR="00A75643" w:rsidRPr="004D677F" w:rsidRDefault="00A51A64" w:rsidP="004D677F">
      <w:pPr>
        <w:numPr>
          <w:ilvl w:val="0"/>
          <w:numId w:val="4"/>
        </w:num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Pr="0096502F">
        <w:rPr>
          <w:rFonts w:ascii="Times New Roman" w:eastAsia="Arial Unicode MS" w:hAnsi="Times New Roman"/>
          <w:lang w:eastAsia="cs-CZ"/>
        </w:rPr>
        <w:t>V případě zrušení</w:t>
      </w:r>
      <w:r w:rsidR="00FB5867">
        <w:rPr>
          <w:rFonts w:ascii="Times New Roman" w:eastAsia="Arial Unicode MS" w:hAnsi="Times New Roman"/>
          <w:lang w:eastAsia="cs-CZ"/>
        </w:rPr>
        <w:t xml:space="preserve"> </w:t>
      </w:r>
      <w:r w:rsidRPr="0096502F">
        <w:rPr>
          <w:rFonts w:ascii="Times New Roman" w:eastAsia="Arial Unicode MS" w:hAnsi="Times New Roman"/>
          <w:lang w:eastAsia="cs-CZ"/>
        </w:rPr>
        <w:t>právnické osoby s likvidací provede příjemce finanční vypořádání poskytnuté dotace obdobně dle odst. 7 článku IV. smlouvy, a to ke dni likvidace.</w:t>
      </w:r>
    </w:p>
    <w:p w:rsidR="00A51A64" w:rsidRPr="0096502F" w:rsidRDefault="00A51A64" w:rsidP="00A51A64">
      <w:pPr>
        <w:numPr>
          <w:ilvl w:val="0"/>
          <w:numId w:val="4"/>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lastRenderedPageBreak/>
        <w:t>Je-li příjemce veřejným zadavatelem nebo splní příjemce definici zadavatele podle zákona č. 134/2016 Sb., o zadávání veřejných zakázek, ve znění pozdějších předpisů, je povinen postupovat při výběru dodavatele podle tohoto zákona.</w:t>
      </w:r>
    </w:p>
    <w:p w:rsidR="00A51A64" w:rsidRPr="0096502F" w:rsidRDefault="00A51A64" w:rsidP="00A51A64">
      <w:pPr>
        <w:spacing w:after="0" w:line="240" w:lineRule="auto"/>
        <w:ind w:left="426" w:hanging="426"/>
        <w:jc w:val="both"/>
        <w:rPr>
          <w:rFonts w:ascii="Times New Roman" w:eastAsia="Arial Unicode MS" w:hAnsi="Times New Roman"/>
          <w:lang w:eastAsia="cs-CZ"/>
        </w:rPr>
      </w:pPr>
    </w:p>
    <w:p w:rsidR="00A51A64" w:rsidRPr="0096502F" w:rsidRDefault="00A51A64" w:rsidP="00A51A64">
      <w:pPr>
        <w:numPr>
          <w:ilvl w:val="0"/>
          <w:numId w:val="4"/>
        </w:numPr>
        <w:spacing w:after="0" w:line="240" w:lineRule="auto"/>
        <w:jc w:val="both"/>
        <w:rPr>
          <w:rFonts w:ascii="Times New Roman" w:eastAsia="Arial Unicode MS" w:hAnsi="Times New Roman"/>
          <w:lang w:eastAsia="cs-CZ"/>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A51A64" w:rsidRPr="0096502F" w:rsidRDefault="00A51A64" w:rsidP="00A51A64">
      <w:pPr>
        <w:spacing w:after="0" w:line="240" w:lineRule="auto"/>
        <w:ind w:left="426" w:hanging="426"/>
        <w:jc w:val="both"/>
        <w:rPr>
          <w:rFonts w:ascii="Times New Roman" w:eastAsia="Arial Unicode MS" w:hAnsi="Times New Roman"/>
          <w:lang w:eastAsia="cs-CZ"/>
        </w:rPr>
      </w:pPr>
    </w:p>
    <w:p w:rsidR="00FB5867" w:rsidRPr="00FB5867" w:rsidRDefault="00A51A64" w:rsidP="00FB5867">
      <w:pPr>
        <w:numPr>
          <w:ilvl w:val="0"/>
          <w:numId w:val="4"/>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A75643" w:rsidRPr="0096502F" w:rsidRDefault="00A75643" w:rsidP="00A75643">
      <w:pPr>
        <w:spacing w:after="0" w:line="240" w:lineRule="auto"/>
        <w:ind w:left="360"/>
        <w:jc w:val="both"/>
        <w:rPr>
          <w:rFonts w:ascii="Times New Roman" w:eastAsia="Arial Unicode MS" w:hAnsi="Times New Roman"/>
          <w:lang w:eastAsia="cs-CZ"/>
        </w:rPr>
      </w:pPr>
    </w:p>
    <w:p w:rsidR="00A51A64" w:rsidRPr="0096502F" w:rsidRDefault="00A51A64" w:rsidP="00A51A64">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rsidR="00FB5867" w:rsidRPr="0096502F" w:rsidRDefault="00A51A64" w:rsidP="00FB5867">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rsidR="00A51A64" w:rsidRPr="0096502F" w:rsidRDefault="00A51A64" w:rsidP="00A51A64">
      <w:pPr>
        <w:numPr>
          <w:ilvl w:val="0"/>
          <w:numId w:val="12"/>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Pr="0096502F">
        <w:rPr>
          <w:rFonts w:ascii="Times New Roman" w:eastAsia="Times New Roman" w:hAnsi="Times New Roman"/>
          <w:lang w:eastAsia="cs-CZ"/>
        </w:rPr>
        <w:t>.</w:t>
      </w:r>
    </w:p>
    <w:p w:rsidR="00A51A64" w:rsidRPr="0096502F" w:rsidRDefault="00A51A64" w:rsidP="00A51A64">
      <w:pPr>
        <w:tabs>
          <w:tab w:val="num" w:pos="720"/>
        </w:tabs>
        <w:spacing w:after="0" w:line="240" w:lineRule="auto"/>
        <w:ind w:left="426" w:hanging="426"/>
        <w:jc w:val="both"/>
        <w:rPr>
          <w:rFonts w:ascii="Times New Roman" w:eastAsia="Times New Roman" w:hAnsi="Times New Roman"/>
          <w:lang w:eastAsia="cs-CZ"/>
        </w:rPr>
      </w:pPr>
    </w:p>
    <w:p w:rsidR="00A51A64" w:rsidRPr="0096502F" w:rsidRDefault="00A51A64" w:rsidP="00A51A64">
      <w:pPr>
        <w:pStyle w:val="Odstavecseseznamem"/>
        <w:numPr>
          <w:ilvl w:val="0"/>
          <w:numId w:val="12"/>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A51A64" w:rsidRPr="0096502F" w:rsidRDefault="00A51A64" w:rsidP="00A51A64">
      <w:pPr>
        <w:spacing w:after="0" w:line="240" w:lineRule="auto"/>
        <w:ind w:left="426" w:hanging="426"/>
        <w:jc w:val="both"/>
        <w:rPr>
          <w:rFonts w:ascii="Times New Roman" w:eastAsia="Times New Roman" w:hAnsi="Times New Roman"/>
          <w:lang w:eastAsia="cs-CZ"/>
        </w:rPr>
      </w:pPr>
    </w:p>
    <w:p w:rsidR="00A51A64" w:rsidRPr="0096502F" w:rsidRDefault="00A51A64" w:rsidP="00A51A64">
      <w:pPr>
        <w:numPr>
          <w:ilvl w:val="0"/>
          <w:numId w:val="12"/>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A51A64" w:rsidRPr="0096502F" w:rsidRDefault="00A51A64" w:rsidP="00A51A64">
      <w:pPr>
        <w:spacing w:after="0" w:line="240" w:lineRule="auto"/>
        <w:ind w:left="426" w:hanging="426"/>
        <w:jc w:val="both"/>
        <w:rPr>
          <w:rFonts w:ascii="Times New Roman" w:eastAsia="Times New Roman" w:hAnsi="Times New Roman"/>
          <w:b/>
          <w:lang w:eastAsia="cs-CZ"/>
        </w:rPr>
      </w:pPr>
    </w:p>
    <w:p w:rsidR="00A51A64" w:rsidRPr="00FB5867" w:rsidRDefault="00A51A64" w:rsidP="00A51A64">
      <w:pPr>
        <w:numPr>
          <w:ilvl w:val="0"/>
          <w:numId w:val="12"/>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FB5867" w:rsidRPr="0096502F" w:rsidRDefault="00FB5867" w:rsidP="00A51A64">
      <w:pPr>
        <w:spacing w:after="0" w:line="240" w:lineRule="auto"/>
        <w:jc w:val="both"/>
        <w:rPr>
          <w:rFonts w:ascii="Times New Roman" w:eastAsia="Times New Roman" w:hAnsi="Times New Roman"/>
          <w:b/>
          <w:lang w:eastAsia="cs-CZ"/>
        </w:rPr>
      </w:pPr>
    </w:p>
    <w:p w:rsidR="00A51A64" w:rsidRPr="0096502F" w:rsidRDefault="00A51A64" w:rsidP="00A51A64">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rsidR="00FB5867" w:rsidRPr="0096502F" w:rsidRDefault="00A51A64" w:rsidP="00FB5867">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rsidR="00A51A64" w:rsidRPr="0096502F" w:rsidRDefault="00A51A64" w:rsidP="00A51A64">
      <w:pPr>
        <w:numPr>
          <w:ilvl w:val="0"/>
          <w:numId w:val="1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 případě, že příjemce nesplní některou ze svých povinností stanovených v odst. </w:t>
      </w:r>
      <w:r>
        <w:rPr>
          <w:rFonts w:ascii="Times New Roman" w:eastAsia="Times New Roman" w:hAnsi="Times New Roman"/>
          <w:lang w:eastAsia="cs-CZ"/>
        </w:rPr>
        <w:t xml:space="preserve">3, 4, </w:t>
      </w:r>
      <w:r w:rsidRPr="0096502F">
        <w:rPr>
          <w:rFonts w:ascii="Times New Roman" w:eastAsia="Times New Roman" w:hAnsi="Times New Roman"/>
          <w:lang w:eastAsia="cs-CZ"/>
        </w:rPr>
        <w:t>8, 9, 12, 13, 14</w:t>
      </w:r>
      <w:r>
        <w:rPr>
          <w:rFonts w:ascii="Times New Roman" w:eastAsia="Times New Roman" w:hAnsi="Times New Roman"/>
          <w:lang w:eastAsia="cs-CZ"/>
        </w:rPr>
        <w:t>, 15, 18</w:t>
      </w:r>
      <w:r w:rsidRPr="0096502F">
        <w:rPr>
          <w:rFonts w:ascii="Times New Roman" w:eastAsia="Times New Roman" w:hAnsi="Times New Roman"/>
          <w:lang w:eastAsia="cs-CZ"/>
        </w:rPr>
        <w:t xml:space="preserve"> čl. IV.,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A51A64" w:rsidRPr="0096502F" w:rsidRDefault="00A51A64" w:rsidP="00A51A64">
      <w:pPr>
        <w:spacing w:after="0" w:line="240" w:lineRule="auto"/>
        <w:ind w:left="426" w:hanging="426"/>
        <w:jc w:val="both"/>
        <w:rPr>
          <w:rFonts w:ascii="Times New Roman" w:eastAsia="Times New Roman" w:hAnsi="Times New Roman"/>
          <w:lang w:eastAsia="cs-CZ"/>
        </w:rPr>
      </w:pPr>
    </w:p>
    <w:p w:rsidR="00A51A64" w:rsidRPr="0096502F" w:rsidRDefault="00A51A64" w:rsidP="00A51A64">
      <w:pPr>
        <w:numPr>
          <w:ilvl w:val="0"/>
          <w:numId w:val="1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 případě, že příjemce neprokáže způsobem stanoveným v čl. IV. odst. 1, </w:t>
      </w:r>
      <w:r>
        <w:rPr>
          <w:rFonts w:ascii="Times New Roman" w:eastAsia="Times New Roman" w:hAnsi="Times New Roman"/>
          <w:lang w:eastAsia="cs-CZ"/>
        </w:rPr>
        <w:t>2</w:t>
      </w:r>
      <w:r w:rsidRPr="0096502F">
        <w:rPr>
          <w:rFonts w:ascii="Times New Roman" w:eastAsia="Times New Roman" w:hAnsi="Times New Roman"/>
          <w:lang w:eastAsia="cs-CZ"/>
        </w:rPr>
        <w:t xml:space="preserve">, </w:t>
      </w:r>
      <w:r>
        <w:rPr>
          <w:rFonts w:ascii="Times New Roman" w:eastAsia="Times New Roman" w:hAnsi="Times New Roman"/>
          <w:lang w:eastAsia="cs-CZ"/>
        </w:rPr>
        <w:t xml:space="preserve">5, </w:t>
      </w:r>
      <w:r w:rsidRPr="0096502F">
        <w:rPr>
          <w:rFonts w:ascii="Times New Roman" w:eastAsia="Times New Roman" w:hAnsi="Times New Roman"/>
          <w:lang w:eastAsia="cs-CZ"/>
        </w:rPr>
        <w:t xml:space="preserve">6, 7, </w:t>
      </w:r>
      <w:r>
        <w:rPr>
          <w:rFonts w:ascii="Times New Roman" w:eastAsia="Times New Roman" w:hAnsi="Times New Roman"/>
          <w:lang w:eastAsia="cs-CZ"/>
        </w:rPr>
        <w:t>16</w:t>
      </w:r>
      <w:r w:rsidRPr="0096502F">
        <w:rPr>
          <w:rFonts w:ascii="Times New Roman" w:eastAsia="Times New Roman" w:hAnsi="Times New Roman"/>
          <w:lang w:eastAsia="cs-CZ"/>
        </w:rPr>
        <w:t xml:space="preserve"> použití finančních prostředků v souladu s čl. IV. odst. 2, popř. použije poskytnuté prostředky, případně jejich část, k jinému účelu, než je uvedeno v článku IV. odst. 1 této smlouvy, považují se tyto prostředky, případně jejich část, </w:t>
      </w:r>
      <w:r w:rsidRPr="0096502F">
        <w:rPr>
          <w:rFonts w:ascii="Times New Roman" w:eastAsia="Times New Roman" w:hAnsi="Times New Roman"/>
          <w:lang w:eastAsia="cs-CZ"/>
        </w:rPr>
        <w:lastRenderedPageBreak/>
        <w:t>za prostředky neoprávněně použité ve smyslu ustanovení § 22 RPÚR. Příjemce je v tomto případě povinen provést v souladu s ustanovením § 22 RPÚR odvod za porušení rozpočtové kázně do rozpočtu poskytovatele.</w:t>
      </w:r>
    </w:p>
    <w:p w:rsidR="00A51A64" w:rsidRPr="0096502F" w:rsidRDefault="00A51A64" w:rsidP="00A51A64">
      <w:pPr>
        <w:spacing w:after="0" w:line="240" w:lineRule="auto"/>
        <w:ind w:left="426" w:hanging="426"/>
        <w:jc w:val="both"/>
        <w:rPr>
          <w:rFonts w:ascii="Times New Roman" w:eastAsia="Times New Roman" w:hAnsi="Times New Roman"/>
          <w:lang w:eastAsia="cs-CZ"/>
        </w:rPr>
      </w:pPr>
    </w:p>
    <w:p w:rsidR="00A51A64" w:rsidRPr="0096502F" w:rsidRDefault="00A51A64" w:rsidP="00A51A64">
      <w:pPr>
        <w:numPr>
          <w:ilvl w:val="0"/>
          <w:numId w:val="1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 případě, že příjemce nesplní některou ze svých povinností stanovených v čl. IV. odst. 10, 11 této smlouvy, považuje se toto jednání za zadržení peněžních prostředků ve smyslu ustanovení </w:t>
      </w:r>
      <w:r w:rsidR="006042A2">
        <w:rPr>
          <w:rFonts w:ascii="Times New Roman" w:eastAsia="Times New Roman" w:hAnsi="Times New Roman"/>
          <w:lang w:eastAsia="cs-CZ"/>
        </w:rPr>
        <w:br/>
      </w:r>
      <w:r w:rsidRPr="0096502F">
        <w:rPr>
          <w:rFonts w:ascii="Times New Roman" w:eastAsia="Times New Roman" w:hAnsi="Times New Roman"/>
          <w:lang w:eastAsia="cs-CZ"/>
        </w:rPr>
        <w:t>§ 22 RPÚR. Příjemce je v tomto případě povinen provést v souladu s ustanovením § 22 RPÚR odvod za porušení rozpočtové kázně do rozpočtu poskytovatele.</w:t>
      </w:r>
    </w:p>
    <w:p w:rsidR="00A51A64" w:rsidRPr="0096502F" w:rsidRDefault="00A51A64" w:rsidP="00A51A64">
      <w:pPr>
        <w:spacing w:after="0" w:line="240" w:lineRule="auto"/>
        <w:ind w:left="426" w:hanging="426"/>
        <w:jc w:val="both"/>
        <w:rPr>
          <w:rFonts w:ascii="Times New Roman" w:eastAsia="Times New Roman" w:hAnsi="Times New Roman"/>
          <w:lang w:eastAsia="cs-CZ"/>
        </w:rPr>
      </w:pPr>
    </w:p>
    <w:p w:rsidR="00A51A64" w:rsidRPr="0096502F" w:rsidRDefault="00A51A64" w:rsidP="00A51A64">
      <w:pPr>
        <w:numPr>
          <w:ilvl w:val="0"/>
          <w:numId w:val="1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Pr="0096502F">
        <w:rPr>
          <w:rFonts w:ascii="Times New Roman" w:eastAsia="Arial Unicode MS" w:hAnsi="Times New Roman"/>
          <w:lang w:eastAsia="cs-CZ"/>
        </w:rPr>
        <w:t xml:space="preserve">uvedený výše a opatří je variabilním symbolem </w:t>
      </w:r>
      <w:r w:rsidRPr="0096502F">
        <w:rPr>
          <w:rFonts w:ascii="Times New Roman" w:eastAsia="Times New Roman" w:hAnsi="Times New Roman"/>
          <w:lang w:eastAsia="cs-CZ"/>
        </w:rPr>
        <w:t>a písemně informuje poskytovatele o vrácení peněžních prostředků na jeho účet.</w:t>
      </w:r>
    </w:p>
    <w:p w:rsidR="00FB5867" w:rsidRPr="0096502F" w:rsidRDefault="00FB5867" w:rsidP="00A51A64">
      <w:pPr>
        <w:tabs>
          <w:tab w:val="left" w:pos="3765"/>
          <w:tab w:val="center" w:pos="4536"/>
        </w:tabs>
        <w:spacing w:after="0" w:line="240" w:lineRule="auto"/>
        <w:rPr>
          <w:rFonts w:ascii="Times New Roman" w:eastAsia="Times New Roman" w:hAnsi="Times New Roman"/>
          <w:b/>
          <w:bCs/>
          <w:lang w:eastAsia="cs-CZ"/>
        </w:rPr>
      </w:pPr>
    </w:p>
    <w:p w:rsidR="00A51A64" w:rsidRPr="0096502F" w:rsidRDefault="00A51A64" w:rsidP="00A51A64">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rsidR="00FB5867" w:rsidRPr="00FB5867" w:rsidRDefault="00A51A64" w:rsidP="00FB5867">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Ukončení smlouvy</w:t>
      </w:r>
    </w:p>
    <w:p w:rsidR="00A51A64" w:rsidRPr="0096502F" w:rsidRDefault="00A51A64" w:rsidP="00A51A64">
      <w:pPr>
        <w:numPr>
          <w:ilvl w:val="0"/>
          <w:numId w:val="10"/>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Smlouvu lze ukončit na základě písemné dohody smluvních stran nebo výpovědí.</w:t>
      </w:r>
    </w:p>
    <w:p w:rsidR="00A51A64" w:rsidRPr="0096502F" w:rsidRDefault="00A51A64" w:rsidP="00A51A64">
      <w:pPr>
        <w:spacing w:after="0" w:line="240" w:lineRule="auto"/>
        <w:ind w:left="426" w:hanging="426"/>
        <w:jc w:val="both"/>
        <w:rPr>
          <w:rFonts w:ascii="Times New Roman" w:eastAsia="Times New Roman" w:hAnsi="Times New Roman"/>
          <w:lang w:eastAsia="cs-CZ"/>
        </w:rPr>
      </w:pPr>
    </w:p>
    <w:p w:rsidR="00A51A64" w:rsidRPr="0096502F" w:rsidRDefault="00A51A64" w:rsidP="00A51A64">
      <w:pPr>
        <w:numPr>
          <w:ilvl w:val="0"/>
          <w:numId w:val="10"/>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A51A64" w:rsidRPr="0096502F" w:rsidRDefault="00A51A64" w:rsidP="00A51A64">
      <w:pPr>
        <w:spacing w:after="0" w:line="240" w:lineRule="auto"/>
        <w:ind w:left="426" w:hanging="426"/>
        <w:jc w:val="both"/>
        <w:rPr>
          <w:rFonts w:ascii="Times New Roman" w:eastAsia="Times New Roman" w:hAnsi="Times New Roman"/>
          <w:lang w:eastAsia="cs-CZ"/>
        </w:rPr>
      </w:pPr>
    </w:p>
    <w:p w:rsidR="00FB5867" w:rsidRPr="00FB5867" w:rsidRDefault="00A51A64" w:rsidP="00FB5867">
      <w:pPr>
        <w:numPr>
          <w:ilvl w:val="0"/>
          <w:numId w:val="10"/>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 je příjemce povinen provést finanční vypořádání poskytnuté dotace obdobně podle odst. 7 článku IV. smlouvy, a to ke dni ukončení smlouvy.</w:t>
      </w:r>
    </w:p>
    <w:p w:rsidR="00FB5867" w:rsidRDefault="00FB5867" w:rsidP="00B74E7A">
      <w:pPr>
        <w:spacing w:after="0" w:line="240" w:lineRule="auto"/>
        <w:jc w:val="center"/>
        <w:rPr>
          <w:rFonts w:ascii="Times New Roman" w:eastAsia="Times New Roman" w:hAnsi="Times New Roman"/>
          <w:b/>
          <w:bCs/>
          <w:lang w:eastAsia="cs-CZ"/>
        </w:rPr>
      </w:pPr>
    </w:p>
    <w:p w:rsidR="00B74E7A" w:rsidRPr="0096502F" w:rsidRDefault="00B74E7A" w:rsidP="00B74E7A">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rsidR="00FB5867" w:rsidRDefault="00B74E7A" w:rsidP="00FB5867">
      <w:pPr>
        <w:spacing w:after="0" w:line="240" w:lineRule="auto"/>
        <w:ind w:left="3258" w:firstLine="282"/>
        <w:rPr>
          <w:rFonts w:ascii="Times New Roman" w:eastAsia="Times New Roman" w:hAnsi="Times New Roman"/>
          <w:b/>
          <w:bCs/>
          <w:lang w:eastAsia="cs-CZ"/>
        </w:rPr>
      </w:pPr>
      <w:r>
        <w:rPr>
          <w:rFonts w:ascii="Times New Roman" w:eastAsia="Times New Roman" w:hAnsi="Times New Roman"/>
          <w:b/>
          <w:bCs/>
          <w:lang w:eastAsia="cs-CZ"/>
        </w:rPr>
        <w:t xml:space="preserve">  </w:t>
      </w:r>
      <w:r w:rsidR="009B7B68">
        <w:rPr>
          <w:rFonts w:ascii="Times New Roman" w:eastAsia="Times New Roman" w:hAnsi="Times New Roman"/>
          <w:b/>
          <w:bCs/>
          <w:lang w:eastAsia="cs-CZ"/>
        </w:rPr>
        <w:t xml:space="preserve">       </w:t>
      </w:r>
      <w:r>
        <w:rPr>
          <w:rFonts w:ascii="Times New Roman" w:eastAsia="Times New Roman" w:hAnsi="Times New Roman"/>
          <w:b/>
          <w:bCs/>
          <w:lang w:eastAsia="cs-CZ"/>
        </w:rPr>
        <w:t xml:space="preserve"> </w:t>
      </w:r>
      <w:r w:rsidRPr="0096502F">
        <w:rPr>
          <w:rFonts w:ascii="Times New Roman" w:eastAsia="Times New Roman" w:hAnsi="Times New Roman"/>
          <w:b/>
          <w:bCs/>
          <w:lang w:eastAsia="cs-CZ"/>
        </w:rPr>
        <w:t>Veřejná podpora</w:t>
      </w:r>
    </w:p>
    <w:p w:rsidR="004D7863" w:rsidRDefault="004D7863" w:rsidP="004D7863">
      <w:pPr>
        <w:pStyle w:val="Odstavecseseznamem"/>
        <w:numPr>
          <w:ilvl w:val="0"/>
          <w:numId w:val="17"/>
        </w:numPr>
        <w:spacing w:after="0" w:line="240" w:lineRule="auto"/>
        <w:ind w:left="426"/>
        <w:jc w:val="both"/>
        <w:rPr>
          <w:rFonts w:ascii="Times New Roman" w:eastAsia="Times New Roman" w:hAnsi="Times New Roman"/>
          <w:lang w:eastAsia="cs-CZ"/>
        </w:rPr>
      </w:pPr>
      <w:r w:rsidRPr="004D7863">
        <w:rPr>
          <w:rFonts w:ascii="Times New Roman" w:eastAsia="Times New Roman" w:hAnsi="Times New Roman"/>
          <w:lang w:eastAsia="cs-CZ"/>
        </w:rPr>
        <w:t>Podpora poskytnutá dle smlouvy byla smluvními stranami vyhodnocena jako opatření nezakládající veřejnou podporu podle čl. </w:t>
      </w:r>
      <w:r w:rsidRPr="004D7863">
        <w:rPr>
          <w:rFonts w:ascii="Times New Roman" w:eastAsia="Times New Roman" w:hAnsi="Times New Roman"/>
          <w:bCs/>
          <w:lang w:eastAsia="cs-CZ"/>
        </w:rPr>
        <w:t>107</w:t>
      </w:r>
      <w:r w:rsidRPr="004D7863">
        <w:rPr>
          <w:rFonts w:ascii="Times New Roman" w:eastAsia="Times New Roman" w:hAnsi="Times New Roman"/>
          <w:lang w:eastAsia="cs-CZ"/>
        </w:rPr>
        <w:t xml:space="preserve">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r>
        <w:rPr>
          <w:rFonts w:ascii="Times New Roman" w:eastAsia="Times New Roman" w:hAnsi="Times New Roman"/>
          <w:lang w:eastAsia="cs-CZ"/>
        </w:rPr>
        <w:t>.</w:t>
      </w:r>
    </w:p>
    <w:p w:rsidR="004D7863" w:rsidRDefault="004D7863" w:rsidP="004D7863">
      <w:pPr>
        <w:pStyle w:val="Odstavecseseznamem"/>
        <w:spacing w:after="0" w:line="240" w:lineRule="auto"/>
        <w:ind w:left="426"/>
        <w:jc w:val="both"/>
        <w:rPr>
          <w:rFonts w:ascii="Times New Roman" w:eastAsia="Times New Roman" w:hAnsi="Times New Roman"/>
          <w:lang w:eastAsia="cs-CZ"/>
        </w:rPr>
      </w:pPr>
    </w:p>
    <w:p w:rsidR="004D7863" w:rsidRDefault="004D7863" w:rsidP="004D7863">
      <w:pPr>
        <w:pStyle w:val="Odstavecseseznamem"/>
        <w:numPr>
          <w:ilvl w:val="0"/>
          <w:numId w:val="17"/>
        </w:numPr>
        <w:spacing w:after="0" w:line="240" w:lineRule="auto"/>
        <w:ind w:left="426"/>
        <w:jc w:val="both"/>
        <w:rPr>
          <w:rFonts w:ascii="Times New Roman" w:eastAsia="Times New Roman" w:hAnsi="Times New Roman"/>
          <w:lang w:eastAsia="cs-CZ"/>
        </w:rPr>
      </w:pPr>
      <w:r w:rsidRPr="00A56375">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rFonts w:eastAsia="Times New Roman"/>
          <w:lang w:eastAsia="cs-CZ"/>
        </w:rPr>
        <w:footnoteReference w:id="1"/>
      </w:r>
      <w:r w:rsidRPr="00A56375">
        <w:rPr>
          <w:rFonts w:ascii="Times New Roman" w:eastAsia="Times New Roman" w:hAnsi="Times New Roman"/>
          <w:lang w:eastAsia="cs-CZ"/>
        </w:rPr>
        <w:t xml:space="preserve"> buď o vrácení podpory, prozatímním navrácení podpory nebo o pozastavení podpory</w:t>
      </w:r>
      <w:r>
        <w:rPr>
          <w:rFonts w:ascii="Times New Roman" w:eastAsia="Times New Roman" w:hAnsi="Times New Roman"/>
          <w:lang w:eastAsia="cs-CZ"/>
        </w:rPr>
        <w:t>.</w:t>
      </w:r>
    </w:p>
    <w:p w:rsidR="00FB5867" w:rsidRPr="004D7863" w:rsidRDefault="00FB5867" w:rsidP="004D7863">
      <w:pPr>
        <w:pStyle w:val="Odstavecseseznamem"/>
        <w:spacing w:after="0" w:line="240" w:lineRule="auto"/>
        <w:ind w:left="426"/>
        <w:jc w:val="both"/>
        <w:rPr>
          <w:rFonts w:ascii="Times New Roman" w:eastAsia="Times New Roman" w:hAnsi="Times New Roman"/>
          <w:lang w:eastAsia="cs-CZ"/>
        </w:rPr>
      </w:pPr>
    </w:p>
    <w:p w:rsidR="001C6E38" w:rsidRPr="0096502F" w:rsidRDefault="001C6E38" w:rsidP="001C6E38">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IX.</w:t>
      </w:r>
    </w:p>
    <w:p w:rsidR="001C6E38" w:rsidRDefault="001C6E38" w:rsidP="001C6E38">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rsidR="001C6E38" w:rsidRPr="0096502F" w:rsidRDefault="001C6E38" w:rsidP="001C6E38">
      <w:pPr>
        <w:numPr>
          <w:ilvl w:val="0"/>
          <w:numId w:val="13"/>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1C6E38" w:rsidRPr="0096502F" w:rsidRDefault="001C6E38" w:rsidP="001C6E38">
      <w:pPr>
        <w:tabs>
          <w:tab w:val="left" w:pos="-1134"/>
        </w:tabs>
        <w:spacing w:after="0" w:line="240" w:lineRule="auto"/>
        <w:ind w:left="426" w:hanging="426"/>
        <w:jc w:val="both"/>
        <w:rPr>
          <w:rFonts w:ascii="Times New Roman" w:eastAsia="Times New Roman" w:hAnsi="Times New Roman"/>
          <w:lang w:eastAsia="cs-CZ"/>
        </w:rPr>
      </w:pPr>
    </w:p>
    <w:p w:rsidR="001C6E38" w:rsidRPr="0096502F" w:rsidRDefault="001C6E38" w:rsidP="001C6E38">
      <w:pPr>
        <w:numPr>
          <w:ilvl w:val="0"/>
          <w:numId w:val="13"/>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1C6E38" w:rsidRPr="0096502F" w:rsidRDefault="001C6E38" w:rsidP="001C6E38">
      <w:pPr>
        <w:spacing w:after="0" w:line="240" w:lineRule="auto"/>
        <w:ind w:left="426" w:hanging="426"/>
        <w:jc w:val="both"/>
        <w:rPr>
          <w:rFonts w:ascii="Times New Roman" w:eastAsia="Times New Roman" w:hAnsi="Times New Roman"/>
          <w:lang w:eastAsia="cs-CZ"/>
        </w:rPr>
      </w:pPr>
    </w:p>
    <w:p w:rsidR="00DB6F96" w:rsidRPr="004D677F" w:rsidRDefault="001C6E38" w:rsidP="004D677F">
      <w:pPr>
        <w:numPr>
          <w:ilvl w:val="0"/>
          <w:numId w:val="13"/>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lang w:eastAsia="cs-CZ"/>
        </w:rPr>
        <w:t> </w:t>
      </w:r>
      <w:r w:rsidRPr="0096502F">
        <w:rPr>
          <w:rFonts w:ascii="Times New Roman" w:eastAsia="Times New Roman" w:hAnsi="Times New Roman"/>
          <w:lang w:eastAsia="cs-CZ"/>
        </w:rPr>
        <w:t>č.</w:t>
      </w:r>
      <w:r>
        <w:rPr>
          <w:rFonts w:ascii="Times New Roman" w:eastAsia="Times New Roman" w:hAnsi="Times New Roman"/>
          <w:lang w:eastAsia="cs-CZ"/>
        </w:rPr>
        <w:t> </w:t>
      </w:r>
      <w:r w:rsidRPr="0096502F">
        <w:rPr>
          <w:rFonts w:ascii="Times New Roman" w:eastAsia="Times New Roman" w:hAnsi="Times New Roman"/>
          <w:lang w:eastAsia="cs-CZ"/>
        </w:rPr>
        <w:t>89/2012 Sb., občanský zákoník, ve znění pozdějších předpisů.</w:t>
      </w:r>
    </w:p>
    <w:p w:rsidR="001C6E38" w:rsidRDefault="001C6E38" w:rsidP="001C6E38">
      <w:pPr>
        <w:numPr>
          <w:ilvl w:val="0"/>
          <w:numId w:val="13"/>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lastRenderedPageBreak/>
        <w:t>S</w:t>
      </w:r>
      <w:r w:rsidRPr="0096502F">
        <w:rPr>
          <w:rFonts w:ascii="Times New Roman" w:eastAsia="Times New Roman" w:hAnsi="Times New Roman"/>
          <w:lang w:eastAsia="cs-CZ"/>
        </w:rPr>
        <w:t xml:space="preserve">mlouva je vyhotovena ve </w:t>
      </w:r>
      <w:r w:rsidRPr="008374EC">
        <w:rPr>
          <w:rFonts w:ascii="Times New Roman" w:eastAsia="Times New Roman" w:hAnsi="Times New Roman"/>
          <w:lang w:eastAsia="cs-CZ"/>
        </w:rPr>
        <w:t>3</w:t>
      </w:r>
      <w:r w:rsidRPr="0096502F">
        <w:rPr>
          <w:rFonts w:ascii="Times New Roman" w:eastAsia="Times New Roman" w:hAnsi="Times New Roman"/>
          <w:color w:val="FF0000"/>
          <w:lang w:eastAsia="cs-CZ"/>
        </w:rPr>
        <w:t xml:space="preserve"> </w:t>
      </w:r>
      <w:r w:rsidRPr="0096502F">
        <w:rPr>
          <w:rFonts w:ascii="Times New Roman" w:eastAsia="Times New Roman" w:hAnsi="Times New Roman"/>
          <w:lang w:eastAsia="cs-CZ"/>
        </w:rPr>
        <w:t xml:space="preserve">vyhotoveních, z nichž </w:t>
      </w:r>
      <w:r w:rsidRPr="008374EC">
        <w:rPr>
          <w:rFonts w:ascii="Times New Roman" w:eastAsia="Times New Roman" w:hAnsi="Times New Roman"/>
          <w:lang w:eastAsia="cs-CZ"/>
        </w:rPr>
        <w:t>2</w:t>
      </w:r>
      <w:r w:rsidRPr="0096502F">
        <w:rPr>
          <w:rFonts w:ascii="Times New Roman" w:eastAsia="Times New Roman" w:hAnsi="Times New Roman"/>
          <w:color w:val="FF0000"/>
          <w:lang w:eastAsia="cs-CZ"/>
        </w:rPr>
        <w:t xml:space="preserve"> </w:t>
      </w:r>
      <w:r w:rsidRPr="0096502F">
        <w:rPr>
          <w:rFonts w:ascii="Times New Roman" w:eastAsia="Times New Roman" w:hAnsi="Times New Roman"/>
          <w:lang w:eastAsia="cs-CZ"/>
        </w:rPr>
        <w:t xml:space="preserve">obdrží poskytovatel </w:t>
      </w:r>
      <w:r w:rsidRPr="008374EC">
        <w:rPr>
          <w:rFonts w:ascii="Times New Roman" w:eastAsia="Times New Roman" w:hAnsi="Times New Roman"/>
          <w:lang w:eastAsia="cs-CZ"/>
        </w:rPr>
        <w:t>a 1</w:t>
      </w:r>
      <w:r w:rsidRPr="0096502F">
        <w:rPr>
          <w:rFonts w:ascii="Times New Roman" w:eastAsia="Times New Roman" w:hAnsi="Times New Roman"/>
          <w:color w:val="FF0000"/>
          <w:lang w:eastAsia="cs-CZ"/>
        </w:rPr>
        <w:t xml:space="preserve"> </w:t>
      </w:r>
      <w:r w:rsidRPr="0096502F">
        <w:rPr>
          <w:rFonts w:ascii="Times New Roman" w:eastAsia="Times New Roman" w:hAnsi="Times New Roman"/>
          <w:lang w:eastAsia="cs-CZ"/>
        </w:rPr>
        <w:t>příjemce.</w:t>
      </w:r>
    </w:p>
    <w:p w:rsidR="00A75643" w:rsidRDefault="00A75643" w:rsidP="00A75643">
      <w:pPr>
        <w:spacing w:after="0" w:line="240" w:lineRule="auto"/>
        <w:ind w:left="426"/>
        <w:jc w:val="both"/>
        <w:rPr>
          <w:rFonts w:ascii="Times New Roman" w:eastAsia="Times New Roman" w:hAnsi="Times New Roman"/>
          <w:lang w:eastAsia="cs-CZ"/>
        </w:rPr>
      </w:pPr>
    </w:p>
    <w:p w:rsidR="001C6E38" w:rsidRDefault="001C6E38" w:rsidP="001C6E38">
      <w:pPr>
        <w:numPr>
          <w:ilvl w:val="0"/>
          <w:numId w:val="13"/>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Pr="0096502F">
        <w:rPr>
          <w:rFonts w:ascii="Times New Roman" w:eastAsia="Times New Roman" w:hAnsi="Times New Roman"/>
          <w:lang w:eastAsia="cs-CZ"/>
        </w:rPr>
        <w:t>mlouva nabývá platnosti dnem podpisu smluvních stran</w:t>
      </w:r>
      <w:r>
        <w:rPr>
          <w:rFonts w:ascii="Times New Roman" w:eastAsia="Times New Roman" w:hAnsi="Times New Roman"/>
          <w:lang w:eastAsia="cs-CZ"/>
        </w:rPr>
        <w:t>.</w:t>
      </w:r>
    </w:p>
    <w:p w:rsidR="001C6E38" w:rsidRDefault="001C6E38" w:rsidP="00976D32">
      <w:pPr>
        <w:spacing w:after="0" w:line="240" w:lineRule="auto"/>
        <w:jc w:val="both"/>
        <w:rPr>
          <w:rFonts w:ascii="Times New Roman" w:eastAsia="Times New Roman" w:hAnsi="Times New Roman"/>
          <w:lang w:eastAsia="cs-CZ"/>
        </w:rPr>
      </w:pPr>
    </w:p>
    <w:p w:rsidR="00976D32" w:rsidRDefault="00976D32" w:rsidP="00976D32">
      <w:pPr>
        <w:numPr>
          <w:ilvl w:val="0"/>
          <w:numId w:val="15"/>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Pr="0096502F">
        <w:rPr>
          <w:rFonts w:ascii="Times New Roman" w:eastAsia="Times New Roman" w:hAnsi="Times New Roman"/>
          <w:lang w:eastAsia="cs-CZ"/>
        </w:rPr>
        <w:t>mlouva nabývá  účinnosti dnem zveřejnění v registru smluv dle zákona č. 340/2015 Sb., o zvláštních podmínkách účinnosti některých smluv, uveřejňování těchto smluv a o registru smluv (zákon o registru smluv), ve znění pozdějších předpisů</w:t>
      </w:r>
      <w:r>
        <w:rPr>
          <w:rFonts w:ascii="Times New Roman" w:eastAsia="Times New Roman" w:hAnsi="Times New Roman"/>
          <w:lang w:eastAsia="cs-CZ"/>
        </w:rPr>
        <w:t>.</w:t>
      </w:r>
      <w:r w:rsidRPr="0096502F">
        <w:rPr>
          <w:rFonts w:ascii="Times New Roman" w:eastAsia="Times New Roman" w:hAnsi="Times New Roman"/>
          <w:lang w:eastAsia="cs-CZ"/>
        </w:rPr>
        <w:t xml:space="preserve"> Smluvní strany se dohodly, že uveřejnění smlouvy v registru smluv provede poskytovatel. Kontakt na doručení oznámení o vkladu smluvním protistranám je uveden v</w:t>
      </w:r>
      <w:r>
        <w:rPr>
          <w:rFonts w:ascii="Times New Roman" w:eastAsia="Times New Roman" w:hAnsi="Times New Roman"/>
          <w:lang w:eastAsia="cs-CZ"/>
        </w:rPr>
        <w:t> záhlaví smlouvy u</w:t>
      </w:r>
      <w:r w:rsidRPr="0096502F">
        <w:rPr>
          <w:rFonts w:ascii="Times New Roman" w:eastAsia="Times New Roman" w:hAnsi="Times New Roman"/>
          <w:lang w:eastAsia="cs-CZ"/>
        </w:rPr>
        <w:t> </w:t>
      </w:r>
      <w:r>
        <w:rPr>
          <w:rFonts w:ascii="Times New Roman" w:eastAsia="Times New Roman" w:hAnsi="Times New Roman"/>
          <w:lang w:eastAsia="cs-CZ"/>
        </w:rPr>
        <w:t>příjemce</w:t>
      </w:r>
      <w:r w:rsidRPr="0096502F">
        <w:rPr>
          <w:rFonts w:ascii="Times New Roman" w:eastAsia="Times New Roman" w:hAnsi="Times New Roman"/>
          <w:lang w:eastAsia="cs-CZ"/>
        </w:rPr>
        <w:t>.</w:t>
      </w:r>
    </w:p>
    <w:p w:rsidR="00CC354F" w:rsidRDefault="00CC354F" w:rsidP="00CC354F">
      <w:pPr>
        <w:spacing w:after="0" w:line="240" w:lineRule="auto"/>
        <w:ind w:left="426"/>
        <w:jc w:val="both"/>
        <w:rPr>
          <w:rFonts w:ascii="Times New Roman" w:eastAsia="Times New Roman" w:hAnsi="Times New Roman"/>
          <w:lang w:eastAsia="cs-CZ"/>
        </w:rPr>
      </w:pPr>
    </w:p>
    <w:p w:rsidR="00976D32" w:rsidRDefault="00976D32" w:rsidP="00976D32">
      <w:pPr>
        <w:pStyle w:val="Odstavecseseznamem"/>
        <w:numPr>
          <w:ilvl w:val="0"/>
          <w:numId w:val="15"/>
        </w:numPr>
        <w:tabs>
          <w:tab w:val="clear" w:pos="168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CC354F" w:rsidRPr="0096502F" w:rsidRDefault="00CC354F" w:rsidP="00CC354F">
      <w:pPr>
        <w:pStyle w:val="Odstavecseseznamem"/>
        <w:spacing w:after="0" w:line="240" w:lineRule="auto"/>
        <w:ind w:left="426"/>
        <w:jc w:val="both"/>
        <w:rPr>
          <w:rFonts w:ascii="Times New Roman" w:eastAsia="Times New Roman" w:hAnsi="Times New Roman"/>
          <w:lang w:eastAsia="cs-CZ"/>
        </w:rPr>
      </w:pPr>
    </w:p>
    <w:p w:rsidR="00976D32" w:rsidRPr="00976D32" w:rsidRDefault="00976D32" w:rsidP="00976D32">
      <w:pPr>
        <w:pStyle w:val="Odstavecseseznamem"/>
        <w:numPr>
          <w:ilvl w:val="0"/>
          <w:numId w:val="15"/>
        </w:numPr>
        <w:tabs>
          <w:tab w:val="clear" w:pos="1680"/>
          <w:tab w:val="num" w:pos="0"/>
        </w:tabs>
        <w:spacing w:after="0" w:line="240" w:lineRule="auto"/>
        <w:ind w:left="426" w:hanging="426"/>
        <w:jc w:val="both"/>
        <w:rPr>
          <w:rFonts w:ascii="Times New Roman" w:eastAsia="Times New Roman" w:hAnsi="Times New Roman"/>
          <w:lang w:eastAsia="cs-CZ"/>
        </w:rPr>
      </w:pPr>
      <w:r w:rsidRPr="00976D32">
        <w:rPr>
          <w:rFonts w:ascii="Times New Roman" w:eastAsia="Times New Roman" w:hAnsi="Times New Roman"/>
          <w:lang w:eastAsia="cs-CZ"/>
        </w:rPr>
        <w:t xml:space="preserve">O poskytnutí dotace a uzavření veřejnoprávní smlouvy rozhodla v souladu s ustanovením § 59 odst. 2 písm. a) zákona č. 129/2000 Sb., o krajích (krajské zřízení), ve znění pozdějších předpisů, Rada Karlovarského kraje usnesením č. RK </w:t>
      </w:r>
      <w:r w:rsidR="006042A2">
        <w:rPr>
          <w:rFonts w:ascii="Times New Roman" w:eastAsia="Times New Roman" w:hAnsi="Times New Roman"/>
          <w:lang w:eastAsia="cs-CZ"/>
        </w:rPr>
        <w:t xml:space="preserve">390/04/19 </w:t>
      </w:r>
      <w:r w:rsidRPr="00976D32">
        <w:rPr>
          <w:rFonts w:ascii="Times New Roman" w:eastAsia="Times New Roman" w:hAnsi="Times New Roman"/>
          <w:lang w:eastAsia="cs-CZ"/>
        </w:rPr>
        <w:t xml:space="preserve">ze dne </w:t>
      </w:r>
      <w:r w:rsidR="006042A2">
        <w:rPr>
          <w:rFonts w:ascii="Times New Roman" w:eastAsia="Times New Roman" w:hAnsi="Times New Roman"/>
          <w:lang w:eastAsia="cs-CZ"/>
        </w:rPr>
        <w:t>8. 4. 2019</w:t>
      </w:r>
      <w:r w:rsidRPr="00976D32">
        <w:rPr>
          <w:rFonts w:ascii="Times New Roman" w:eastAsia="Times New Roman" w:hAnsi="Times New Roman"/>
          <w:lang w:eastAsia="cs-CZ"/>
        </w:rPr>
        <w:t>.</w:t>
      </w:r>
    </w:p>
    <w:p w:rsidR="00DB6F96" w:rsidRDefault="00DB6F96" w:rsidP="00DB6F96">
      <w:pPr>
        <w:spacing w:after="0" w:line="240" w:lineRule="auto"/>
        <w:jc w:val="both"/>
        <w:rPr>
          <w:rFonts w:ascii="Times New Roman" w:eastAsia="Times New Roman" w:hAnsi="Times New Roman"/>
          <w:lang w:eastAsia="cs-CZ"/>
        </w:rPr>
      </w:pPr>
    </w:p>
    <w:p w:rsidR="004D677F" w:rsidRDefault="004D677F" w:rsidP="00DB6F96">
      <w:pPr>
        <w:spacing w:after="0" w:line="240" w:lineRule="auto"/>
        <w:jc w:val="both"/>
        <w:rPr>
          <w:rFonts w:ascii="Times New Roman" w:eastAsia="Times New Roman" w:hAnsi="Times New Roman"/>
          <w:lang w:eastAsia="cs-CZ"/>
        </w:rPr>
      </w:pPr>
    </w:p>
    <w:p w:rsidR="00A75643" w:rsidRDefault="00A75643" w:rsidP="00976D32">
      <w:pPr>
        <w:spacing w:after="0" w:line="240" w:lineRule="auto"/>
        <w:ind w:left="426"/>
        <w:jc w:val="both"/>
        <w:rPr>
          <w:rFonts w:ascii="Times New Roman" w:eastAsia="Times New Roman" w:hAnsi="Times New Roman"/>
          <w:lang w:eastAsia="cs-CZ"/>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A75643" w:rsidRPr="0096502F" w:rsidTr="001A6E80">
        <w:trPr>
          <w:trHeight w:val="644"/>
        </w:trPr>
        <w:tc>
          <w:tcPr>
            <w:tcW w:w="2265" w:type="dxa"/>
            <w:vAlign w:val="center"/>
          </w:tcPr>
          <w:p w:rsidR="00A75643" w:rsidRPr="0096502F" w:rsidRDefault="00A75643" w:rsidP="001A6E80">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rsidR="00A75643" w:rsidRPr="0096502F" w:rsidRDefault="00A75643" w:rsidP="001A6E80">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Pr="0096502F">
              <w:rPr>
                <w:rFonts w:ascii="Times New Roman" w:eastAsia="Times New Roman" w:hAnsi="Times New Roman"/>
                <w:lang w:eastAsia="cs-CZ"/>
              </w:rPr>
              <w:t>...</w:t>
            </w:r>
            <w:r>
              <w:rPr>
                <w:rFonts w:ascii="Times New Roman" w:eastAsia="Times New Roman" w:hAnsi="Times New Roman"/>
                <w:lang w:eastAsia="cs-CZ"/>
              </w:rPr>
              <w:t>.. ..... ..... .....</w:t>
            </w:r>
          </w:p>
        </w:tc>
        <w:tc>
          <w:tcPr>
            <w:tcW w:w="2265" w:type="dxa"/>
            <w:vAlign w:val="bottom"/>
          </w:tcPr>
          <w:p w:rsidR="006042A2" w:rsidRDefault="006042A2" w:rsidP="001A6E80">
            <w:pPr>
              <w:spacing w:after="0" w:line="240" w:lineRule="auto"/>
              <w:ind w:left="72" w:firstLine="64"/>
              <w:jc w:val="center"/>
              <w:rPr>
                <w:rFonts w:ascii="Times New Roman" w:eastAsia="Times New Roman" w:hAnsi="Times New Roman"/>
                <w:lang w:eastAsia="cs-CZ"/>
              </w:rPr>
            </w:pPr>
          </w:p>
          <w:p w:rsidR="00A75643" w:rsidRDefault="006042A2" w:rsidP="001A6E80">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w:t>
            </w:r>
            <w:r w:rsidR="00A75643">
              <w:rPr>
                <w:rFonts w:ascii="Times New Roman" w:eastAsia="Times New Roman" w:hAnsi="Times New Roman"/>
                <w:lang w:eastAsia="cs-CZ"/>
              </w:rPr>
              <w:t>.... .....</w:t>
            </w:r>
          </w:p>
          <w:p w:rsidR="00A75643" w:rsidRPr="0096502F" w:rsidRDefault="00A75643" w:rsidP="001A6E80">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rsidR="00A75643" w:rsidRPr="0096502F" w:rsidRDefault="00A75643" w:rsidP="001A6E80">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Pr="0096502F">
              <w:rPr>
                <w:rFonts w:ascii="Times New Roman" w:eastAsia="Times New Roman" w:hAnsi="Times New Roman"/>
                <w:lang w:eastAsia="cs-CZ"/>
              </w:rPr>
              <w:t>...</w:t>
            </w:r>
            <w:r>
              <w:rPr>
                <w:rFonts w:ascii="Times New Roman" w:eastAsia="Times New Roman" w:hAnsi="Times New Roman"/>
                <w:lang w:eastAsia="cs-CZ"/>
              </w:rPr>
              <w:t>.. ..... ..... .....</w:t>
            </w:r>
          </w:p>
        </w:tc>
      </w:tr>
    </w:tbl>
    <w:p w:rsidR="00A75643" w:rsidRDefault="00A75643" w:rsidP="00976D32">
      <w:pPr>
        <w:spacing w:after="0" w:line="240" w:lineRule="auto"/>
        <w:ind w:left="426"/>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A75643" w:rsidRPr="0096502F" w:rsidTr="001A6E80">
        <w:trPr>
          <w:trHeight w:val="1536"/>
        </w:trPr>
        <w:tc>
          <w:tcPr>
            <w:tcW w:w="4534" w:type="dxa"/>
            <w:tcBorders>
              <w:bottom w:val="single" w:sz="4" w:space="0" w:color="auto"/>
            </w:tcBorders>
          </w:tcPr>
          <w:p w:rsidR="00A75643" w:rsidRPr="0096502F" w:rsidRDefault="00A75643" w:rsidP="001A6E80">
            <w:pPr>
              <w:spacing w:after="0" w:line="240" w:lineRule="auto"/>
              <w:jc w:val="center"/>
              <w:rPr>
                <w:rFonts w:ascii="Times New Roman" w:eastAsia="Times New Roman" w:hAnsi="Times New Roman"/>
                <w:lang w:eastAsia="cs-CZ"/>
              </w:rPr>
            </w:pPr>
          </w:p>
          <w:p w:rsidR="00A75643" w:rsidRPr="0096502F" w:rsidRDefault="00A75643" w:rsidP="00DB6F96">
            <w:pPr>
              <w:spacing w:after="0" w:line="240" w:lineRule="auto"/>
              <w:rPr>
                <w:rFonts w:ascii="Times New Roman" w:eastAsia="Times New Roman" w:hAnsi="Times New Roman"/>
                <w:lang w:eastAsia="cs-CZ"/>
              </w:rPr>
            </w:pPr>
          </w:p>
          <w:p w:rsidR="00A75643" w:rsidRPr="0096502F" w:rsidRDefault="00A75643" w:rsidP="001A6E80">
            <w:pPr>
              <w:spacing w:after="0" w:line="240" w:lineRule="auto"/>
              <w:jc w:val="center"/>
              <w:rPr>
                <w:rFonts w:ascii="Times New Roman" w:eastAsia="Times New Roman" w:hAnsi="Times New Roman"/>
                <w:lang w:eastAsia="cs-CZ"/>
              </w:rPr>
            </w:pPr>
          </w:p>
          <w:p w:rsidR="00A75643" w:rsidRPr="0096502F" w:rsidRDefault="00A75643" w:rsidP="001A6E80">
            <w:pPr>
              <w:spacing w:after="0" w:line="240" w:lineRule="auto"/>
              <w:jc w:val="center"/>
              <w:rPr>
                <w:rFonts w:ascii="Times New Roman" w:eastAsia="Times New Roman" w:hAnsi="Times New Roman"/>
                <w:lang w:eastAsia="cs-CZ"/>
              </w:rPr>
            </w:pPr>
          </w:p>
          <w:p w:rsidR="00A75643" w:rsidRDefault="00A75643" w:rsidP="00251F39">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rsidR="00A75643" w:rsidRPr="00C52226" w:rsidRDefault="00A75643" w:rsidP="001A6E80">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rsidR="00A75643" w:rsidRPr="0096502F" w:rsidRDefault="00A75643" w:rsidP="001A6E80">
            <w:pPr>
              <w:spacing w:after="0" w:line="240" w:lineRule="auto"/>
              <w:jc w:val="center"/>
              <w:rPr>
                <w:rFonts w:ascii="Times New Roman" w:eastAsia="Times New Roman" w:hAnsi="Times New Roman"/>
                <w:lang w:eastAsia="cs-CZ"/>
              </w:rPr>
            </w:pPr>
          </w:p>
          <w:p w:rsidR="00A75643" w:rsidRPr="0096502F" w:rsidRDefault="00A75643" w:rsidP="001A6E80">
            <w:pPr>
              <w:spacing w:after="0" w:line="240" w:lineRule="auto"/>
              <w:jc w:val="center"/>
              <w:rPr>
                <w:rFonts w:ascii="Times New Roman" w:eastAsia="Times New Roman" w:hAnsi="Times New Roman"/>
                <w:lang w:eastAsia="cs-CZ"/>
              </w:rPr>
            </w:pPr>
          </w:p>
          <w:p w:rsidR="00A75643" w:rsidRPr="0096502F" w:rsidRDefault="00A75643" w:rsidP="001A6E80">
            <w:pPr>
              <w:spacing w:after="0" w:line="240" w:lineRule="auto"/>
              <w:jc w:val="center"/>
              <w:rPr>
                <w:rFonts w:ascii="Times New Roman" w:eastAsia="Times New Roman" w:hAnsi="Times New Roman"/>
                <w:lang w:eastAsia="cs-CZ"/>
              </w:rPr>
            </w:pPr>
          </w:p>
          <w:p w:rsidR="00A75643" w:rsidRPr="0096502F" w:rsidRDefault="00A75643" w:rsidP="001A6E80">
            <w:pPr>
              <w:spacing w:after="0" w:line="240" w:lineRule="auto"/>
              <w:jc w:val="center"/>
              <w:rPr>
                <w:rFonts w:ascii="Times New Roman" w:eastAsia="Times New Roman" w:hAnsi="Times New Roman"/>
                <w:lang w:eastAsia="cs-CZ"/>
              </w:rPr>
            </w:pPr>
          </w:p>
          <w:p w:rsidR="00A75643" w:rsidRPr="0096502F" w:rsidRDefault="00A75643" w:rsidP="001A6E80">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rsidR="00A75643" w:rsidRPr="0096502F" w:rsidRDefault="00251F39" w:rsidP="001A6E80">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 xml:space="preserve"> </w:t>
            </w:r>
            <w:r w:rsidR="00A75643" w:rsidRPr="00C52226">
              <w:rPr>
                <w:rFonts w:ascii="Times New Roman" w:eastAsia="Times New Roman" w:hAnsi="Times New Roman"/>
                <w:lang w:eastAsia="cs-CZ"/>
              </w:rPr>
              <w:t>(příjemce)</w:t>
            </w:r>
          </w:p>
        </w:tc>
      </w:tr>
    </w:tbl>
    <w:p w:rsidR="00251F39" w:rsidRDefault="00251F39" w:rsidP="00640946">
      <w:pPr>
        <w:spacing w:after="0" w:line="240" w:lineRule="auto"/>
        <w:jc w:val="both"/>
        <w:rPr>
          <w:rFonts w:ascii="Times New Roman" w:eastAsia="Times New Roman" w:hAnsi="Times New Roman"/>
          <w:lang w:eastAsia="cs-CZ"/>
        </w:rPr>
      </w:pPr>
    </w:p>
    <w:p w:rsidR="00676E06" w:rsidRDefault="00676E06" w:rsidP="00640946">
      <w:pPr>
        <w:spacing w:after="0" w:line="240" w:lineRule="auto"/>
        <w:jc w:val="both"/>
        <w:rPr>
          <w:rFonts w:ascii="Times New Roman" w:eastAsia="Times New Roman" w:hAnsi="Times New Roman"/>
          <w:lang w:eastAsia="cs-CZ"/>
        </w:rPr>
      </w:pPr>
    </w:p>
    <w:p w:rsidR="004D677F" w:rsidRDefault="004D677F" w:rsidP="00640946">
      <w:pPr>
        <w:spacing w:after="0" w:line="240" w:lineRule="auto"/>
        <w:jc w:val="both"/>
        <w:rPr>
          <w:rFonts w:ascii="Times New Roman" w:eastAsia="Times New Roman" w:hAnsi="Times New Roman"/>
          <w:lang w:eastAsia="cs-CZ"/>
        </w:rPr>
      </w:pPr>
    </w:p>
    <w:p w:rsidR="00251F39" w:rsidRDefault="00A75643" w:rsidP="00A75643">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Přílohy:</w:t>
      </w:r>
      <w:r w:rsidR="00251F39">
        <w:rPr>
          <w:rFonts w:ascii="Times New Roman" w:eastAsia="Times New Roman" w:hAnsi="Times New Roman"/>
          <w:lang w:eastAsia="cs-CZ"/>
        </w:rPr>
        <w:t xml:space="preserve">  </w:t>
      </w:r>
    </w:p>
    <w:p w:rsidR="00251F39" w:rsidRDefault="00251F39" w:rsidP="00A75643">
      <w:pPr>
        <w:spacing w:after="0" w:line="240" w:lineRule="auto"/>
        <w:rPr>
          <w:rFonts w:ascii="Times New Roman" w:eastAsia="Times New Roman" w:hAnsi="Times New Roman"/>
          <w:lang w:eastAsia="cs-CZ"/>
        </w:rPr>
      </w:pPr>
      <w:r>
        <w:rPr>
          <w:rFonts w:ascii="Times New Roman" w:eastAsia="Times New Roman" w:hAnsi="Times New Roman"/>
          <w:lang w:eastAsia="cs-CZ"/>
        </w:rPr>
        <w:t>č. 1 – Žádost o poskytnutí individuální dotace z rozpočtu Karlovarského kraje</w:t>
      </w:r>
    </w:p>
    <w:p w:rsidR="00A75643" w:rsidRPr="0096502F" w:rsidRDefault="00251F39" w:rsidP="00640946">
      <w:pPr>
        <w:spacing w:after="0" w:line="240" w:lineRule="auto"/>
        <w:rPr>
          <w:rFonts w:ascii="Times New Roman" w:eastAsia="Times New Roman" w:hAnsi="Times New Roman"/>
          <w:lang w:eastAsia="cs-CZ"/>
        </w:rPr>
      </w:pPr>
      <w:r>
        <w:rPr>
          <w:rFonts w:ascii="Times New Roman" w:eastAsia="Times New Roman" w:hAnsi="Times New Roman"/>
          <w:lang w:eastAsia="cs-CZ"/>
        </w:rPr>
        <w:t>č. 2 – Položkový rozpočet</w:t>
      </w:r>
      <w:r w:rsidR="006042A2">
        <w:rPr>
          <w:rFonts w:ascii="Times New Roman" w:eastAsia="Times New Roman" w:hAnsi="Times New Roman"/>
          <w:lang w:eastAsia="cs-CZ"/>
        </w:rPr>
        <w:t xml:space="preserve"> </w:t>
      </w:r>
    </w:p>
    <w:p w:rsidR="00640946" w:rsidRDefault="00640946" w:rsidP="00640946">
      <w:pPr>
        <w:spacing w:after="0" w:line="240" w:lineRule="auto"/>
        <w:rPr>
          <w:rFonts w:ascii="Times New Roman" w:eastAsia="Times New Roman" w:hAnsi="Times New Roman"/>
          <w:lang w:eastAsia="cs-CZ"/>
        </w:rPr>
      </w:pPr>
    </w:p>
    <w:p w:rsidR="00A51A64" w:rsidRPr="00A51A64" w:rsidRDefault="00A51A64" w:rsidP="002D2EF0">
      <w:pPr>
        <w:rPr>
          <w:b/>
        </w:rPr>
      </w:pPr>
      <w:bookmarkStart w:id="0" w:name="_GoBack"/>
      <w:bookmarkEnd w:id="0"/>
    </w:p>
    <w:sectPr w:rsidR="00A51A64" w:rsidRPr="00A51A64" w:rsidSect="00676E06">
      <w:footerReference w:type="default" r:id="rId13"/>
      <w:pgSz w:w="11906" w:h="16838"/>
      <w:pgMar w:top="1440" w:right="1080" w:bottom="1440" w:left="108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F9" w:rsidRDefault="00165EF9" w:rsidP="004D7863">
      <w:pPr>
        <w:spacing w:after="0" w:line="240" w:lineRule="auto"/>
      </w:pPr>
      <w:r>
        <w:separator/>
      </w:r>
    </w:p>
  </w:endnote>
  <w:endnote w:type="continuationSeparator" w:id="0">
    <w:p w:rsidR="00165EF9" w:rsidRDefault="00165EF9" w:rsidP="004D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46" w:rsidRPr="004D677F" w:rsidRDefault="00640946">
    <w:pPr>
      <w:pStyle w:val="Zpat"/>
      <w:jc w:val="center"/>
    </w:pPr>
    <w:r w:rsidRPr="004D677F">
      <w:t xml:space="preserve">Stránka </w:t>
    </w:r>
    <w:r w:rsidRPr="004D677F">
      <w:fldChar w:fldCharType="begin"/>
    </w:r>
    <w:r w:rsidRPr="004D677F">
      <w:instrText>PAGE  \* Arabic  \* MERGEFORMAT</w:instrText>
    </w:r>
    <w:r w:rsidRPr="004D677F">
      <w:fldChar w:fldCharType="separate"/>
    </w:r>
    <w:r w:rsidR="001B7A74">
      <w:rPr>
        <w:noProof/>
      </w:rPr>
      <w:t>6</w:t>
    </w:r>
    <w:r w:rsidRPr="004D677F">
      <w:fldChar w:fldCharType="end"/>
    </w:r>
    <w:r w:rsidRPr="004D677F">
      <w:t xml:space="preserve"> z </w:t>
    </w:r>
    <w:fldSimple w:instr="NUMPAGES  \* Arabic  \* MERGEFORMAT">
      <w:r w:rsidR="001B7A74">
        <w:rPr>
          <w:noProof/>
        </w:rPr>
        <w:t>6</w:t>
      </w:r>
    </w:fldSimple>
  </w:p>
  <w:p w:rsidR="00640946" w:rsidRDefault="006409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F9" w:rsidRDefault="00165EF9" w:rsidP="004D7863">
      <w:pPr>
        <w:spacing w:after="0" w:line="240" w:lineRule="auto"/>
      </w:pPr>
      <w:r>
        <w:separator/>
      </w:r>
    </w:p>
  </w:footnote>
  <w:footnote w:type="continuationSeparator" w:id="0">
    <w:p w:rsidR="00165EF9" w:rsidRDefault="00165EF9" w:rsidP="004D7863">
      <w:pPr>
        <w:spacing w:after="0" w:line="240" w:lineRule="auto"/>
      </w:pPr>
      <w:r>
        <w:continuationSeparator/>
      </w:r>
    </w:p>
  </w:footnote>
  <w:footnote w:id="1">
    <w:p w:rsidR="004D7863" w:rsidRPr="0096502F" w:rsidRDefault="004D7863" w:rsidP="004D7863">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6F536E"/>
    <w:multiLevelType w:val="hybridMultilevel"/>
    <w:tmpl w:val="EC5C0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8"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6E23DB7"/>
    <w:multiLevelType w:val="hybridMultilevel"/>
    <w:tmpl w:val="D060994E"/>
    <w:lvl w:ilvl="0" w:tplc="6D304D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16"/>
  </w:num>
  <w:num w:numId="3">
    <w:abstractNumId w:val="13"/>
  </w:num>
  <w:num w:numId="4">
    <w:abstractNumId w:val="14"/>
  </w:num>
  <w:num w:numId="5">
    <w:abstractNumId w:val="2"/>
  </w:num>
  <w:num w:numId="6">
    <w:abstractNumId w:val="5"/>
  </w:num>
  <w:num w:numId="7">
    <w:abstractNumId w:val="4"/>
  </w:num>
  <w:num w:numId="8">
    <w:abstractNumId w:val="15"/>
  </w:num>
  <w:num w:numId="9">
    <w:abstractNumId w:val="1"/>
  </w:num>
  <w:num w:numId="10">
    <w:abstractNumId w:val="9"/>
  </w:num>
  <w:num w:numId="11">
    <w:abstractNumId w:val="8"/>
  </w:num>
  <w:num w:numId="12">
    <w:abstractNumId w:val="6"/>
  </w:num>
  <w:num w:numId="13">
    <w:abstractNumId w:val="7"/>
  </w:num>
  <w:num w:numId="14">
    <w:abstractNumId w:val="10"/>
  </w:num>
  <w:num w:numId="15">
    <w:abstractNumId w:val="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F0"/>
    <w:rsid w:val="00165EF9"/>
    <w:rsid w:val="001834C4"/>
    <w:rsid w:val="001B7A74"/>
    <w:rsid w:val="001C6E38"/>
    <w:rsid w:val="00213F09"/>
    <w:rsid w:val="00251F39"/>
    <w:rsid w:val="00296417"/>
    <w:rsid w:val="002A24F7"/>
    <w:rsid w:val="002D2EF0"/>
    <w:rsid w:val="002F4BEE"/>
    <w:rsid w:val="00385BE5"/>
    <w:rsid w:val="00404DE0"/>
    <w:rsid w:val="004A46D0"/>
    <w:rsid w:val="004D677F"/>
    <w:rsid w:val="004D7863"/>
    <w:rsid w:val="006042A2"/>
    <w:rsid w:val="006075A5"/>
    <w:rsid w:val="00640946"/>
    <w:rsid w:val="00641EEF"/>
    <w:rsid w:val="00676E06"/>
    <w:rsid w:val="006B0D39"/>
    <w:rsid w:val="00760C01"/>
    <w:rsid w:val="0083658D"/>
    <w:rsid w:val="008374EC"/>
    <w:rsid w:val="00875FC8"/>
    <w:rsid w:val="00922A30"/>
    <w:rsid w:val="00927A64"/>
    <w:rsid w:val="00971A46"/>
    <w:rsid w:val="00976D32"/>
    <w:rsid w:val="00980F60"/>
    <w:rsid w:val="00982C49"/>
    <w:rsid w:val="009B7B68"/>
    <w:rsid w:val="009F0130"/>
    <w:rsid w:val="00A33A12"/>
    <w:rsid w:val="00A370FE"/>
    <w:rsid w:val="00A44FFE"/>
    <w:rsid w:val="00A51A64"/>
    <w:rsid w:val="00A75643"/>
    <w:rsid w:val="00B54D23"/>
    <w:rsid w:val="00B74E7A"/>
    <w:rsid w:val="00B85F02"/>
    <w:rsid w:val="00BE799B"/>
    <w:rsid w:val="00C335A3"/>
    <w:rsid w:val="00C53018"/>
    <w:rsid w:val="00C64327"/>
    <w:rsid w:val="00CB076B"/>
    <w:rsid w:val="00CC354F"/>
    <w:rsid w:val="00DB6F96"/>
    <w:rsid w:val="00EC2722"/>
    <w:rsid w:val="00EC7684"/>
    <w:rsid w:val="00F11B48"/>
    <w:rsid w:val="00FB5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5F0D"/>
  <w15:chartTrackingRefBased/>
  <w15:docId w15:val="{84783665-1214-4EEC-8A18-F5025D29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EF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link w:val="NormlnwebChar"/>
    <w:uiPriority w:val="99"/>
    <w:rsid w:val="00213F09"/>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213F09"/>
    <w:rPr>
      <w:rFonts w:ascii="Times New Roman" w:eastAsia="Times New Roman" w:hAnsi="Times New Roman" w:cs="Times New Roman"/>
      <w:sz w:val="24"/>
      <w:szCs w:val="24"/>
      <w:lang w:eastAsia="cs-CZ"/>
    </w:rPr>
  </w:style>
  <w:style w:type="character" w:styleId="Hypertextovodkaz">
    <w:name w:val="Hyperlink"/>
    <w:uiPriority w:val="99"/>
    <w:rsid w:val="00A51A64"/>
    <w:rPr>
      <w:color w:val="0000FF"/>
      <w:u w:val="single"/>
    </w:rPr>
  </w:style>
  <w:style w:type="paragraph" w:styleId="Odstavecseseznamem">
    <w:name w:val="List Paragraph"/>
    <w:basedOn w:val="Normln"/>
    <w:uiPriority w:val="34"/>
    <w:qFormat/>
    <w:rsid w:val="00A51A64"/>
    <w:pPr>
      <w:ind w:left="720"/>
      <w:contextualSpacing/>
    </w:pPr>
  </w:style>
  <w:style w:type="paragraph" w:styleId="Textbubliny">
    <w:name w:val="Balloon Text"/>
    <w:basedOn w:val="Normln"/>
    <w:link w:val="TextbublinyChar"/>
    <w:uiPriority w:val="99"/>
    <w:semiHidden/>
    <w:unhideWhenUsed/>
    <w:rsid w:val="00CC35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54F"/>
    <w:rPr>
      <w:rFonts w:ascii="Segoe UI" w:eastAsia="Calibri" w:hAnsi="Segoe UI" w:cs="Segoe UI"/>
      <w:sz w:val="18"/>
      <w:szCs w:val="18"/>
    </w:rPr>
  </w:style>
  <w:style w:type="paragraph" w:styleId="Textpoznpodarou">
    <w:name w:val="footnote text"/>
    <w:basedOn w:val="Normln"/>
    <w:link w:val="TextpoznpodarouChar"/>
    <w:uiPriority w:val="99"/>
    <w:semiHidden/>
    <w:unhideWhenUsed/>
    <w:rsid w:val="004D786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786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4D7863"/>
    <w:rPr>
      <w:vertAlign w:val="superscript"/>
    </w:rPr>
  </w:style>
  <w:style w:type="paragraph" w:styleId="Zhlav">
    <w:name w:val="header"/>
    <w:basedOn w:val="Normln"/>
    <w:link w:val="ZhlavChar"/>
    <w:uiPriority w:val="99"/>
    <w:unhideWhenUsed/>
    <w:rsid w:val="006409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0946"/>
    <w:rPr>
      <w:rFonts w:ascii="Calibri" w:eastAsia="Calibri" w:hAnsi="Calibri" w:cs="Times New Roman"/>
    </w:rPr>
  </w:style>
  <w:style w:type="paragraph" w:styleId="Zpat">
    <w:name w:val="footer"/>
    <w:basedOn w:val="Normln"/>
    <w:link w:val="ZpatChar"/>
    <w:uiPriority w:val="99"/>
    <w:unhideWhenUsed/>
    <w:rsid w:val="00640946"/>
    <w:pPr>
      <w:tabs>
        <w:tab w:val="center" w:pos="4536"/>
        <w:tab w:val="right" w:pos="9072"/>
      </w:tabs>
      <w:spacing w:after="0" w:line="240" w:lineRule="auto"/>
    </w:pPr>
  </w:style>
  <w:style w:type="character" w:customStyle="1" w:styleId="ZpatChar">
    <w:name w:val="Zápatí Char"/>
    <w:basedOn w:val="Standardnpsmoodstavce"/>
    <w:link w:val="Zpat"/>
    <w:uiPriority w:val="99"/>
    <w:rsid w:val="006409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2594</Words>
  <Characters>15309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KUKK</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Tymrová Gabriela</dc:creator>
  <cp:keywords/>
  <dc:description/>
  <cp:lastModifiedBy>Tymrová Gabriela</cp:lastModifiedBy>
  <cp:revision>5</cp:revision>
  <cp:lastPrinted>2019-05-20T08:23:00Z</cp:lastPrinted>
  <dcterms:created xsi:type="dcterms:W3CDTF">2019-06-06T05:36:00Z</dcterms:created>
  <dcterms:modified xsi:type="dcterms:W3CDTF">2019-06-07T07:21:00Z</dcterms:modified>
</cp:coreProperties>
</file>