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B6" w:rsidRPr="0097084E" w:rsidRDefault="00BE04B6" w:rsidP="00BE04B6">
      <w:pPr>
        <w:jc w:val="center"/>
        <w:rPr>
          <w:b/>
          <w:bCs/>
          <w:color w:val="000000" w:themeColor="text1"/>
          <w:sz w:val="32"/>
          <w:szCs w:val="32"/>
        </w:rPr>
      </w:pPr>
      <w:bookmarkStart w:id="0" w:name="_GoBack"/>
      <w:bookmarkEnd w:id="0"/>
      <w:r w:rsidRPr="0097084E">
        <w:rPr>
          <w:b/>
          <w:bCs/>
          <w:color w:val="000000" w:themeColor="text1"/>
          <w:sz w:val="32"/>
          <w:szCs w:val="32"/>
        </w:rPr>
        <w:t>KUPNÍ SMLOUVA</w:t>
      </w:r>
    </w:p>
    <w:p w:rsidR="00BE04B6" w:rsidRPr="0097084E" w:rsidRDefault="00BE04B6" w:rsidP="00BE04B6">
      <w:pPr>
        <w:jc w:val="center"/>
        <w:rPr>
          <w:b/>
          <w:bCs/>
          <w:color w:val="000000" w:themeColor="text1"/>
          <w:sz w:val="22"/>
          <w:szCs w:val="22"/>
        </w:rPr>
      </w:pPr>
      <w:r w:rsidRPr="0097084E">
        <w:rPr>
          <w:b/>
          <w:bCs/>
          <w:color w:val="000000" w:themeColor="text1"/>
          <w:sz w:val="22"/>
          <w:szCs w:val="22"/>
        </w:rPr>
        <w:t>(KS………</w:t>
      </w:r>
      <w:proofErr w:type="gramStart"/>
      <w:r w:rsidRPr="0097084E">
        <w:rPr>
          <w:b/>
          <w:bCs/>
          <w:color w:val="000000" w:themeColor="text1"/>
          <w:sz w:val="22"/>
          <w:szCs w:val="22"/>
        </w:rPr>
        <w:t>…….</w:t>
      </w:r>
      <w:proofErr w:type="gramEnd"/>
      <w:r w:rsidRPr="0097084E">
        <w:rPr>
          <w:b/>
          <w:bCs/>
          <w:color w:val="000000" w:themeColor="text1"/>
          <w:sz w:val="22"/>
          <w:szCs w:val="22"/>
        </w:rPr>
        <w:t>.)</w:t>
      </w:r>
    </w:p>
    <w:p w:rsidR="00BE04B6" w:rsidRPr="0097084E" w:rsidRDefault="00BE04B6" w:rsidP="00BE04B6">
      <w:pPr>
        <w:rPr>
          <w:b/>
          <w:bCs/>
          <w:color w:val="000000" w:themeColor="text1"/>
          <w:sz w:val="22"/>
          <w:szCs w:val="22"/>
        </w:rPr>
      </w:pPr>
    </w:p>
    <w:p w:rsidR="00BE04B6" w:rsidRPr="0097084E" w:rsidRDefault="00BE04B6" w:rsidP="00BE04B6">
      <w:pPr>
        <w:jc w:val="center"/>
        <w:rPr>
          <w:b/>
          <w:bCs/>
          <w:color w:val="000000" w:themeColor="text1"/>
        </w:rPr>
      </w:pPr>
      <w:r w:rsidRPr="0097084E">
        <w:rPr>
          <w:b/>
          <w:bCs/>
          <w:color w:val="000000" w:themeColor="text1"/>
        </w:rPr>
        <w:t>Čl. I. Smluvní strany</w:t>
      </w:r>
    </w:p>
    <w:p w:rsidR="00BE04B6" w:rsidRPr="0097084E" w:rsidRDefault="00BE04B6" w:rsidP="00BE04B6">
      <w:pPr>
        <w:rPr>
          <w:b/>
          <w:bCs/>
          <w:color w:val="000000" w:themeColor="text1"/>
        </w:rPr>
      </w:pPr>
    </w:p>
    <w:p w:rsidR="00BE04B6" w:rsidRPr="0097084E" w:rsidRDefault="00BE04B6" w:rsidP="00BE04B6">
      <w:pPr>
        <w:rPr>
          <w:i/>
          <w:iCs/>
          <w:color w:val="000000" w:themeColor="text1"/>
        </w:rPr>
      </w:pPr>
      <w:r w:rsidRPr="0097084E">
        <w:rPr>
          <w:i/>
          <w:iCs/>
          <w:color w:val="000000" w:themeColor="text1"/>
        </w:rPr>
        <w:t>Prodávající:</w:t>
      </w:r>
    </w:p>
    <w:p w:rsidR="00BE04B6" w:rsidRPr="0097084E" w:rsidRDefault="00BE04B6" w:rsidP="00BE04B6">
      <w:pPr>
        <w:rPr>
          <w:b/>
          <w:bCs/>
          <w:color w:val="000000" w:themeColor="text1"/>
        </w:rPr>
      </w:pPr>
      <w:r w:rsidRPr="0097084E">
        <w:rPr>
          <w:b/>
          <w:bCs/>
          <w:color w:val="000000" w:themeColor="text1"/>
        </w:rPr>
        <w:t xml:space="preserve">PROMA REHA, s.r.o. </w:t>
      </w:r>
    </w:p>
    <w:p w:rsidR="00BE04B6" w:rsidRPr="0097084E" w:rsidRDefault="00BE04B6" w:rsidP="00BE04B6">
      <w:pPr>
        <w:rPr>
          <w:color w:val="000000" w:themeColor="text1"/>
        </w:rPr>
      </w:pPr>
      <w:r w:rsidRPr="0097084E">
        <w:rPr>
          <w:color w:val="000000" w:themeColor="text1"/>
        </w:rPr>
        <w:t>se sídlem:</w:t>
      </w:r>
      <w:r w:rsidRPr="0097084E">
        <w:rPr>
          <w:color w:val="000000" w:themeColor="text1"/>
        </w:rPr>
        <w:tab/>
      </w:r>
      <w:r w:rsidRPr="0097084E">
        <w:rPr>
          <w:color w:val="000000" w:themeColor="text1"/>
        </w:rPr>
        <w:tab/>
        <w:t>Riegrova 342, Česká Skalice, PSČ: 552 03</w:t>
      </w:r>
    </w:p>
    <w:p w:rsidR="00BE04B6" w:rsidRPr="0097084E" w:rsidRDefault="00BE04B6" w:rsidP="00BE04B6">
      <w:pPr>
        <w:ind w:left="2160" w:hanging="2160"/>
        <w:rPr>
          <w:color w:val="000000" w:themeColor="text1"/>
        </w:rPr>
      </w:pPr>
      <w:r w:rsidRPr="0097084E">
        <w:rPr>
          <w:color w:val="000000" w:themeColor="text1"/>
        </w:rPr>
        <w:t>Zapsán:</w:t>
      </w:r>
      <w:r w:rsidRPr="0097084E">
        <w:rPr>
          <w:iCs/>
          <w:color w:val="000000" w:themeColor="text1"/>
        </w:rPr>
        <w:tab/>
      </w:r>
      <w:r w:rsidRPr="0097084E">
        <w:rPr>
          <w:color w:val="000000" w:themeColor="text1"/>
        </w:rPr>
        <w:t>v obchodním rejstříku vedeném u Krajského soudu v Hradci Králové, oddíl C, vložka 7945</w:t>
      </w:r>
    </w:p>
    <w:p w:rsidR="00BE04B6" w:rsidRPr="0097084E" w:rsidRDefault="00BE04B6" w:rsidP="00BE04B6">
      <w:pPr>
        <w:pStyle w:val="Nadpis1"/>
        <w:rPr>
          <w:i w:val="0"/>
          <w:iCs w:val="0"/>
          <w:color w:val="000000" w:themeColor="text1"/>
        </w:rPr>
      </w:pPr>
      <w:r w:rsidRPr="0097084E">
        <w:rPr>
          <w:i w:val="0"/>
          <w:iCs w:val="0"/>
          <w:color w:val="000000" w:themeColor="text1"/>
        </w:rPr>
        <w:t xml:space="preserve">IČ: </w:t>
      </w:r>
      <w:r w:rsidRPr="0097084E">
        <w:rPr>
          <w:i w:val="0"/>
          <w:iCs w:val="0"/>
          <w:color w:val="000000" w:themeColor="text1"/>
        </w:rPr>
        <w:tab/>
      </w:r>
      <w:r w:rsidRPr="0097084E">
        <w:rPr>
          <w:i w:val="0"/>
          <w:iCs w:val="0"/>
          <w:color w:val="000000" w:themeColor="text1"/>
        </w:rPr>
        <w:tab/>
      </w:r>
      <w:r w:rsidRPr="0097084E">
        <w:rPr>
          <w:i w:val="0"/>
          <w:iCs w:val="0"/>
          <w:color w:val="000000" w:themeColor="text1"/>
        </w:rPr>
        <w:tab/>
        <w:t xml:space="preserve">63219107 </w:t>
      </w:r>
    </w:p>
    <w:p w:rsidR="00BE04B6" w:rsidRPr="0097084E" w:rsidRDefault="00BE04B6" w:rsidP="00BE04B6">
      <w:pPr>
        <w:pStyle w:val="Nadpis1"/>
        <w:rPr>
          <w:i w:val="0"/>
          <w:iCs w:val="0"/>
          <w:color w:val="000000" w:themeColor="text1"/>
        </w:rPr>
      </w:pPr>
      <w:r w:rsidRPr="0097084E">
        <w:rPr>
          <w:i w:val="0"/>
          <w:iCs w:val="0"/>
          <w:color w:val="000000" w:themeColor="text1"/>
        </w:rPr>
        <w:t>DIČ:</w:t>
      </w:r>
      <w:r w:rsidRPr="0097084E">
        <w:rPr>
          <w:i w:val="0"/>
          <w:iCs w:val="0"/>
          <w:color w:val="000000" w:themeColor="text1"/>
        </w:rPr>
        <w:tab/>
      </w:r>
      <w:r w:rsidRPr="0097084E">
        <w:rPr>
          <w:i w:val="0"/>
          <w:iCs w:val="0"/>
          <w:color w:val="000000" w:themeColor="text1"/>
        </w:rPr>
        <w:tab/>
      </w:r>
      <w:r w:rsidRPr="0097084E">
        <w:rPr>
          <w:i w:val="0"/>
          <w:iCs w:val="0"/>
          <w:color w:val="000000" w:themeColor="text1"/>
        </w:rPr>
        <w:tab/>
        <w:t xml:space="preserve">CZ63219107 </w:t>
      </w:r>
    </w:p>
    <w:p w:rsidR="00BE04B6" w:rsidRPr="0097084E" w:rsidRDefault="00BE04B6" w:rsidP="00BE04B6">
      <w:pPr>
        <w:pStyle w:val="Nadpis1"/>
        <w:ind w:left="2160" w:hanging="2160"/>
        <w:rPr>
          <w:i w:val="0"/>
          <w:iCs w:val="0"/>
          <w:color w:val="000000" w:themeColor="text1"/>
          <w:highlight w:val="yellow"/>
        </w:rPr>
      </w:pPr>
      <w:r w:rsidRPr="0097084E">
        <w:rPr>
          <w:i w:val="0"/>
          <w:iCs w:val="0"/>
          <w:color w:val="000000" w:themeColor="text1"/>
        </w:rPr>
        <w:t>Bankovní spojení:</w:t>
      </w:r>
      <w:r w:rsidRPr="0097084E">
        <w:rPr>
          <w:i w:val="0"/>
          <w:iCs w:val="0"/>
          <w:color w:val="000000" w:themeColor="text1"/>
        </w:rPr>
        <w:tab/>
        <w:t xml:space="preserve">Raiffeisenbank a.s., č. účtu 5200015373/5500 </w:t>
      </w:r>
    </w:p>
    <w:p w:rsidR="00BE04B6" w:rsidRPr="0097084E" w:rsidRDefault="00BE04B6" w:rsidP="00BE04B6">
      <w:pPr>
        <w:ind w:left="2160" w:hanging="2160"/>
        <w:rPr>
          <w:color w:val="000000" w:themeColor="text1"/>
        </w:rPr>
      </w:pPr>
      <w:r w:rsidRPr="0097084E">
        <w:rPr>
          <w:color w:val="000000" w:themeColor="text1"/>
        </w:rPr>
        <w:t>Zastoupený:</w:t>
      </w:r>
      <w:r w:rsidRPr="0097084E">
        <w:rPr>
          <w:color w:val="000000" w:themeColor="text1"/>
        </w:rPr>
        <w:tab/>
        <w:t xml:space="preserve">Petr Buchar, vedoucí obchodu pro ČR, na základě plné moci ze dne </w:t>
      </w:r>
      <w:r w:rsidRPr="0097084E">
        <w:rPr>
          <w:color w:val="000000" w:themeColor="text1"/>
        </w:rPr>
        <w:br/>
        <w:t>9. března 2017</w:t>
      </w:r>
    </w:p>
    <w:p w:rsidR="00BE04B6" w:rsidRPr="0097084E" w:rsidRDefault="00BE04B6" w:rsidP="00BE04B6">
      <w:pPr>
        <w:rPr>
          <w:iCs/>
          <w:color w:val="000000" w:themeColor="text1"/>
          <w:highlight w:val="green"/>
        </w:rPr>
      </w:pPr>
    </w:p>
    <w:p w:rsidR="00BE04B6" w:rsidRPr="0097084E" w:rsidRDefault="00BE04B6" w:rsidP="00BE04B6">
      <w:pPr>
        <w:rPr>
          <w:color w:val="000000" w:themeColor="text1"/>
        </w:rPr>
      </w:pPr>
    </w:p>
    <w:p w:rsidR="00BE04B6" w:rsidRPr="0097084E" w:rsidRDefault="00BE04B6" w:rsidP="00BE04B6">
      <w:pPr>
        <w:jc w:val="center"/>
        <w:rPr>
          <w:i/>
          <w:iCs/>
          <w:color w:val="000000" w:themeColor="text1"/>
        </w:rPr>
      </w:pPr>
      <w:r w:rsidRPr="0097084E">
        <w:rPr>
          <w:i/>
          <w:iCs/>
          <w:color w:val="000000" w:themeColor="text1"/>
        </w:rPr>
        <w:t>na straně jedné</w:t>
      </w:r>
    </w:p>
    <w:p w:rsidR="00BE04B6" w:rsidRPr="0097084E" w:rsidRDefault="00BE04B6" w:rsidP="00BE04B6">
      <w:pPr>
        <w:jc w:val="center"/>
        <w:rPr>
          <w:i/>
          <w:iCs/>
          <w:color w:val="000000" w:themeColor="text1"/>
        </w:rPr>
      </w:pPr>
      <w:r w:rsidRPr="0097084E">
        <w:rPr>
          <w:i/>
          <w:iCs/>
          <w:color w:val="000000" w:themeColor="text1"/>
        </w:rPr>
        <w:t>a</w:t>
      </w:r>
    </w:p>
    <w:p w:rsidR="00BE04B6" w:rsidRPr="0097084E" w:rsidRDefault="00BE04B6" w:rsidP="00BE04B6">
      <w:pPr>
        <w:rPr>
          <w:i/>
          <w:iCs/>
          <w:color w:val="000000" w:themeColor="text1"/>
        </w:rPr>
      </w:pPr>
    </w:p>
    <w:p w:rsidR="00BE04B6" w:rsidRPr="0097084E" w:rsidRDefault="00BE04B6" w:rsidP="00BE04B6">
      <w:pPr>
        <w:rPr>
          <w:i/>
          <w:iCs/>
          <w:color w:val="000000" w:themeColor="text1"/>
        </w:rPr>
      </w:pPr>
      <w:r w:rsidRPr="0097084E">
        <w:rPr>
          <w:i/>
          <w:iCs/>
          <w:color w:val="000000" w:themeColor="text1"/>
        </w:rPr>
        <w:t xml:space="preserve">Kupující: </w:t>
      </w:r>
    </w:p>
    <w:p w:rsidR="00BE04B6" w:rsidRPr="0097084E" w:rsidRDefault="00BE04B6" w:rsidP="00BE04B6">
      <w:pPr>
        <w:rPr>
          <w:b/>
          <w:bCs/>
          <w:color w:val="000000" w:themeColor="text1"/>
        </w:rPr>
      </w:pPr>
      <w:r w:rsidRPr="0097084E">
        <w:rPr>
          <w:b/>
          <w:bCs/>
          <w:color w:val="000000" w:themeColor="text1"/>
        </w:rPr>
        <w:t xml:space="preserve">Domov pro osoby se zdravotním postižením Horní Bříza, příspěvková organizace </w:t>
      </w:r>
    </w:p>
    <w:p w:rsidR="00BE04B6" w:rsidRPr="0097084E" w:rsidRDefault="00BE04B6" w:rsidP="00BE04B6">
      <w:pPr>
        <w:rPr>
          <w:color w:val="000000" w:themeColor="text1"/>
        </w:rPr>
      </w:pPr>
      <w:r w:rsidRPr="0097084E">
        <w:rPr>
          <w:color w:val="000000" w:themeColor="text1"/>
        </w:rPr>
        <w:t xml:space="preserve">se sídlem: </w:t>
      </w:r>
      <w:r w:rsidRPr="0097084E">
        <w:rPr>
          <w:color w:val="000000" w:themeColor="text1"/>
        </w:rPr>
        <w:tab/>
      </w:r>
      <w:r w:rsidRPr="0097084E">
        <w:rPr>
          <w:color w:val="000000" w:themeColor="text1"/>
        </w:rPr>
        <w:tab/>
        <w:t xml:space="preserve">U Vrbky 486, 330 12 Horní Bříza  </w:t>
      </w:r>
      <w:r w:rsidRPr="0097084E">
        <w:rPr>
          <w:color w:val="000000" w:themeColor="text1"/>
        </w:rPr>
        <w:tab/>
      </w:r>
      <w:r w:rsidRPr="0097084E">
        <w:rPr>
          <w:color w:val="000000" w:themeColor="text1"/>
        </w:rPr>
        <w:tab/>
      </w:r>
      <w:r w:rsidRPr="0097084E">
        <w:rPr>
          <w:color w:val="000000" w:themeColor="text1"/>
        </w:rPr>
        <w:tab/>
      </w:r>
    </w:p>
    <w:p w:rsidR="00BE04B6" w:rsidRPr="0097084E" w:rsidRDefault="00BE04B6" w:rsidP="00BE04B6">
      <w:pPr>
        <w:ind w:left="2124" w:hanging="2124"/>
        <w:rPr>
          <w:color w:val="000000" w:themeColor="text1"/>
        </w:rPr>
      </w:pPr>
      <w:r w:rsidRPr="0097084E">
        <w:rPr>
          <w:color w:val="000000" w:themeColor="text1"/>
        </w:rPr>
        <w:t>Zapsán:</w:t>
      </w:r>
      <w:r w:rsidRPr="0097084E">
        <w:rPr>
          <w:color w:val="000000" w:themeColor="text1"/>
        </w:rPr>
        <w:tab/>
        <w:t xml:space="preserve">v Obchodním rejstříku vedeném u Krajského soudu v Plzni, oddíl </w:t>
      </w:r>
      <w:proofErr w:type="spellStart"/>
      <w:r w:rsidRPr="0097084E">
        <w:rPr>
          <w:color w:val="000000" w:themeColor="text1"/>
        </w:rPr>
        <w:t>pr</w:t>
      </w:r>
      <w:proofErr w:type="spellEnd"/>
      <w:r w:rsidRPr="0097084E">
        <w:rPr>
          <w:color w:val="000000" w:themeColor="text1"/>
        </w:rPr>
        <w:t>., vložka 653</w:t>
      </w:r>
      <w:r w:rsidRPr="0097084E">
        <w:rPr>
          <w:color w:val="000000" w:themeColor="text1"/>
        </w:rPr>
        <w:tab/>
      </w:r>
      <w:r w:rsidRPr="0097084E">
        <w:rPr>
          <w:iCs/>
          <w:color w:val="000000" w:themeColor="text1"/>
        </w:rPr>
        <w:tab/>
      </w:r>
    </w:p>
    <w:p w:rsidR="00BE04B6" w:rsidRPr="0097084E" w:rsidRDefault="00BE04B6" w:rsidP="00BE04B6">
      <w:pPr>
        <w:pStyle w:val="Nadpis1"/>
        <w:rPr>
          <w:i w:val="0"/>
          <w:iCs w:val="0"/>
          <w:color w:val="000000" w:themeColor="text1"/>
        </w:rPr>
      </w:pPr>
      <w:r w:rsidRPr="0097084E">
        <w:rPr>
          <w:i w:val="0"/>
          <w:iCs w:val="0"/>
          <w:color w:val="000000" w:themeColor="text1"/>
        </w:rPr>
        <w:t xml:space="preserve">IČ:  </w:t>
      </w:r>
      <w:r w:rsidRPr="0097084E">
        <w:rPr>
          <w:i w:val="0"/>
          <w:iCs w:val="0"/>
          <w:color w:val="000000" w:themeColor="text1"/>
        </w:rPr>
        <w:tab/>
      </w:r>
      <w:r w:rsidRPr="0097084E">
        <w:rPr>
          <w:i w:val="0"/>
          <w:iCs w:val="0"/>
          <w:color w:val="000000" w:themeColor="text1"/>
        </w:rPr>
        <w:tab/>
      </w:r>
      <w:r w:rsidRPr="0097084E">
        <w:rPr>
          <w:i w:val="0"/>
          <w:iCs w:val="0"/>
          <w:color w:val="000000" w:themeColor="text1"/>
        </w:rPr>
        <w:tab/>
        <w:t>00022578</w:t>
      </w:r>
      <w:r w:rsidRPr="0097084E">
        <w:rPr>
          <w:i w:val="0"/>
          <w:iCs w:val="0"/>
          <w:color w:val="000000" w:themeColor="text1"/>
        </w:rPr>
        <w:tab/>
      </w:r>
      <w:r w:rsidRPr="0097084E">
        <w:rPr>
          <w:i w:val="0"/>
          <w:iCs w:val="0"/>
          <w:color w:val="000000" w:themeColor="text1"/>
        </w:rPr>
        <w:tab/>
      </w:r>
      <w:r w:rsidRPr="0097084E">
        <w:rPr>
          <w:i w:val="0"/>
          <w:iCs w:val="0"/>
          <w:color w:val="000000" w:themeColor="text1"/>
        </w:rPr>
        <w:tab/>
        <w:t xml:space="preserve"> </w:t>
      </w:r>
    </w:p>
    <w:p w:rsidR="00BE04B6" w:rsidRPr="0097084E" w:rsidRDefault="00BE04B6" w:rsidP="00BE04B6">
      <w:pPr>
        <w:pStyle w:val="Nadpis1"/>
        <w:rPr>
          <w:i w:val="0"/>
          <w:iCs w:val="0"/>
          <w:color w:val="000000" w:themeColor="text1"/>
        </w:rPr>
      </w:pPr>
      <w:r w:rsidRPr="0097084E">
        <w:rPr>
          <w:i w:val="0"/>
          <w:iCs w:val="0"/>
          <w:color w:val="000000" w:themeColor="text1"/>
        </w:rPr>
        <w:t xml:space="preserve">DIČ: </w:t>
      </w:r>
      <w:r w:rsidRPr="0097084E">
        <w:rPr>
          <w:i w:val="0"/>
          <w:iCs w:val="0"/>
          <w:color w:val="000000" w:themeColor="text1"/>
        </w:rPr>
        <w:tab/>
      </w:r>
      <w:r w:rsidRPr="0097084E">
        <w:rPr>
          <w:i w:val="0"/>
          <w:iCs w:val="0"/>
          <w:color w:val="000000" w:themeColor="text1"/>
        </w:rPr>
        <w:tab/>
      </w:r>
      <w:r w:rsidRPr="0097084E">
        <w:rPr>
          <w:i w:val="0"/>
          <w:iCs w:val="0"/>
          <w:color w:val="000000" w:themeColor="text1"/>
        </w:rPr>
        <w:tab/>
      </w:r>
      <w:r w:rsidRPr="0097084E">
        <w:rPr>
          <w:i w:val="0"/>
          <w:color w:val="000000" w:themeColor="text1"/>
        </w:rPr>
        <w:tab/>
      </w:r>
      <w:r w:rsidRPr="0097084E">
        <w:rPr>
          <w:i w:val="0"/>
          <w:color w:val="000000" w:themeColor="text1"/>
        </w:rPr>
        <w:tab/>
      </w:r>
      <w:r w:rsidRPr="0097084E">
        <w:rPr>
          <w:i w:val="0"/>
          <w:color w:val="000000" w:themeColor="text1"/>
        </w:rPr>
        <w:tab/>
      </w:r>
      <w:r w:rsidRPr="0097084E">
        <w:rPr>
          <w:i w:val="0"/>
          <w:iCs w:val="0"/>
          <w:color w:val="000000" w:themeColor="text1"/>
        </w:rPr>
        <w:t xml:space="preserve"> </w:t>
      </w:r>
    </w:p>
    <w:p w:rsidR="00BE04B6" w:rsidRPr="0097084E" w:rsidRDefault="00BE04B6" w:rsidP="00BE04B6">
      <w:pPr>
        <w:pStyle w:val="Nadpis1"/>
        <w:rPr>
          <w:i w:val="0"/>
          <w:iCs w:val="0"/>
          <w:color w:val="000000" w:themeColor="text1"/>
        </w:rPr>
      </w:pPr>
      <w:r w:rsidRPr="0097084E">
        <w:rPr>
          <w:i w:val="0"/>
          <w:iCs w:val="0"/>
          <w:color w:val="000000" w:themeColor="text1"/>
        </w:rPr>
        <w:t>Bankovní spojení:</w:t>
      </w:r>
      <w:r w:rsidRPr="0097084E">
        <w:rPr>
          <w:i w:val="0"/>
          <w:iCs w:val="0"/>
          <w:color w:val="000000" w:themeColor="text1"/>
        </w:rPr>
        <w:tab/>
      </w:r>
      <w:r w:rsidR="0097084E">
        <w:rPr>
          <w:i w:val="0"/>
          <w:iCs w:val="0"/>
          <w:color w:val="000000" w:themeColor="text1"/>
        </w:rPr>
        <w:t xml:space="preserve">Komerční banka a.s., č. účtu </w:t>
      </w:r>
      <w:r w:rsidRPr="0097084E">
        <w:rPr>
          <w:i w:val="0"/>
          <w:iCs w:val="0"/>
          <w:color w:val="000000" w:themeColor="text1"/>
        </w:rPr>
        <w:t>14136371/0100</w:t>
      </w:r>
    </w:p>
    <w:p w:rsidR="00BE04B6" w:rsidRPr="0097084E" w:rsidRDefault="00BE04B6" w:rsidP="00BE04B6">
      <w:pPr>
        <w:pStyle w:val="Nadpis1"/>
        <w:rPr>
          <w:i w:val="0"/>
          <w:iCs w:val="0"/>
          <w:color w:val="000000" w:themeColor="text1"/>
        </w:rPr>
      </w:pPr>
      <w:r w:rsidRPr="0097084E">
        <w:rPr>
          <w:i w:val="0"/>
          <w:iCs w:val="0"/>
          <w:color w:val="000000" w:themeColor="text1"/>
        </w:rPr>
        <w:t>Zastoupený:</w:t>
      </w:r>
      <w:r w:rsidRPr="0097084E">
        <w:rPr>
          <w:i w:val="0"/>
          <w:iCs w:val="0"/>
          <w:color w:val="000000" w:themeColor="text1"/>
        </w:rPr>
        <w:tab/>
      </w:r>
      <w:r w:rsidRPr="0097084E">
        <w:rPr>
          <w:i w:val="0"/>
          <w:iCs w:val="0"/>
          <w:color w:val="000000" w:themeColor="text1"/>
        </w:rPr>
        <w:tab/>
        <w:t>Mgr. Jiří Horník, ředitel domova</w:t>
      </w:r>
    </w:p>
    <w:p w:rsidR="00BE04B6" w:rsidRPr="0097084E" w:rsidRDefault="00BE04B6" w:rsidP="00BE04B6">
      <w:pPr>
        <w:rPr>
          <w:color w:val="000000" w:themeColor="text1"/>
        </w:rPr>
      </w:pPr>
    </w:p>
    <w:p w:rsidR="00BE04B6" w:rsidRPr="0097084E" w:rsidRDefault="00BE04B6" w:rsidP="00BE04B6">
      <w:pPr>
        <w:rPr>
          <w:color w:val="000000" w:themeColor="text1"/>
        </w:rPr>
      </w:pPr>
    </w:p>
    <w:p w:rsidR="00BE04B6" w:rsidRPr="0097084E" w:rsidRDefault="00BE04B6" w:rsidP="00BE04B6">
      <w:pPr>
        <w:jc w:val="center"/>
        <w:rPr>
          <w:i/>
          <w:iCs/>
          <w:color w:val="000000" w:themeColor="text1"/>
        </w:rPr>
      </w:pPr>
      <w:r w:rsidRPr="0097084E">
        <w:rPr>
          <w:i/>
          <w:iCs/>
          <w:color w:val="000000" w:themeColor="text1"/>
        </w:rPr>
        <w:t>na straně druhé</w:t>
      </w:r>
    </w:p>
    <w:p w:rsidR="00BE04B6" w:rsidRPr="0097084E" w:rsidRDefault="00BE04B6" w:rsidP="00BE04B6">
      <w:pPr>
        <w:rPr>
          <w:i/>
          <w:iCs/>
          <w:color w:val="000000" w:themeColor="text1"/>
        </w:rPr>
      </w:pPr>
    </w:p>
    <w:p w:rsidR="00BE04B6" w:rsidRPr="0097084E" w:rsidRDefault="00BE04B6" w:rsidP="00BE04B6">
      <w:pPr>
        <w:jc w:val="center"/>
        <w:rPr>
          <w:b/>
          <w:bCs/>
          <w:color w:val="000000" w:themeColor="text1"/>
          <w:sz w:val="28"/>
          <w:szCs w:val="28"/>
        </w:rPr>
      </w:pPr>
      <w:r w:rsidRPr="0097084E">
        <w:rPr>
          <w:b/>
          <w:bCs/>
          <w:color w:val="000000" w:themeColor="text1"/>
          <w:sz w:val="28"/>
          <w:szCs w:val="28"/>
        </w:rPr>
        <w:t>uzavřely níže uvedeného dne, měsíce a roku tuto</w:t>
      </w:r>
    </w:p>
    <w:p w:rsidR="00BE04B6" w:rsidRPr="0097084E" w:rsidRDefault="00BE04B6" w:rsidP="00BE04B6">
      <w:pPr>
        <w:pStyle w:val="Nadpis3"/>
        <w:rPr>
          <w:color w:val="000000" w:themeColor="text1"/>
        </w:rPr>
      </w:pPr>
      <w:r w:rsidRPr="0097084E">
        <w:rPr>
          <w:color w:val="000000" w:themeColor="text1"/>
        </w:rPr>
        <w:t>kupní smlouvu</w:t>
      </w:r>
    </w:p>
    <w:p w:rsidR="00BE04B6" w:rsidRPr="0097084E" w:rsidRDefault="00BE04B6" w:rsidP="00BE04B6">
      <w:pPr>
        <w:jc w:val="center"/>
        <w:rPr>
          <w:color w:val="000000" w:themeColor="text1"/>
        </w:rPr>
      </w:pPr>
      <w:r w:rsidRPr="0097084E">
        <w:rPr>
          <w:color w:val="000000" w:themeColor="text1"/>
        </w:rPr>
        <w:t>(dále jen „Smlouva“)</w:t>
      </w:r>
    </w:p>
    <w:p w:rsidR="00BE04B6" w:rsidRPr="0097084E" w:rsidRDefault="00BE04B6" w:rsidP="00BE04B6">
      <w:pPr>
        <w:jc w:val="center"/>
        <w:rPr>
          <w:color w:val="000000" w:themeColor="text1"/>
        </w:rPr>
      </w:pPr>
    </w:p>
    <w:p w:rsidR="00BE04B6" w:rsidRPr="0097084E" w:rsidRDefault="00BE04B6" w:rsidP="00BE04B6">
      <w:pPr>
        <w:jc w:val="center"/>
        <w:rPr>
          <w:color w:val="000000" w:themeColor="text1"/>
        </w:rPr>
      </w:pPr>
      <w:r w:rsidRPr="0097084E">
        <w:rPr>
          <w:color w:val="000000" w:themeColor="text1"/>
        </w:rPr>
        <w:t xml:space="preserve">dle § </w:t>
      </w:r>
      <w:smartTag w:uri="urn:schemas-microsoft-com:office:smarttags" w:element="metricconverter">
        <w:smartTagPr>
          <w:attr w:name="ProductID" w:val="2079 a"/>
        </w:smartTagPr>
        <w:r w:rsidRPr="0097084E">
          <w:rPr>
            <w:color w:val="000000" w:themeColor="text1"/>
          </w:rPr>
          <w:t>2079 a</w:t>
        </w:r>
      </w:smartTag>
      <w:r w:rsidRPr="0097084E">
        <w:rPr>
          <w:color w:val="000000" w:themeColor="text1"/>
        </w:rPr>
        <w:t xml:space="preserve"> násl. </w:t>
      </w:r>
      <w:proofErr w:type="spellStart"/>
      <w:r w:rsidRPr="0097084E">
        <w:rPr>
          <w:color w:val="000000" w:themeColor="text1"/>
        </w:rPr>
        <w:t>zák.č</w:t>
      </w:r>
      <w:proofErr w:type="spellEnd"/>
      <w:r w:rsidRPr="0097084E">
        <w:rPr>
          <w:color w:val="000000" w:themeColor="text1"/>
        </w:rPr>
        <w:t>. 89/2012 Sb., občanský zákoník, ve znění pozdějších předpisů (dále jen „OZ“)</w:t>
      </w:r>
    </w:p>
    <w:p w:rsidR="00BE04B6" w:rsidRPr="0097084E" w:rsidRDefault="00BE04B6" w:rsidP="00BE04B6">
      <w:pPr>
        <w:rPr>
          <w:color w:val="000000" w:themeColor="text1"/>
        </w:rPr>
      </w:pPr>
    </w:p>
    <w:p w:rsidR="00BE04B6" w:rsidRPr="0097084E" w:rsidRDefault="00BE04B6" w:rsidP="00BE04B6">
      <w:pPr>
        <w:jc w:val="center"/>
        <w:rPr>
          <w:b/>
          <w:bCs/>
          <w:color w:val="000000" w:themeColor="text1"/>
        </w:rPr>
      </w:pPr>
      <w:r w:rsidRPr="0097084E">
        <w:rPr>
          <w:b/>
          <w:bCs/>
          <w:color w:val="000000" w:themeColor="text1"/>
        </w:rPr>
        <w:t>Čl. II. Předmět smlouvy</w:t>
      </w:r>
    </w:p>
    <w:p w:rsidR="00BE04B6" w:rsidRPr="0097084E" w:rsidRDefault="00BE04B6" w:rsidP="00BE04B6">
      <w:pPr>
        <w:jc w:val="center"/>
        <w:rPr>
          <w:b/>
          <w:bCs/>
          <w:color w:val="000000" w:themeColor="text1"/>
        </w:rPr>
      </w:pPr>
    </w:p>
    <w:p w:rsidR="00BE04B6" w:rsidRPr="0097084E" w:rsidRDefault="00BE04B6" w:rsidP="00BE04B6">
      <w:pPr>
        <w:ind w:left="284" w:hanging="284"/>
        <w:jc w:val="both"/>
        <w:rPr>
          <w:color w:val="000000" w:themeColor="text1"/>
        </w:rPr>
      </w:pPr>
      <w:r w:rsidRPr="0097084E">
        <w:rPr>
          <w:color w:val="000000" w:themeColor="text1"/>
        </w:rPr>
        <w:t>1.</w:t>
      </w:r>
      <w:r w:rsidRPr="0097084E">
        <w:rPr>
          <w:color w:val="000000" w:themeColor="text1"/>
        </w:rPr>
        <w:tab/>
        <w:t>Předmětem této Smlouvy je závazek prodávajícího dodat kupujícímu polohovací pomůcky specifikované v příloze č. 1 této Smlouvy (dále jen „zboží“), a závazek kupujícího toto zboží odebrat a zaplatit za něj sjednanou kupní cenu.</w:t>
      </w:r>
    </w:p>
    <w:p w:rsidR="00BE04B6" w:rsidRPr="0097084E" w:rsidRDefault="00BE04B6" w:rsidP="00BE04B6">
      <w:pPr>
        <w:ind w:left="284" w:hanging="284"/>
        <w:jc w:val="both"/>
        <w:rPr>
          <w:color w:val="000000" w:themeColor="text1"/>
        </w:rPr>
      </w:pPr>
    </w:p>
    <w:p w:rsidR="00BE04B6" w:rsidRPr="0097084E" w:rsidRDefault="00BE04B6" w:rsidP="00BE04B6">
      <w:pPr>
        <w:ind w:left="284" w:hanging="284"/>
        <w:jc w:val="both"/>
        <w:rPr>
          <w:color w:val="000000" w:themeColor="text1"/>
        </w:rPr>
      </w:pPr>
      <w:r w:rsidRPr="0097084E">
        <w:rPr>
          <w:color w:val="000000" w:themeColor="text1"/>
        </w:rPr>
        <w:t>2.  Součástí dodávky zboží jsou také následující činnosti:</w:t>
      </w:r>
    </w:p>
    <w:p w:rsidR="00BE04B6" w:rsidRPr="0097084E" w:rsidRDefault="00BE04B6" w:rsidP="00BE04B6">
      <w:pPr>
        <w:numPr>
          <w:ilvl w:val="0"/>
          <w:numId w:val="6"/>
        </w:numPr>
        <w:jc w:val="both"/>
        <w:rPr>
          <w:color w:val="000000" w:themeColor="text1"/>
        </w:rPr>
      </w:pPr>
      <w:r w:rsidRPr="0097084E">
        <w:rPr>
          <w:color w:val="000000" w:themeColor="text1"/>
        </w:rPr>
        <w:t>doprava dodávaného zboží na místo plnění, jeho vybalení a kontrola,</w:t>
      </w:r>
    </w:p>
    <w:p w:rsidR="00BE04B6" w:rsidRPr="0097084E" w:rsidRDefault="00BE04B6" w:rsidP="00BE04B6">
      <w:pPr>
        <w:numPr>
          <w:ilvl w:val="0"/>
          <w:numId w:val="6"/>
        </w:numPr>
        <w:jc w:val="both"/>
        <w:rPr>
          <w:color w:val="000000" w:themeColor="text1"/>
        </w:rPr>
      </w:pPr>
      <w:r w:rsidRPr="0097084E">
        <w:rPr>
          <w:color w:val="000000" w:themeColor="text1"/>
        </w:rPr>
        <w:t xml:space="preserve">předání atestů, certifikátů a prohlášení o shodě zboží s požadavky příslušných právních předpisů či norem, a předání dokladů, které jsou nutné k užívání zboží, zejména </w:t>
      </w:r>
      <w:r w:rsidRPr="0097084E">
        <w:rPr>
          <w:color w:val="000000" w:themeColor="text1"/>
        </w:rPr>
        <w:lastRenderedPageBreak/>
        <w:t xml:space="preserve">instrukcí a návodů k obsluze a údržbě, provozních a uživatelských manuálů a ostatních dokumentů nezbytných pro provoz, a případně dalších dokladů, které se ke zboží jinak vztahují. </w:t>
      </w:r>
    </w:p>
    <w:p w:rsidR="00BE04B6" w:rsidRPr="0097084E" w:rsidRDefault="00BE04B6" w:rsidP="00BE04B6">
      <w:pPr>
        <w:jc w:val="center"/>
        <w:rPr>
          <w:b/>
          <w:bCs/>
          <w:color w:val="000000" w:themeColor="text1"/>
        </w:rPr>
      </w:pPr>
    </w:p>
    <w:p w:rsidR="00BE04B6" w:rsidRPr="0097084E" w:rsidRDefault="00BE04B6" w:rsidP="00BE04B6">
      <w:pPr>
        <w:jc w:val="center"/>
        <w:rPr>
          <w:b/>
          <w:bCs/>
          <w:color w:val="000000" w:themeColor="text1"/>
        </w:rPr>
      </w:pPr>
      <w:r w:rsidRPr="0097084E">
        <w:rPr>
          <w:b/>
          <w:bCs/>
          <w:color w:val="000000" w:themeColor="text1"/>
        </w:rPr>
        <w:t>Čl. III. Kupní cena a platební podmínky</w:t>
      </w:r>
    </w:p>
    <w:p w:rsidR="00BE04B6" w:rsidRPr="0097084E" w:rsidRDefault="00BE04B6" w:rsidP="00BE04B6">
      <w:pPr>
        <w:jc w:val="both"/>
        <w:rPr>
          <w:b/>
          <w:bCs/>
          <w:color w:val="000000" w:themeColor="text1"/>
        </w:rPr>
      </w:pPr>
    </w:p>
    <w:p w:rsidR="00BE04B6" w:rsidRPr="0097084E" w:rsidRDefault="00BE04B6" w:rsidP="00BE04B6">
      <w:pPr>
        <w:numPr>
          <w:ilvl w:val="0"/>
          <w:numId w:val="1"/>
        </w:numPr>
        <w:tabs>
          <w:tab w:val="num" w:pos="284"/>
        </w:tabs>
        <w:ind w:left="284" w:hanging="284"/>
        <w:jc w:val="both"/>
        <w:rPr>
          <w:color w:val="000000" w:themeColor="text1"/>
        </w:rPr>
      </w:pPr>
      <w:r w:rsidRPr="0097084E">
        <w:rPr>
          <w:color w:val="000000" w:themeColor="text1"/>
        </w:rPr>
        <w:t>Kupní cena dodávky zboží činí:</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0"/>
        <w:gridCol w:w="2522"/>
      </w:tblGrid>
      <w:tr w:rsidR="0097084E" w:rsidRPr="0097084E" w:rsidTr="008432C9">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E04B6" w:rsidRPr="0097084E" w:rsidRDefault="00BE04B6" w:rsidP="008432C9">
            <w:pPr>
              <w:spacing w:before="120"/>
              <w:rPr>
                <w:color w:val="000000" w:themeColor="text1"/>
              </w:rPr>
            </w:pPr>
            <w:r w:rsidRPr="0097084E">
              <w:rPr>
                <w:b/>
                <w:bCs/>
                <w:color w:val="000000" w:themeColor="text1"/>
                <w:sz w:val="22"/>
                <w:szCs w:val="22"/>
              </w:rPr>
              <w:t>Cena bez DPH:</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E04B6" w:rsidRPr="0097084E" w:rsidRDefault="00BE04B6" w:rsidP="008432C9">
            <w:pPr>
              <w:spacing w:before="120"/>
              <w:jc w:val="right"/>
              <w:rPr>
                <w:b/>
                <w:bCs/>
                <w:color w:val="000000" w:themeColor="text1"/>
                <w:sz w:val="22"/>
                <w:szCs w:val="22"/>
                <w:highlight w:val="yellow"/>
              </w:rPr>
            </w:pPr>
            <w:r w:rsidRPr="0097084E">
              <w:rPr>
                <w:b/>
                <w:bCs/>
                <w:color w:val="000000" w:themeColor="text1"/>
                <w:sz w:val="22"/>
                <w:szCs w:val="22"/>
              </w:rPr>
              <w:t xml:space="preserve">45 005,-  Kč     </w:t>
            </w:r>
          </w:p>
        </w:tc>
      </w:tr>
      <w:tr w:rsidR="0097084E" w:rsidRPr="0097084E" w:rsidTr="008432C9">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E04B6" w:rsidRPr="0097084E" w:rsidRDefault="00BE04B6" w:rsidP="00BE04B6">
            <w:pPr>
              <w:spacing w:before="120"/>
              <w:rPr>
                <w:color w:val="000000" w:themeColor="text1"/>
              </w:rPr>
            </w:pPr>
            <w:r w:rsidRPr="0097084E">
              <w:rPr>
                <w:b/>
                <w:bCs/>
                <w:color w:val="000000" w:themeColor="text1"/>
                <w:sz w:val="22"/>
                <w:szCs w:val="22"/>
              </w:rPr>
              <w:t>DPH 21 %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E04B6" w:rsidRPr="0097084E" w:rsidRDefault="00BE04B6" w:rsidP="008432C9">
            <w:pPr>
              <w:spacing w:before="120"/>
              <w:jc w:val="right"/>
              <w:rPr>
                <w:b/>
                <w:bCs/>
                <w:color w:val="000000" w:themeColor="text1"/>
                <w:sz w:val="22"/>
                <w:szCs w:val="22"/>
                <w:highlight w:val="yellow"/>
              </w:rPr>
            </w:pPr>
            <w:r w:rsidRPr="0097084E">
              <w:rPr>
                <w:b/>
                <w:bCs/>
                <w:color w:val="000000" w:themeColor="text1"/>
                <w:sz w:val="22"/>
                <w:szCs w:val="22"/>
              </w:rPr>
              <w:t>9 451,-  Kč</w:t>
            </w:r>
          </w:p>
        </w:tc>
      </w:tr>
      <w:tr w:rsidR="0097084E" w:rsidRPr="0097084E" w:rsidTr="008432C9">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E04B6" w:rsidRPr="0097084E" w:rsidRDefault="00BE04B6" w:rsidP="008432C9">
            <w:pPr>
              <w:spacing w:before="120"/>
              <w:rPr>
                <w:color w:val="000000" w:themeColor="text1"/>
              </w:rPr>
            </w:pPr>
            <w:r w:rsidRPr="0097084E">
              <w:rPr>
                <w:b/>
                <w:bCs/>
                <w:color w:val="000000" w:themeColor="text1"/>
                <w:sz w:val="22"/>
                <w:szCs w:val="22"/>
              </w:rPr>
              <w:t>Celková kupní cena včetně DPH:</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E04B6" w:rsidRPr="0097084E" w:rsidRDefault="00BE04B6" w:rsidP="008432C9">
            <w:pPr>
              <w:spacing w:before="120"/>
              <w:jc w:val="right"/>
              <w:rPr>
                <w:b/>
                <w:bCs/>
                <w:color w:val="000000" w:themeColor="text1"/>
                <w:sz w:val="22"/>
                <w:szCs w:val="22"/>
                <w:highlight w:val="yellow"/>
              </w:rPr>
            </w:pPr>
            <w:r w:rsidRPr="0097084E">
              <w:rPr>
                <w:b/>
                <w:bCs/>
                <w:color w:val="000000" w:themeColor="text1"/>
                <w:sz w:val="22"/>
                <w:szCs w:val="22"/>
              </w:rPr>
              <w:t xml:space="preserve">54 456,-  Kč </w:t>
            </w:r>
          </w:p>
        </w:tc>
      </w:tr>
    </w:tbl>
    <w:p w:rsidR="00BE04B6" w:rsidRPr="0097084E" w:rsidRDefault="00BE04B6" w:rsidP="00BE04B6">
      <w:pPr>
        <w:ind w:left="284" w:hanging="284"/>
        <w:jc w:val="both"/>
        <w:rPr>
          <w:color w:val="000000" w:themeColor="text1"/>
        </w:rPr>
      </w:pPr>
    </w:p>
    <w:p w:rsidR="00BE04B6" w:rsidRPr="0097084E" w:rsidRDefault="00BE04B6" w:rsidP="00BE04B6">
      <w:pPr>
        <w:numPr>
          <w:ilvl w:val="0"/>
          <w:numId w:val="1"/>
        </w:numPr>
        <w:tabs>
          <w:tab w:val="num" w:pos="284"/>
        </w:tabs>
        <w:ind w:left="284" w:hanging="284"/>
        <w:jc w:val="both"/>
        <w:rPr>
          <w:color w:val="000000" w:themeColor="text1"/>
        </w:rPr>
      </w:pPr>
      <w:r w:rsidRPr="0097084E">
        <w:rPr>
          <w:color w:val="000000" w:themeColor="text1"/>
        </w:rPr>
        <w:t>Kupní cena byla stranami sjednána na částku 54.456,- Kč slovy (</w:t>
      </w:r>
      <w:proofErr w:type="spellStart"/>
      <w:r w:rsidRPr="0097084E">
        <w:rPr>
          <w:color w:val="000000" w:themeColor="text1"/>
        </w:rPr>
        <w:t>padesát</w:t>
      </w:r>
      <w:r w:rsidR="00536D6A" w:rsidRPr="0097084E">
        <w:rPr>
          <w:color w:val="000000" w:themeColor="text1"/>
        </w:rPr>
        <w:t>čtyřitisícčtyřistapadesátšest</w:t>
      </w:r>
      <w:proofErr w:type="spellEnd"/>
      <w:r w:rsidRPr="0097084E">
        <w:rPr>
          <w:color w:val="000000" w:themeColor="text1"/>
        </w:rPr>
        <w:t xml:space="preserve"> korun českých) včetně DPH.</w:t>
      </w:r>
    </w:p>
    <w:p w:rsidR="00BE04B6" w:rsidRPr="0097084E" w:rsidRDefault="00BE04B6" w:rsidP="00BE04B6">
      <w:pPr>
        <w:numPr>
          <w:ilvl w:val="0"/>
          <w:numId w:val="1"/>
        </w:numPr>
        <w:tabs>
          <w:tab w:val="num" w:pos="284"/>
        </w:tabs>
        <w:ind w:left="284" w:hanging="284"/>
        <w:jc w:val="both"/>
        <w:rPr>
          <w:color w:val="000000" w:themeColor="text1"/>
        </w:rPr>
      </w:pPr>
      <w:r w:rsidRPr="0097084E">
        <w:rPr>
          <w:color w:val="000000" w:themeColor="text1"/>
        </w:rPr>
        <w:t xml:space="preserve">Sjednanou kupní cenu zaplatí kupující na základě daňového dokladu – faktury, splatné do </w:t>
      </w:r>
      <w:r w:rsidR="00536D6A" w:rsidRPr="0097084E">
        <w:rPr>
          <w:color w:val="000000" w:themeColor="text1"/>
        </w:rPr>
        <w:t>30</w:t>
      </w:r>
      <w:r w:rsidRPr="0097084E">
        <w:rPr>
          <w:color w:val="000000" w:themeColor="text1"/>
        </w:rPr>
        <w:t xml:space="preserve"> dní po jejím vystavení. Daňový doklad musí obsahovat všechny náležitosti dle zákona č. 235/2004 Sb., o dani z přidané hodnoty, v platném znění. V případě, že daňový doklad bude vystaven s chybnými údaji, je kupující oprávněn jej prodávajícímu vrátit, přičemž se nedostává do prodlení s úhradou ceny zboží. </w:t>
      </w:r>
    </w:p>
    <w:p w:rsidR="00BE04B6" w:rsidRPr="0097084E" w:rsidRDefault="00BE04B6" w:rsidP="00BE04B6">
      <w:pPr>
        <w:numPr>
          <w:ilvl w:val="0"/>
          <w:numId w:val="1"/>
        </w:numPr>
        <w:tabs>
          <w:tab w:val="num" w:pos="284"/>
        </w:tabs>
        <w:ind w:left="284" w:hanging="284"/>
        <w:jc w:val="both"/>
        <w:rPr>
          <w:color w:val="000000" w:themeColor="text1"/>
        </w:rPr>
      </w:pPr>
      <w:r w:rsidRPr="0097084E">
        <w:rPr>
          <w:color w:val="000000" w:themeColor="text1"/>
        </w:rPr>
        <w:t>Právo na vystavení faktury vzniká prodávajícímu dnem podpisu dodacího listu, potvrzujícího dodání jednotlivých částí dodávky dle bodu IV. a V. této Smlouvy.</w:t>
      </w:r>
    </w:p>
    <w:p w:rsidR="00BE04B6" w:rsidRPr="0097084E" w:rsidRDefault="00BE04B6" w:rsidP="00BE04B6">
      <w:pPr>
        <w:numPr>
          <w:ilvl w:val="0"/>
          <w:numId w:val="1"/>
        </w:numPr>
        <w:tabs>
          <w:tab w:val="num" w:pos="284"/>
        </w:tabs>
        <w:ind w:left="284" w:hanging="284"/>
        <w:jc w:val="both"/>
        <w:rPr>
          <w:color w:val="000000" w:themeColor="text1"/>
        </w:rPr>
      </w:pPr>
      <w:r w:rsidRPr="0097084E">
        <w:rPr>
          <w:color w:val="000000" w:themeColor="text1"/>
        </w:rPr>
        <w:t>Cena je uvedena včetně všech doprovodných souvisejících činností dle čl. II odst. 2 této smlouvy.</w:t>
      </w:r>
    </w:p>
    <w:p w:rsidR="00BE04B6" w:rsidRPr="0097084E" w:rsidRDefault="00BE04B6" w:rsidP="00BE04B6">
      <w:pPr>
        <w:jc w:val="center"/>
        <w:rPr>
          <w:color w:val="000000" w:themeColor="text1"/>
          <w:shd w:val="solid" w:color="FFFF00" w:fill="FFFF00"/>
        </w:rPr>
      </w:pPr>
    </w:p>
    <w:p w:rsidR="00BE04B6" w:rsidRPr="0097084E" w:rsidRDefault="00BE04B6" w:rsidP="00BE04B6">
      <w:pPr>
        <w:jc w:val="center"/>
        <w:rPr>
          <w:b/>
          <w:bCs/>
          <w:color w:val="000000" w:themeColor="text1"/>
        </w:rPr>
      </w:pPr>
      <w:r w:rsidRPr="0097084E">
        <w:rPr>
          <w:b/>
          <w:bCs/>
          <w:color w:val="000000" w:themeColor="text1"/>
        </w:rPr>
        <w:t>Čl. IV. Doba a místo plnění</w:t>
      </w:r>
    </w:p>
    <w:p w:rsidR="00BE04B6" w:rsidRPr="0097084E" w:rsidRDefault="00BE04B6" w:rsidP="00BE04B6">
      <w:pPr>
        <w:jc w:val="both"/>
        <w:rPr>
          <w:b/>
          <w:bCs/>
          <w:color w:val="000000" w:themeColor="text1"/>
        </w:rPr>
      </w:pPr>
    </w:p>
    <w:p w:rsidR="00BE04B6" w:rsidRPr="0097084E" w:rsidRDefault="00BE04B6" w:rsidP="00BE04B6">
      <w:pPr>
        <w:ind w:left="284" w:hanging="284"/>
        <w:jc w:val="both"/>
        <w:rPr>
          <w:color w:val="000000" w:themeColor="text1"/>
        </w:rPr>
      </w:pPr>
      <w:r w:rsidRPr="0097084E">
        <w:rPr>
          <w:color w:val="000000" w:themeColor="text1"/>
        </w:rPr>
        <w:t>1.</w:t>
      </w:r>
      <w:r w:rsidRPr="0097084E">
        <w:rPr>
          <w:color w:val="000000" w:themeColor="text1"/>
        </w:rPr>
        <w:tab/>
        <w:t xml:space="preserve">Dobou plnění pro výše uvedené výrobky dle uvedené specifikace je termín </w:t>
      </w:r>
      <w:r w:rsidR="0097084E">
        <w:rPr>
          <w:color w:val="000000" w:themeColor="text1"/>
        </w:rPr>
        <w:t>6</w:t>
      </w:r>
      <w:r w:rsidRPr="0097084E">
        <w:rPr>
          <w:color w:val="000000" w:themeColor="text1"/>
        </w:rPr>
        <w:t xml:space="preserve"> týdnů od podpisu této Smlouvy, s výjimkou uvedenou v odst. 4 tohoto článku.</w:t>
      </w:r>
    </w:p>
    <w:p w:rsidR="00BE04B6" w:rsidRPr="0097084E" w:rsidRDefault="00BE04B6" w:rsidP="00BE04B6">
      <w:pPr>
        <w:ind w:left="284" w:hanging="284"/>
        <w:jc w:val="both"/>
        <w:rPr>
          <w:color w:val="000000" w:themeColor="text1"/>
        </w:rPr>
      </w:pPr>
      <w:r w:rsidRPr="0097084E">
        <w:rPr>
          <w:color w:val="000000" w:themeColor="text1"/>
        </w:rPr>
        <w:t>2.</w:t>
      </w:r>
      <w:r w:rsidRPr="0097084E">
        <w:rPr>
          <w:color w:val="000000" w:themeColor="text1"/>
        </w:rPr>
        <w:tab/>
        <w:t>Přesný termín dodávky zboží bude kupujícímu sdělen minimálně 2 pracovní dny předem. Případnou změnu termínu dodání zboží, zaviněnou okolnostmi, které prodávající nemohl s dostatečnou odbornou péčí předvídat, oznámí prodávající kupujícímu bez zbytečného odkladu předem.</w:t>
      </w:r>
    </w:p>
    <w:p w:rsidR="00BE04B6" w:rsidRPr="0097084E" w:rsidRDefault="00BE04B6" w:rsidP="00536D6A">
      <w:pPr>
        <w:ind w:left="284" w:hanging="284"/>
        <w:jc w:val="both"/>
        <w:rPr>
          <w:color w:val="000000" w:themeColor="text1"/>
        </w:rPr>
      </w:pPr>
      <w:r w:rsidRPr="0097084E">
        <w:rPr>
          <w:color w:val="000000" w:themeColor="text1"/>
        </w:rPr>
        <w:t>3.</w:t>
      </w:r>
      <w:r w:rsidRPr="0097084E">
        <w:rPr>
          <w:color w:val="000000" w:themeColor="text1"/>
        </w:rPr>
        <w:tab/>
        <w:t xml:space="preserve">Místem plnění je </w:t>
      </w:r>
      <w:r w:rsidR="00536D6A" w:rsidRPr="0097084E">
        <w:rPr>
          <w:color w:val="000000" w:themeColor="text1"/>
        </w:rPr>
        <w:t>Domov pro osoby se zdravotním postižením Horní Bříza, příspěvková organizace, U Vrbky 486, 330 12 Horní Bříza</w:t>
      </w:r>
      <w:r w:rsidRPr="0097084E">
        <w:rPr>
          <w:color w:val="000000" w:themeColor="text1"/>
        </w:rPr>
        <w:t xml:space="preserve">. </w:t>
      </w:r>
    </w:p>
    <w:p w:rsidR="00BE04B6" w:rsidRPr="0097084E" w:rsidRDefault="00BE04B6" w:rsidP="00BE04B6">
      <w:pPr>
        <w:ind w:left="284" w:hanging="284"/>
        <w:jc w:val="both"/>
        <w:rPr>
          <w:color w:val="000000" w:themeColor="text1"/>
        </w:rPr>
      </w:pPr>
      <w:r w:rsidRPr="0097084E">
        <w:rPr>
          <w:color w:val="000000" w:themeColor="text1"/>
        </w:rPr>
        <w:t>4.</w:t>
      </w:r>
      <w:r w:rsidRPr="0097084E">
        <w:rPr>
          <w:color w:val="000000" w:themeColor="text1"/>
        </w:rPr>
        <w:tab/>
        <w:t>Při změně specifikace předmětu Smlouvy ze strany kupujícího, začíná běžet nová lhůta dodání s novým termínem dodání od okamžiku přijetí takové změny prodávajícím. V případě, že kupující po uzavření Smlouvy změní specifikaci zboží vč. barevného provedení uvedeného v Příloze č. 1, lhůta pro dodání začne běžet až od okamžiku odsouhlasení obsahu této přílohy oběma smluvními stranami.</w:t>
      </w:r>
    </w:p>
    <w:p w:rsidR="00BE04B6" w:rsidRPr="0097084E" w:rsidRDefault="00BE04B6" w:rsidP="00BE04B6">
      <w:pPr>
        <w:rPr>
          <w:color w:val="000000" w:themeColor="text1"/>
        </w:rPr>
      </w:pPr>
    </w:p>
    <w:p w:rsidR="00BE04B6" w:rsidRPr="0097084E" w:rsidRDefault="00BE04B6" w:rsidP="00BE04B6">
      <w:pPr>
        <w:jc w:val="center"/>
        <w:rPr>
          <w:b/>
          <w:bCs/>
          <w:color w:val="000000" w:themeColor="text1"/>
        </w:rPr>
      </w:pPr>
      <w:r w:rsidRPr="0097084E">
        <w:rPr>
          <w:b/>
          <w:bCs/>
          <w:color w:val="000000" w:themeColor="text1"/>
        </w:rPr>
        <w:t>Čl. V. Dodání zboží</w:t>
      </w:r>
    </w:p>
    <w:p w:rsidR="00BE04B6" w:rsidRPr="0097084E" w:rsidRDefault="00BE04B6" w:rsidP="00BE04B6">
      <w:pPr>
        <w:jc w:val="both"/>
        <w:rPr>
          <w:b/>
          <w:bCs/>
          <w:color w:val="000000" w:themeColor="text1"/>
        </w:rPr>
      </w:pPr>
    </w:p>
    <w:p w:rsidR="00536D6A" w:rsidRPr="0097084E" w:rsidRDefault="00BE04B6" w:rsidP="00BE04B6">
      <w:pPr>
        <w:ind w:left="284" w:hanging="284"/>
        <w:jc w:val="both"/>
        <w:rPr>
          <w:color w:val="000000" w:themeColor="text1"/>
        </w:rPr>
      </w:pPr>
      <w:r w:rsidRPr="0097084E">
        <w:rPr>
          <w:color w:val="000000" w:themeColor="text1"/>
        </w:rPr>
        <w:t>1.</w:t>
      </w:r>
      <w:r w:rsidRPr="0097084E">
        <w:rPr>
          <w:color w:val="000000" w:themeColor="text1"/>
        </w:rPr>
        <w:tab/>
        <w:t xml:space="preserve">Dodáním zboží se rozumí postup, jehož završením je fyzické předání zboží kupujícímu. Převzetí dodaného zboží potvrdí kupující podpisem oprávněné osoby nebo osoby k tomu zmocněné na dodacím listu, vystaveném za tím účelem prodávajícím. </w:t>
      </w:r>
    </w:p>
    <w:p w:rsidR="00BE04B6" w:rsidRPr="0097084E" w:rsidRDefault="00BE04B6" w:rsidP="00BE04B6">
      <w:pPr>
        <w:ind w:left="284" w:hanging="284"/>
        <w:jc w:val="both"/>
        <w:rPr>
          <w:color w:val="000000" w:themeColor="text1"/>
        </w:rPr>
      </w:pPr>
      <w:r w:rsidRPr="0097084E">
        <w:rPr>
          <w:color w:val="000000" w:themeColor="text1"/>
        </w:rPr>
        <w:t>2.</w:t>
      </w:r>
      <w:r w:rsidRPr="0097084E">
        <w:rPr>
          <w:color w:val="000000" w:themeColor="text1"/>
        </w:rPr>
        <w:tab/>
        <w:t>Spolu se zbožím je prodávající povinen dodat veškeré doklady, které jsou potřebné k používání zboží a které osvědčují technické požadavky na zdravotnické prostředky, jako např. návod k použití v českém jazyce a příslušné certifikáty.</w:t>
      </w:r>
    </w:p>
    <w:p w:rsidR="00BE04B6" w:rsidRPr="0097084E" w:rsidRDefault="00BE04B6" w:rsidP="00BE04B6">
      <w:pPr>
        <w:ind w:left="284" w:hanging="284"/>
        <w:jc w:val="both"/>
        <w:rPr>
          <w:color w:val="000000" w:themeColor="text1"/>
        </w:rPr>
      </w:pPr>
      <w:r w:rsidRPr="0097084E">
        <w:rPr>
          <w:color w:val="000000" w:themeColor="text1"/>
        </w:rPr>
        <w:t>3.</w:t>
      </w:r>
      <w:r w:rsidRPr="0097084E">
        <w:rPr>
          <w:color w:val="000000" w:themeColor="text1"/>
        </w:rPr>
        <w:tab/>
        <w:t>Kupující se zavazuje poskytnout prodávajícímu veškerou potřebnou součinnost, nutnou k dodání zboží dle této Smlouvy.</w:t>
      </w:r>
    </w:p>
    <w:p w:rsidR="00BE04B6" w:rsidRPr="0097084E" w:rsidRDefault="00BE04B6" w:rsidP="00BE04B6">
      <w:pPr>
        <w:ind w:left="284" w:hanging="284"/>
        <w:jc w:val="both"/>
        <w:rPr>
          <w:color w:val="000000" w:themeColor="text1"/>
        </w:rPr>
      </w:pPr>
      <w:r w:rsidRPr="0097084E">
        <w:rPr>
          <w:color w:val="000000" w:themeColor="text1"/>
        </w:rPr>
        <w:t>4.</w:t>
      </w:r>
      <w:r w:rsidRPr="0097084E">
        <w:rPr>
          <w:color w:val="000000" w:themeColor="text1"/>
        </w:rPr>
        <w:tab/>
        <w:t xml:space="preserve">Odmítne-li kupující bezdůvodně zboží převzít a podepsat dodací list, považuje se zboží za řádně dodané od okamžiku, kdy kupující odmítl bezdůvodně zboží převzít. V tomto okamžiku na kupujícího přechází nebezpečí škody na zboží stejně, jako kdyby zboží řádně převzal. O těchto skutečnostech musí být bezodkladně vyhotoven písemný protokol s vyjádřeními a podpisy zástupců smluvních stran. </w:t>
      </w:r>
    </w:p>
    <w:p w:rsidR="00BE04B6" w:rsidRPr="0097084E" w:rsidRDefault="00BE04B6" w:rsidP="00BE04B6">
      <w:pPr>
        <w:ind w:left="284" w:hanging="284"/>
        <w:jc w:val="both"/>
        <w:rPr>
          <w:color w:val="000000" w:themeColor="text1"/>
        </w:rPr>
      </w:pPr>
      <w:r w:rsidRPr="0097084E">
        <w:rPr>
          <w:color w:val="000000" w:themeColor="text1"/>
        </w:rPr>
        <w:t>5.</w:t>
      </w:r>
      <w:r w:rsidRPr="0097084E">
        <w:rPr>
          <w:color w:val="000000" w:themeColor="text1"/>
        </w:rPr>
        <w:tab/>
        <w:t>Prodávající je povinen provést montáž dodaného zboží do prostor, určených kupujícím v této smlouvě.</w:t>
      </w:r>
    </w:p>
    <w:p w:rsidR="00BE04B6" w:rsidRPr="0097084E" w:rsidRDefault="00BE04B6" w:rsidP="00BE04B6">
      <w:pPr>
        <w:ind w:left="284" w:hanging="284"/>
        <w:jc w:val="both"/>
        <w:rPr>
          <w:color w:val="000000" w:themeColor="text1"/>
        </w:rPr>
      </w:pPr>
      <w:r w:rsidRPr="0097084E">
        <w:rPr>
          <w:color w:val="000000" w:themeColor="text1"/>
        </w:rPr>
        <w:t>6.</w:t>
      </w:r>
      <w:r w:rsidRPr="0097084E">
        <w:rPr>
          <w:color w:val="000000" w:themeColor="text1"/>
        </w:rPr>
        <w:tab/>
        <w:t xml:space="preserve">Kupující se zavazuje poskytnout prodávajícímu veškerou potřebnou součinnost k provedení montáže. Při nesplnění této povinnosti odpovídá kupující za škodu tím vzniklou. </w:t>
      </w:r>
    </w:p>
    <w:p w:rsidR="00BE04B6" w:rsidRPr="0097084E" w:rsidRDefault="00BE04B6" w:rsidP="00BE04B6">
      <w:pPr>
        <w:jc w:val="center"/>
        <w:rPr>
          <w:color w:val="000000" w:themeColor="text1"/>
        </w:rPr>
      </w:pPr>
    </w:p>
    <w:p w:rsidR="00BE04B6" w:rsidRPr="0097084E" w:rsidRDefault="00BE04B6" w:rsidP="00BE04B6">
      <w:pPr>
        <w:jc w:val="center"/>
        <w:rPr>
          <w:b/>
          <w:bCs/>
          <w:color w:val="000000" w:themeColor="text1"/>
        </w:rPr>
      </w:pPr>
      <w:r w:rsidRPr="0097084E">
        <w:rPr>
          <w:b/>
          <w:bCs/>
          <w:color w:val="000000" w:themeColor="text1"/>
        </w:rPr>
        <w:t>Čl. VI. Záruky a prohlášení smluvních stran</w:t>
      </w:r>
    </w:p>
    <w:p w:rsidR="00BE04B6" w:rsidRPr="0097084E" w:rsidRDefault="00BE04B6" w:rsidP="00BE04B6">
      <w:pPr>
        <w:jc w:val="both"/>
        <w:rPr>
          <w:b/>
          <w:bCs/>
          <w:color w:val="000000" w:themeColor="text1"/>
        </w:rPr>
      </w:pPr>
    </w:p>
    <w:p w:rsidR="00BE04B6" w:rsidRPr="0097084E" w:rsidRDefault="00BE04B6" w:rsidP="00BE04B6">
      <w:pPr>
        <w:numPr>
          <w:ilvl w:val="0"/>
          <w:numId w:val="2"/>
        </w:numPr>
        <w:tabs>
          <w:tab w:val="num" w:pos="240"/>
        </w:tabs>
        <w:ind w:left="240" w:hanging="240"/>
        <w:jc w:val="both"/>
        <w:rPr>
          <w:color w:val="000000" w:themeColor="text1"/>
        </w:rPr>
      </w:pPr>
      <w:r w:rsidRPr="0097084E">
        <w:rPr>
          <w:color w:val="000000" w:themeColor="text1"/>
        </w:rPr>
        <w:t xml:space="preserve">Prodávající touto Smlouvou výslovně přejímá záruku za jakost dodaného zboží v délce </w:t>
      </w:r>
      <w:r w:rsidRPr="0097084E">
        <w:rPr>
          <w:b/>
          <w:color w:val="000000" w:themeColor="text1"/>
        </w:rPr>
        <w:t>24</w:t>
      </w:r>
      <w:r w:rsidR="00536D6A" w:rsidRPr="0097084E">
        <w:rPr>
          <w:b/>
          <w:bCs/>
          <w:color w:val="000000" w:themeColor="text1"/>
        </w:rPr>
        <w:t> </w:t>
      </w:r>
      <w:r w:rsidRPr="0097084E">
        <w:rPr>
          <w:b/>
          <w:bCs/>
          <w:color w:val="000000" w:themeColor="text1"/>
        </w:rPr>
        <w:t>měsíců</w:t>
      </w:r>
      <w:r w:rsidRPr="0097084E">
        <w:rPr>
          <w:color w:val="000000" w:themeColor="text1"/>
        </w:rPr>
        <w:t xml:space="preserve"> ode dne převzetí zboží kupujícím dle čl. V odst. 1 této Smlouvy. </w:t>
      </w:r>
    </w:p>
    <w:p w:rsidR="00BE04B6" w:rsidRPr="0097084E" w:rsidRDefault="00BE04B6" w:rsidP="00BE04B6">
      <w:pPr>
        <w:numPr>
          <w:ilvl w:val="0"/>
          <w:numId w:val="2"/>
        </w:numPr>
        <w:tabs>
          <w:tab w:val="num" w:pos="240"/>
        </w:tabs>
        <w:ind w:left="240" w:hanging="240"/>
        <w:jc w:val="both"/>
        <w:rPr>
          <w:color w:val="000000" w:themeColor="text1"/>
        </w:rPr>
      </w:pPr>
      <w:r w:rsidRPr="0097084E">
        <w:rPr>
          <w:color w:val="000000" w:themeColor="text1"/>
        </w:rPr>
        <w:t>Záruka se nevztahuje na běžné opotřebení zboží vzniklé jeho obvyklým užíváním a na součásti zboží, jejichž životnost je kratší než délka záruky. Záruka se dále nevztahuje na vady způsobené nesprávným užíváním zboží a dále na vady vzniklé působením živelní pohromy, požáru apod. Záruka se nevztahuje na mechanické poškození způsobené nesprávným nakládáním se zbožím nebo úmyslným poškozením zboží kupujícím či jinou osobou.</w:t>
      </w:r>
    </w:p>
    <w:p w:rsidR="00BE04B6" w:rsidRPr="0097084E" w:rsidRDefault="00BE04B6" w:rsidP="00BE04B6">
      <w:pPr>
        <w:numPr>
          <w:ilvl w:val="0"/>
          <w:numId w:val="2"/>
        </w:numPr>
        <w:tabs>
          <w:tab w:val="num" w:pos="240"/>
        </w:tabs>
        <w:ind w:left="240" w:hanging="240"/>
        <w:jc w:val="both"/>
        <w:rPr>
          <w:color w:val="000000" w:themeColor="text1"/>
        </w:rPr>
      </w:pPr>
      <w:r w:rsidRPr="0097084E">
        <w:rPr>
          <w:color w:val="000000" w:themeColor="text1"/>
        </w:rPr>
        <w:t xml:space="preserve">Kupující není oprávněn v průběhu záruční doby provádět na zboží žádné úpravy či opravy. Kupující bude po dobu záruky používat výhradně originální náhradní příslušenství a díly dodávané prodávajícím. Pokud by kupující použil jiné příslušenství nebo do zboží neoprávněně zasáhl, ztrácí nárok ze záruky prodávajícího. </w:t>
      </w:r>
    </w:p>
    <w:p w:rsidR="00BE04B6" w:rsidRPr="0097084E" w:rsidRDefault="00BE04B6" w:rsidP="00BE04B6">
      <w:pPr>
        <w:numPr>
          <w:ilvl w:val="0"/>
          <w:numId w:val="2"/>
        </w:numPr>
        <w:tabs>
          <w:tab w:val="num" w:pos="240"/>
        </w:tabs>
        <w:ind w:left="240" w:hanging="240"/>
        <w:jc w:val="both"/>
        <w:rPr>
          <w:color w:val="000000" w:themeColor="text1"/>
        </w:rPr>
      </w:pPr>
      <w:r w:rsidRPr="0097084E">
        <w:rPr>
          <w:color w:val="000000" w:themeColor="text1"/>
        </w:rPr>
        <w:t>Záruka se nevztahuje na vady, které se projeví během záruční lhůty v důsledku neodborného zacházení či nedostatku péče nebo zanedbání běžné údržby ze strany kupujícího či uživatele zboží, obsluhy zboží či jiné osoby, stejně tak za vady, které jsou způsobeny neodbornou manipulací uživatele zboží.</w:t>
      </w:r>
    </w:p>
    <w:p w:rsidR="00BE04B6" w:rsidRPr="0097084E" w:rsidRDefault="00BE04B6" w:rsidP="00BE04B6">
      <w:pPr>
        <w:numPr>
          <w:ilvl w:val="0"/>
          <w:numId w:val="2"/>
        </w:numPr>
        <w:tabs>
          <w:tab w:val="num" w:pos="240"/>
        </w:tabs>
        <w:ind w:left="240" w:hanging="240"/>
        <w:jc w:val="both"/>
        <w:rPr>
          <w:color w:val="000000" w:themeColor="text1"/>
        </w:rPr>
      </w:pPr>
      <w:r w:rsidRPr="0097084E">
        <w:rPr>
          <w:color w:val="000000" w:themeColor="text1"/>
        </w:rPr>
        <w:t>Kupující je povinen oznámit případnou vadu prodávajícímu bez zbytečného odkladu poté, co ji mohl při včasné prohlídce a dostatečné péči zjistit, u vady skryté nejpozději do konce záruční doby.</w:t>
      </w:r>
    </w:p>
    <w:p w:rsidR="00BE04B6" w:rsidRPr="0097084E" w:rsidRDefault="00BE04B6" w:rsidP="00BE04B6">
      <w:pPr>
        <w:jc w:val="center"/>
        <w:rPr>
          <w:b/>
          <w:bCs/>
          <w:color w:val="000000" w:themeColor="text1"/>
        </w:rPr>
      </w:pPr>
    </w:p>
    <w:p w:rsidR="00BE04B6" w:rsidRPr="0097084E" w:rsidRDefault="00BE04B6" w:rsidP="00BE04B6">
      <w:pPr>
        <w:jc w:val="center"/>
        <w:rPr>
          <w:b/>
          <w:bCs/>
          <w:color w:val="000000" w:themeColor="text1"/>
        </w:rPr>
      </w:pPr>
      <w:r w:rsidRPr="0097084E">
        <w:rPr>
          <w:b/>
          <w:bCs/>
          <w:color w:val="000000" w:themeColor="text1"/>
        </w:rPr>
        <w:t>Čl. VII. Servis</w:t>
      </w:r>
    </w:p>
    <w:p w:rsidR="00BE04B6" w:rsidRPr="0097084E" w:rsidRDefault="00BE04B6" w:rsidP="00BE04B6">
      <w:pPr>
        <w:jc w:val="center"/>
        <w:rPr>
          <w:b/>
          <w:bCs/>
          <w:color w:val="000000" w:themeColor="text1"/>
        </w:rPr>
      </w:pPr>
    </w:p>
    <w:p w:rsidR="00BE04B6" w:rsidRPr="0097084E" w:rsidRDefault="00BE04B6" w:rsidP="00536D6A">
      <w:pPr>
        <w:numPr>
          <w:ilvl w:val="0"/>
          <w:numId w:val="3"/>
        </w:numPr>
        <w:tabs>
          <w:tab w:val="num" w:pos="285"/>
        </w:tabs>
        <w:ind w:left="285" w:hanging="285"/>
        <w:jc w:val="both"/>
        <w:rPr>
          <w:color w:val="000000" w:themeColor="text1"/>
        </w:rPr>
      </w:pPr>
      <w:r w:rsidRPr="0097084E">
        <w:rPr>
          <w:color w:val="000000" w:themeColor="text1"/>
        </w:rPr>
        <w:t>Zjištěné vady v záruční době je kupující povinen oznámit prodávajícímu písemně bez zbytečného odkladu na e-mail: reklamace@promareha.cz a současně na tel. číslo: 775 776 137.</w:t>
      </w:r>
    </w:p>
    <w:p w:rsidR="00BE04B6" w:rsidRDefault="00BE04B6" w:rsidP="00BE04B6">
      <w:pPr>
        <w:jc w:val="center"/>
        <w:rPr>
          <w:b/>
          <w:bCs/>
          <w:color w:val="000000" w:themeColor="text1"/>
        </w:rPr>
      </w:pPr>
    </w:p>
    <w:p w:rsidR="002A1EE6" w:rsidRPr="0097084E" w:rsidRDefault="002A1EE6" w:rsidP="00BE04B6">
      <w:pPr>
        <w:jc w:val="center"/>
        <w:rPr>
          <w:b/>
          <w:bCs/>
          <w:color w:val="000000" w:themeColor="text1"/>
        </w:rPr>
      </w:pPr>
    </w:p>
    <w:p w:rsidR="00BE04B6" w:rsidRPr="0097084E" w:rsidRDefault="00BE04B6" w:rsidP="00BE04B6">
      <w:pPr>
        <w:jc w:val="center"/>
        <w:rPr>
          <w:b/>
          <w:bCs/>
          <w:color w:val="000000" w:themeColor="text1"/>
        </w:rPr>
      </w:pPr>
      <w:r w:rsidRPr="0097084E">
        <w:rPr>
          <w:b/>
          <w:bCs/>
          <w:color w:val="000000" w:themeColor="text1"/>
        </w:rPr>
        <w:t xml:space="preserve">Čl. VIII. Přechod vlastnictví </w:t>
      </w:r>
    </w:p>
    <w:p w:rsidR="00BE04B6" w:rsidRPr="0097084E" w:rsidRDefault="00BE04B6" w:rsidP="00BE04B6">
      <w:pPr>
        <w:jc w:val="center"/>
        <w:rPr>
          <w:b/>
          <w:bCs/>
          <w:color w:val="000000" w:themeColor="text1"/>
        </w:rPr>
      </w:pPr>
    </w:p>
    <w:p w:rsidR="00BE04B6" w:rsidRPr="0097084E" w:rsidRDefault="00BE04B6" w:rsidP="00BE04B6">
      <w:pPr>
        <w:jc w:val="both"/>
        <w:rPr>
          <w:color w:val="000000" w:themeColor="text1"/>
        </w:rPr>
      </w:pPr>
      <w:r w:rsidRPr="0097084E">
        <w:rPr>
          <w:color w:val="000000" w:themeColor="text1"/>
        </w:rPr>
        <w:t xml:space="preserve">K přechodu vlastnictví zboží na kupujícího dochází s odkazem na </w:t>
      </w:r>
      <w:proofErr w:type="spellStart"/>
      <w:r w:rsidRPr="0097084E">
        <w:rPr>
          <w:color w:val="000000" w:themeColor="text1"/>
        </w:rPr>
        <w:t>ust</w:t>
      </w:r>
      <w:proofErr w:type="spellEnd"/>
      <w:r w:rsidRPr="0097084E">
        <w:rPr>
          <w:color w:val="000000" w:themeColor="text1"/>
        </w:rPr>
        <w:t xml:space="preserve">. § </w:t>
      </w:r>
      <w:smartTag w:uri="urn:schemas-microsoft-com:office:smarttags" w:element="metricconverter">
        <w:smartTagPr>
          <w:attr w:name="ProductID" w:val="2132 OZ"/>
        </w:smartTagPr>
        <w:r w:rsidRPr="0097084E">
          <w:rPr>
            <w:color w:val="000000" w:themeColor="text1"/>
          </w:rPr>
          <w:t>2132 OZ</w:t>
        </w:r>
      </w:smartTag>
      <w:r w:rsidRPr="0097084E">
        <w:rPr>
          <w:color w:val="000000" w:themeColor="text1"/>
        </w:rPr>
        <w:t xml:space="preserve"> dnem úplné úhrady celé kupní ceny. Nebezpečí škody na zboží však přechází na kupující již dnem předání zboží.</w:t>
      </w:r>
    </w:p>
    <w:p w:rsidR="00BE04B6" w:rsidRPr="0097084E" w:rsidRDefault="00BE04B6" w:rsidP="00BE04B6">
      <w:pPr>
        <w:jc w:val="center"/>
        <w:rPr>
          <w:b/>
          <w:bCs/>
          <w:color w:val="000000" w:themeColor="text1"/>
        </w:rPr>
      </w:pPr>
      <w:r w:rsidRPr="0097084E">
        <w:rPr>
          <w:b/>
          <w:bCs/>
          <w:color w:val="000000" w:themeColor="text1"/>
        </w:rPr>
        <w:t>Čl. IX. Smluvní pokuty</w:t>
      </w:r>
    </w:p>
    <w:p w:rsidR="00BE04B6" w:rsidRPr="0097084E" w:rsidRDefault="00BE04B6" w:rsidP="00BE04B6">
      <w:pPr>
        <w:jc w:val="center"/>
        <w:rPr>
          <w:b/>
          <w:bCs/>
          <w:color w:val="000000" w:themeColor="text1"/>
        </w:rPr>
      </w:pPr>
    </w:p>
    <w:p w:rsidR="00BE04B6" w:rsidRPr="0097084E" w:rsidRDefault="00BE04B6" w:rsidP="00BE04B6">
      <w:pPr>
        <w:numPr>
          <w:ilvl w:val="0"/>
          <w:numId w:val="4"/>
        </w:numPr>
        <w:tabs>
          <w:tab w:val="num" w:pos="284"/>
        </w:tabs>
        <w:ind w:left="284"/>
        <w:jc w:val="both"/>
        <w:rPr>
          <w:color w:val="000000" w:themeColor="text1"/>
        </w:rPr>
      </w:pPr>
      <w:r w:rsidRPr="0097084E">
        <w:rPr>
          <w:color w:val="000000" w:themeColor="text1"/>
        </w:rPr>
        <w:t xml:space="preserve">Pro případ prodlení s úhradou ceny zboží se sjednává smluvní pokuta ve výši 0,01% z dlužné částky za každý den prodlení ve lhůtě do 30 dnů po splatnosti a ve výši 0,5%  z dlužné částky za každý den prodlení ve lhůtě delší než 30 dnů po splatnosti příslušného daňového dokladu. </w:t>
      </w:r>
    </w:p>
    <w:p w:rsidR="00BE04B6" w:rsidRPr="0097084E" w:rsidRDefault="00BE04B6" w:rsidP="00536D6A">
      <w:pPr>
        <w:numPr>
          <w:ilvl w:val="0"/>
          <w:numId w:val="4"/>
        </w:numPr>
        <w:tabs>
          <w:tab w:val="num" w:pos="284"/>
        </w:tabs>
        <w:ind w:left="284"/>
        <w:jc w:val="both"/>
        <w:rPr>
          <w:color w:val="000000" w:themeColor="text1"/>
        </w:rPr>
      </w:pPr>
      <w:r w:rsidRPr="0097084E">
        <w:rPr>
          <w:color w:val="000000" w:themeColor="text1"/>
        </w:rPr>
        <w:t xml:space="preserve"> Pro případ prodlení prodávajícího s plněním závazků z této Smlouvy ve sjednaných lhůtách plnění se sjednává smluvní pokuta ve výši 0,01% z ceny nedodané části předmětu plnění za každý den prodlení ve lhůtě do 30 dnů a ve výši 0,5% z ceny nedodané části předmětu plnění za každý den prodlení ve lhůtě delší než 30 dnů. </w:t>
      </w:r>
    </w:p>
    <w:p w:rsidR="00BE04B6" w:rsidRPr="0097084E" w:rsidRDefault="00BE04B6" w:rsidP="00BE04B6">
      <w:pPr>
        <w:numPr>
          <w:ilvl w:val="0"/>
          <w:numId w:val="4"/>
        </w:numPr>
        <w:tabs>
          <w:tab w:val="num" w:pos="284"/>
        </w:tabs>
        <w:ind w:left="284"/>
        <w:jc w:val="both"/>
        <w:rPr>
          <w:color w:val="000000" w:themeColor="text1"/>
        </w:rPr>
      </w:pPr>
      <w:r w:rsidRPr="0097084E">
        <w:rPr>
          <w:color w:val="000000" w:themeColor="text1"/>
        </w:rPr>
        <w:t xml:space="preserve">Smluvní pokuta je splatná ve lhůtě 14 dnů ode dne doručení jejího vyúčtování povinné smluvní straně. </w:t>
      </w:r>
    </w:p>
    <w:p w:rsidR="00BE04B6" w:rsidRPr="0097084E" w:rsidRDefault="00BE04B6" w:rsidP="00BE04B6">
      <w:pPr>
        <w:jc w:val="both"/>
        <w:rPr>
          <w:color w:val="000000" w:themeColor="text1"/>
        </w:rPr>
      </w:pPr>
    </w:p>
    <w:p w:rsidR="00BE04B6" w:rsidRPr="0097084E" w:rsidRDefault="00BE04B6" w:rsidP="00BE04B6">
      <w:pPr>
        <w:jc w:val="center"/>
        <w:rPr>
          <w:b/>
          <w:bCs/>
          <w:color w:val="000000" w:themeColor="text1"/>
        </w:rPr>
      </w:pPr>
      <w:r w:rsidRPr="0097084E">
        <w:rPr>
          <w:b/>
          <w:bCs/>
          <w:color w:val="000000" w:themeColor="text1"/>
        </w:rPr>
        <w:t>Čl. X. Ostatní ujednání</w:t>
      </w:r>
    </w:p>
    <w:p w:rsidR="00BE04B6" w:rsidRPr="0097084E" w:rsidRDefault="00BE04B6" w:rsidP="00BE04B6">
      <w:pPr>
        <w:jc w:val="both"/>
        <w:rPr>
          <w:b/>
          <w:bCs/>
          <w:color w:val="000000" w:themeColor="text1"/>
        </w:rPr>
      </w:pPr>
    </w:p>
    <w:p w:rsidR="00BE04B6" w:rsidRPr="0097084E" w:rsidRDefault="00BE04B6" w:rsidP="00BE04B6">
      <w:pPr>
        <w:tabs>
          <w:tab w:val="num" w:pos="284"/>
        </w:tabs>
        <w:jc w:val="both"/>
        <w:rPr>
          <w:color w:val="000000" w:themeColor="text1"/>
        </w:rPr>
      </w:pPr>
      <w:r w:rsidRPr="0097084E">
        <w:rPr>
          <w:color w:val="000000" w:themeColor="text1"/>
        </w:rPr>
        <w:t xml:space="preserve">Prodávající si vyhrazuje právo změny celkové ceny zakázky v návaznosti na změnu DPH, a to dle platné zákonné sazby DPH v době uskutečnění zdanitelného plnění v případě, že dojde před dodáním zboží ke změně zákonné výše DPH.  </w:t>
      </w:r>
    </w:p>
    <w:p w:rsidR="00BE04B6" w:rsidRPr="0097084E" w:rsidRDefault="00BE04B6" w:rsidP="00BE04B6">
      <w:pPr>
        <w:jc w:val="both"/>
        <w:rPr>
          <w:color w:val="000000" w:themeColor="text1"/>
        </w:rPr>
      </w:pPr>
    </w:p>
    <w:p w:rsidR="00BE04B6" w:rsidRPr="0097084E" w:rsidRDefault="00BE04B6" w:rsidP="00BE04B6">
      <w:pPr>
        <w:jc w:val="center"/>
        <w:rPr>
          <w:b/>
          <w:bCs/>
          <w:color w:val="000000" w:themeColor="text1"/>
        </w:rPr>
      </w:pPr>
      <w:r w:rsidRPr="0097084E">
        <w:rPr>
          <w:b/>
          <w:bCs/>
          <w:color w:val="000000" w:themeColor="text1"/>
        </w:rPr>
        <w:t>Čl. XI. Závěrečná ustanovení</w:t>
      </w:r>
    </w:p>
    <w:p w:rsidR="00BE04B6" w:rsidRPr="0097084E" w:rsidRDefault="00BE04B6" w:rsidP="00BE04B6">
      <w:pPr>
        <w:jc w:val="both"/>
        <w:rPr>
          <w:b/>
          <w:bCs/>
          <w:color w:val="000000" w:themeColor="text1"/>
        </w:rPr>
      </w:pPr>
    </w:p>
    <w:p w:rsidR="00BE04B6" w:rsidRPr="0097084E" w:rsidRDefault="00BE04B6" w:rsidP="00BE04B6">
      <w:pPr>
        <w:numPr>
          <w:ilvl w:val="1"/>
          <w:numId w:val="5"/>
        </w:numPr>
        <w:tabs>
          <w:tab w:val="num" w:pos="284"/>
        </w:tabs>
        <w:ind w:left="284"/>
        <w:jc w:val="both"/>
        <w:rPr>
          <w:color w:val="000000" w:themeColor="text1"/>
        </w:rPr>
      </w:pPr>
      <w:r w:rsidRPr="0097084E">
        <w:rPr>
          <w:color w:val="000000" w:themeColor="text1"/>
        </w:rPr>
        <w:t xml:space="preserve">Vztahy neupravené výslovně touto Smlouvou se řídí </w:t>
      </w:r>
      <w:proofErr w:type="spellStart"/>
      <w:r w:rsidRPr="0097084E">
        <w:rPr>
          <w:color w:val="000000" w:themeColor="text1"/>
        </w:rPr>
        <w:t>zák</w:t>
      </w:r>
      <w:proofErr w:type="spellEnd"/>
      <w:r w:rsidRPr="0097084E">
        <w:rPr>
          <w:color w:val="000000" w:themeColor="text1"/>
        </w:rPr>
        <w:t xml:space="preserve">, č. 89/2012 Sb., občanský zákoník, ve znění pozdějších předpisů. </w:t>
      </w:r>
    </w:p>
    <w:p w:rsidR="00BE04B6" w:rsidRPr="0097084E" w:rsidRDefault="00BE04B6" w:rsidP="00BE04B6">
      <w:pPr>
        <w:numPr>
          <w:ilvl w:val="0"/>
          <w:numId w:val="5"/>
        </w:numPr>
        <w:tabs>
          <w:tab w:val="num" w:pos="284"/>
        </w:tabs>
        <w:jc w:val="both"/>
        <w:rPr>
          <w:color w:val="000000" w:themeColor="text1"/>
        </w:rPr>
      </w:pPr>
      <w:r w:rsidRPr="0097084E">
        <w:rPr>
          <w:color w:val="000000" w:themeColor="text1"/>
        </w:rPr>
        <w:t>Tato smlouva se vyhotovuje ve dvou stejnopisech, z nichž každá strana obdrží po jednom vyhotovení.</w:t>
      </w:r>
    </w:p>
    <w:p w:rsidR="00BE04B6" w:rsidRPr="0097084E" w:rsidRDefault="00BE04B6" w:rsidP="00BE04B6">
      <w:pPr>
        <w:numPr>
          <w:ilvl w:val="0"/>
          <w:numId w:val="5"/>
        </w:numPr>
        <w:tabs>
          <w:tab w:val="num" w:pos="284"/>
        </w:tabs>
        <w:jc w:val="both"/>
        <w:rPr>
          <w:color w:val="000000" w:themeColor="text1"/>
        </w:rPr>
      </w:pPr>
      <w:r w:rsidRPr="0097084E">
        <w:rPr>
          <w:color w:val="000000" w:themeColor="text1"/>
        </w:rPr>
        <w:t>Jakékoli změny této smlouvy jsou možné pouze formou písemných číslovaných dodatků, podepsaných oběma stranami.</w:t>
      </w:r>
    </w:p>
    <w:p w:rsidR="00BE04B6" w:rsidRPr="0097084E" w:rsidRDefault="00BE04B6" w:rsidP="00BE04B6">
      <w:pPr>
        <w:numPr>
          <w:ilvl w:val="0"/>
          <w:numId w:val="5"/>
        </w:numPr>
        <w:jc w:val="both"/>
        <w:rPr>
          <w:color w:val="000000" w:themeColor="text1"/>
        </w:rPr>
      </w:pPr>
      <w:r w:rsidRPr="0097084E">
        <w:rPr>
          <w:color w:val="000000" w:themeColor="text1"/>
        </w:rPr>
        <w:t>Kupující je povinným subjektem podle zákona č. 340/2015 Sb., o zvláštních podmínkách účinnosti některých smluv, uveřejňování těchto smluv a o registru smluv (zákon o registru smluv). Zveřejnění v Registru smluv provede kupující bez zbytečného odkladu po podpisu Smlouvy oběma smluvními stranami.</w:t>
      </w:r>
    </w:p>
    <w:p w:rsidR="00BE04B6" w:rsidRPr="0097084E" w:rsidRDefault="00BE04B6" w:rsidP="00BE04B6">
      <w:pPr>
        <w:numPr>
          <w:ilvl w:val="0"/>
          <w:numId w:val="5"/>
        </w:numPr>
        <w:tabs>
          <w:tab w:val="num" w:pos="284"/>
        </w:tabs>
        <w:jc w:val="both"/>
        <w:rPr>
          <w:color w:val="000000" w:themeColor="text1"/>
        </w:rPr>
      </w:pPr>
      <w:r w:rsidRPr="0097084E">
        <w:rPr>
          <w:color w:val="000000" w:themeColor="text1"/>
        </w:rPr>
        <w:t>Smluvní strany prohlašují, že obsah Smlouvy není předmětem obchodního tajemství.</w:t>
      </w:r>
    </w:p>
    <w:p w:rsidR="00BE04B6" w:rsidRPr="0097084E" w:rsidRDefault="00BE04B6" w:rsidP="00BE04B6">
      <w:pPr>
        <w:numPr>
          <w:ilvl w:val="0"/>
          <w:numId w:val="5"/>
        </w:numPr>
        <w:tabs>
          <w:tab w:val="num" w:pos="284"/>
        </w:tabs>
        <w:jc w:val="both"/>
        <w:rPr>
          <w:color w:val="000000" w:themeColor="text1"/>
        </w:rPr>
      </w:pPr>
      <w:r w:rsidRPr="0097084E">
        <w:rPr>
          <w:color w:val="000000" w:themeColor="text1"/>
        </w:rPr>
        <w:t xml:space="preserve">Smluvní strany prohlašují, že tato Smlouva je výrazem jejich pravé a svobodné vůle, že si smlouvu řádně přečetly a v této podobě s ní souhlasí. Na důkaz toho připojují své podpisy. </w:t>
      </w:r>
    </w:p>
    <w:p w:rsidR="00BE04B6" w:rsidRPr="0097084E" w:rsidRDefault="00BE04B6" w:rsidP="00BE04B6">
      <w:pPr>
        <w:numPr>
          <w:ilvl w:val="0"/>
          <w:numId w:val="5"/>
        </w:numPr>
        <w:tabs>
          <w:tab w:val="num" w:pos="284"/>
        </w:tabs>
        <w:rPr>
          <w:color w:val="000000" w:themeColor="text1"/>
        </w:rPr>
      </w:pPr>
      <w:r w:rsidRPr="0097084E">
        <w:rPr>
          <w:color w:val="000000" w:themeColor="text1"/>
        </w:rPr>
        <w:t xml:space="preserve">Tato Smlouva nabývá platnosti a účinnosti dnem podpisu obou smluvních stran. </w:t>
      </w:r>
    </w:p>
    <w:p w:rsidR="00BE04B6" w:rsidRPr="0097084E" w:rsidRDefault="00BE04B6" w:rsidP="00BE04B6">
      <w:pPr>
        <w:rPr>
          <w:color w:val="000000" w:themeColor="text1"/>
        </w:rPr>
      </w:pPr>
    </w:p>
    <w:p w:rsidR="00BE04B6" w:rsidRPr="0097084E" w:rsidRDefault="00BE04B6" w:rsidP="00BE04B6">
      <w:pPr>
        <w:jc w:val="both"/>
        <w:rPr>
          <w:color w:val="000000" w:themeColor="text1"/>
          <w:highlight w:val="yellow"/>
        </w:rPr>
      </w:pPr>
      <w:r w:rsidRPr="0097084E">
        <w:rPr>
          <w:color w:val="000000" w:themeColor="text1"/>
        </w:rPr>
        <w:t xml:space="preserve">Přílohy: Příloha č. 1 – </w:t>
      </w:r>
      <w:r w:rsidR="00536D6A" w:rsidRPr="0097084E">
        <w:rPr>
          <w:color w:val="000000" w:themeColor="text1"/>
        </w:rPr>
        <w:t>S</w:t>
      </w:r>
      <w:r w:rsidRPr="0097084E">
        <w:rPr>
          <w:color w:val="000000" w:themeColor="text1"/>
        </w:rPr>
        <w:t>pecifikace zboží</w:t>
      </w: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rPr>
      </w:pPr>
      <w:r w:rsidRPr="0097084E">
        <w:rPr>
          <w:color w:val="000000" w:themeColor="text1"/>
        </w:rPr>
        <w:t>V</w:t>
      </w:r>
      <w:r w:rsidR="00536D6A" w:rsidRPr="0097084E">
        <w:rPr>
          <w:color w:val="000000" w:themeColor="text1"/>
        </w:rPr>
        <w:t> Horní Bříze</w:t>
      </w:r>
      <w:r w:rsidRPr="0097084E">
        <w:rPr>
          <w:color w:val="000000" w:themeColor="text1"/>
        </w:rPr>
        <w:t xml:space="preserve"> dne</w:t>
      </w:r>
      <w:r w:rsidRPr="0097084E">
        <w:rPr>
          <w:color w:val="000000" w:themeColor="text1"/>
        </w:rPr>
        <w:tab/>
      </w:r>
      <w:r w:rsidRPr="0097084E">
        <w:rPr>
          <w:color w:val="000000" w:themeColor="text1"/>
        </w:rPr>
        <w:tab/>
      </w:r>
      <w:r w:rsidRPr="0097084E">
        <w:rPr>
          <w:color w:val="000000" w:themeColor="text1"/>
        </w:rPr>
        <w:tab/>
      </w:r>
      <w:r w:rsidRPr="0097084E">
        <w:rPr>
          <w:color w:val="000000" w:themeColor="text1"/>
        </w:rPr>
        <w:tab/>
      </w:r>
      <w:r w:rsidRPr="0097084E">
        <w:rPr>
          <w:color w:val="000000" w:themeColor="text1"/>
        </w:rPr>
        <w:tab/>
      </w:r>
      <w:r w:rsidRPr="0097084E">
        <w:rPr>
          <w:color w:val="000000" w:themeColor="text1"/>
        </w:rPr>
        <w:tab/>
        <w:t xml:space="preserve">V České Skalici dne </w:t>
      </w: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shd w:val="solid" w:color="FFFF00" w:fill="FFFF00"/>
        </w:rPr>
      </w:pPr>
    </w:p>
    <w:p w:rsidR="00BE04B6" w:rsidRPr="0097084E" w:rsidRDefault="00BE04B6" w:rsidP="00BE04B6">
      <w:pPr>
        <w:jc w:val="both"/>
        <w:rPr>
          <w:color w:val="000000" w:themeColor="text1"/>
        </w:rPr>
      </w:pPr>
      <w:r w:rsidRPr="0097084E">
        <w:rPr>
          <w:color w:val="000000" w:themeColor="text1"/>
        </w:rPr>
        <w:t>……………………………………….</w:t>
      </w:r>
      <w:r w:rsidRPr="0097084E">
        <w:rPr>
          <w:color w:val="000000" w:themeColor="text1"/>
        </w:rPr>
        <w:tab/>
      </w:r>
      <w:r w:rsidRPr="0097084E">
        <w:rPr>
          <w:color w:val="000000" w:themeColor="text1"/>
        </w:rPr>
        <w:tab/>
        <w:t xml:space="preserve">           ……………………………………</w:t>
      </w:r>
    </w:p>
    <w:p w:rsidR="00BE04B6" w:rsidRPr="0097084E" w:rsidRDefault="00BE04B6" w:rsidP="00BE04B6">
      <w:pPr>
        <w:jc w:val="both"/>
        <w:rPr>
          <w:color w:val="000000" w:themeColor="text1"/>
        </w:rPr>
      </w:pPr>
      <w:r w:rsidRPr="0097084E">
        <w:rPr>
          <w:color w:val="000000" w:themeColor="text1"/>
        </w:rPr>
        <w:tab/>
      </w:r>
      <w:r w:rsidR="00536D6A" w:rsidRPr="0097084E">
        <w:rPr>
          <w:color w:val="000000" w:themeColor="text1"/>
        </w:rPr>
        <w:t xml:space="preserve">           </w:t>
      </w:r>
      <w:r w:rsidRPr="0097084E">
        <w:rPr>
          <w:color w:val="000000" w:themeColor="text1"/>
        </w:rPr>
        <w:t>kupující</w:t>
      </w:r>
      <w:r w:rsidRPr="0097084E">
        <w:rPr>
          <w:color w:val="000000" w:themeColor="text1"/>
        </w:rPr>
        <w:tab/>
      </w:r>
      <w:r w:rsidRPr="0097084E">
        <w:rPr>
          <w:color w:val="000000" w:themeColor="text1"/>
        </w:rPr>
        <w:tab/>
      </w:r>
      <w:r w:rsidRPr="0097084E">
        <w:rPr>
          <w:color w:val="000000" w:themeColor="text1"/>
        </w:rPr>
        <w:tab/>
      </w:r>
      <w:r w:rsidRPr="0097084E">
        <w:rPr>
          <w:color w:val="000000" w:themeColor="text1"/>
        </w:rPr>
        <w:tab/>
      </w:r>
      <w:r w:rsidRPr="0097084E">
        <w:rPr>
          <w:color w:val="000000" w:themeColor="text1"/>
        </w:rPr>
        <w:tab/>
      </w:r>
      <w:r w:rsidR="00536D6A" w:rsidRPr="0097084E">
        <w:rPr>
          <w:color w:val="000000" w:themeColor="text1"/>
        </w:rPr>
        <w:t xml:space="preserve">             </w:t>
      </w:r>
      <w:r w:rsidRPr="0097084E">
        <w:rPr>
          <w:color w:val="000000" w:themeColor="text1"/>
        </w:rPr>
        <w:t xml:space="preserve">    prodávající</w:t>
      </w:r>
    </w:p>
    <w:p w:rsidR="00536D6A" w:rsidRPr="0097084E" w:rsidRDefault="00536D6A" w:rsidP="00BE04B6">
      <w:pPr>
        <w:jc w:val="both"/>
        <w:rPr>
          <w:color w:val="000000" w:themeColor="text1"/>
        </w:rPr>
      </w:pPr>
    </w:p>
    <w:p w:rsidR="00536D6A" w:rsidRPr="0097084E" w:rsidRDefault="00536D6A" w:rsidP="00536D6A">
      <w:pPr>
        <w:jc w:val="both"/>
        <w:rPr>
          <w:color w:val="000000" w:themeColor="text1"/>
        </w:rPr>
      </w:pPr>
      <w:r w:rsidRPr="0097084E">
        <w:rPr>
          <w:color w:val="000000" w:themeColor="text1"/>
        </w:rPr>
        <w:t xml:space="preserve">   </w:t>
      </w:r>
      <w:r w:rsidRPr="0097084E">
        <w:rPr>
          <w:color w:val="000000" w:themeColor="text1"/>
        </w:rPr>
        <w:tab/>
        <w:t xml:space="preserve">    </w:t>
      </w:r>
      <w:r w:rsidRPr="0097084E">
        <w:rPr>
          <w:b/>
          <w:color w:val="000000" w:themeColor="text1"/>
        </w:rPr>
        <w:t>Mgr. Jiří Horník</w:t>
      </w:r>
      <w:r w:rsidR="00BE04B6" w:rsidRPr="0097084E">
        <w:rPr>
          <w:color w:val="000000" w:themeColor="text1"/>
        </w:rPr>
        <w:tab/>
      </w:r>
      <w:r w:rsidRPr="0097084E">
        <w:rPr>
          <w:color w:val="000000" w:themeColor="text1"/>
        </w:rPr>
        <w:t xml:space="preserve">          </w:t>
      </w:r>
      <w:r w:rsidRPr="0097084E">
        <w:rPr>
          <w:color w:val="000000" w:themeColor="text1"/>
        </w:rPr>
        <w:tab/>
      </w:r>
      <w:r w:rsidRPr="0097084E">
        <w:rPr>
          <w:color w:val="000000" w:themeColor="text1"/>
        </w:rPr>
        <w:tab/>
      </w:r>
      <w:r w:rsidRPr="0097084E">
        <w:rPr>
          <w:color w:val="000000" w:themeColor="text1"/>
        </w:rPr>
        <w:tab/>
      </w:r>
      <w:r w:rsidRPr="0097084E">
        <w:rPr>
          <w:color w:val="000000" w:themeColor="text1"/>
        </w:rPr>
        <w:tab/>
      </w:r>
      <w:r w:rsidRPr="0097084E">
        <w:rPr>
          <w:color w:val="000000" w:themeColor="text1"/>
        </w:rPr>
        <w:tab/>
        <w:t xml:space="preserve">   </w:t>
      </w:r>
      <w:r w:rsidR="00BE04B6" w:rsidRPr="0097084E">
        <w:rPr>
          <w:color w:val="000000" w:themeColor="text1"/>
        </w:rPr>
        <w:t xml:space="preserve"> </w:t>
      </w:r>
      <w:r w:rsidRPr="0097084E">
        <w:rPr>
          <w:color w:val="000000" w:themeColor="text1"/>
        </w:rPr>
        <w:t xml:space="preserve"> </w:t>
      </w:r>
      <w:r w:rsidRPr="0097084E">
        <w:rPr>
          <w:b/>
          <w:color w:val="000000" w:themeColor="text1"/>
        </w:rPr>
        <w:t>Petr Buchar</w:t>
      </w:r>
    </w:p>
    <w:p w:rsidR="00CD3038" w:rsidRDefault="00536D6A" w:rsidP="00536D6A">
      <w:pPr>
        <w:jc w:val="both"/>
        <w:rPr>
          <w:color w:val="000000" w:themeColor="text1"/>
        </w:rPr>
      </w:pPr>
      <w:r w:rsidRPr="0097084E">
        <w:rPr>
          <w:color w:val="000000" w:themeColor="text1"/>
        </w:rPr>
        <w:t xml:space="preserve">          </w:t>
      </w:r>
      <w:r w:rsidRPr="0097084E">
        <w:rPr>
          <w:color w:val="000000" w:themeColor="text1"/>
        </w:rPr>
        <w:tab/>
        <w:t xml:space="preserve">     ředitel domova                                                            </w:t>
      </w:r>
      <w:r w:rsidR="00BE04B6" w:rsidRPr="0097084E">
        <w:rPr>
          <w:color w:val="000000" w:themeColor="text1"/>
        </w:rPr>
        <w:t>vedoucí obchodu pro ČR</w:t>
      </w:r>
    </w:p>
    <w:p w:rsidR="0097084E" w:rsidRPr="0097084E" w:rsidRDefault="0097084E" w:rsidP="0097084E">
      <w:pPr>
        <w:rPr>
          <w:b/>
        </w:rPr>
      </w:pPr>
      <w:r w:rsidRPr="0097084E">
        <w:rPr>
          <w:b/>
        </w:rPr>
        <w:t>Příloha č. 1 – Specifikace zboží</w:t>
      </w:r>
    </w:p>
    <w:p w:rsidR="0097084E" w:rsidRDefault="0097084E" w:rsidP="00536D6A">
      <w:pPr>
        <w:jc w:val="both"/>
        <w:rPr>
          <w:color w:val="000000" w:themeColor="text1"/>
        </w:rPr>
      </w:pPr>
    </w:p>
    <w:p w:rsidR="001D5974" w:rsidRDefault="001D5974" w:rsidP="00536D6A">
      <w:pPr>
        <w:jc w:val="both"/>
        <w:rPr>
          <w:color w:val="000000" w:themeColor="text1"/>
        </w:rPr>
      </w:pPr>
    </w:p>
    <w:p w:rsidR="001D5974" w:rsidRDefault="001D5974" w:rsidP="00536D6A">
      <w:pPr>
        <w:jc w:val="both"/>
        <w:rPr>
          <w:color w:val="000000" w:themeColor="text1"/>
        </w:rPr>
      </w:pPr>
    </w:p>
    <w:p w:rsidR="0097084E" w:rsidRDefault="0097084E" w:rsidP="00536D6A">
      <w:pPr>
        <w:jc w:val="both"/>
        <w:rPr>
          <w:color w:val="000000" w:themeColor="text1"/>
        </w:rPr>
      </w:pPr>
    </w:p>
    <w:tbl>
      <w:tblPr>
        <w:tblW w:w="9252" w:type="dxa"/>
        <w:tblLayout w:type="fixed"/>
        <w:tblCellMar>
          <w:left w:w="70" w:type="dxa"/>
          <w:right w:w="70" w:type="dxa"/>
        </w:tblCellMar>
        <w:tblLook w:val="04A0" w:firstRow="1" w:lastRow="0" w:firstColumn="1" w:lastColumn="0" w:noHBand="0" w:noVBand="1"/>
      </w:tblPr>
      <w:tblGrid>
        <w:gridCol w:w="587"/>
        <w:gridCol w:w="3373"/>
        <w:gridCol w:w="997"/>
        <w:gridCol w:w="1275"/>
        <w:gridCol w:w="670"/>
        <w:gridCol w:w="986"/>
        <w:gridCol w:w="1364"/>
      </w:tblGrid>
      <w:tr w:rsidR="00203F6C" w:rsidRPr="0097084E" w:rsidTr="00203F6C">
        <w:trPr>
          <w:trHeight w:val="746"/>
        </w:trPr>
        <w:tc>
          <w:tcPr>
            <w:tcW w:w="587" w:type="dxa"/>
            <w:tcBorders>
              <w:top w:val="single" w:sz="8" w:space="0" w:color="auto"/>
              <w:left w:val="single" w:sz="4" w:space="0" w:color="auto"/>
              <w:bottom w:val="single" w:sz="8" w:space="0" w:color="auto"/>
              <w:right w:val="single" w:sz="4" w:space="0" w:color="auto"/>
            </w:tcBorders>
            <w:shd w:val="clear" w:color="000000" w:fill="DCE6F1"/>
            <w:vAlign w:val="bottom"/>
            <w:hideMark/>
          </w:tcPr>
          <w:p w:rsidR="0097084E" w:rsidRPr="0097084E" w:rsidRDefault="0097084E" w:rsidP="0097084E">
            <w:pPr>
              <w:jc w:val="center"/>
              <w:rPr>
                <w:rFonts w:ascii="Arial CE" w:hAnsi="Arial CE" w:cs="Arial"/>
                <w:b/>
                <w:bCs/>
                <w:color w:val="auto"/>
                <w:sz w:val="16"/>
                <w:szCs w:val="16"/>
              </w:rPr>
            </w:pPr>
            <w:r w:rsidRPr="0097084E">
              <w:rPr>
                <w:rFonts w:ascii="Arial CE" w:hAnsi="Arial CE" w:cs="Arial"/>
                <w:b/>
                <w:bCs/>
                <w:color w:val="auto"/>
                <w:sz w:val="16"/>
                <w:szCs w:val="16"/>
              </w:rPr>
              <w:t xml:space="preserve">Počet </w:t>
            </w:r>
            <w:r w:rsidRPr="0097084E">
              <w:rPr>
                <w:rFonts w:ascii="Arial CE" w:hAnsi="Arial CE" w:cs="Arial"/>
                <w:b/>
                <w:bCs/>
                <w:color w:val="auto"/>
                <w:sz w:val="16"/>
                <w:szCs w:val="16"/>
              </w:rPr>
              <w:br/>
              <w:t>[ks]</w:t>
            </w:r>
          </w:p>
        </w:tc>
        <w:tc>
          <w:tcPr>
            <w:tcW w:w="3373" w:type="dxa"/>
            <w:tcBorders>
              <w:top w:val="single" w:sz="8" w:space="0" w:color="auto"/>
              <w:left w:val="nil"/>
              <w:bottom w:val="single" w:sz="8" w:space="0" w:color="auto"/>
              <w:right w:val="single" w:sz="4" w:space="0" w:color="auto"/>
            </w:tcBorders>
            <w:shd w:val="clear" w:color="000000" w:fill="DCE6F1"/>
            <w:noWrap/>
            <w:vAlign w:val="bottom"/>
            <w:hideMark/>
          </w:tcPr>
          <w:p w:rsidR="0097084E" w:rsidRPr="0097084E" w:rsidRDefault="0097084E" w:rsidP="0097084E">
            <w:pPr>
              <w:jc w:val="center"/>
              <w:rPr>
                <w:rFonts w:ascii="Arial CE" w:hAnsi="Arial CE" w:cs="Arial"/>
                <w:b/>
                <w:bCs/>
                <w:color w:val="auto"/>
                <w:sz w:val="16"/>
                <w:szCs w:val="16"/>
              </w:rPr>
            </w:pPr>
            <w:r w:rsidRPr="0097084E">
              <w:rPr>
                <w:rFonts w:ascii="Arial CE" w:hAnsi="Arial CE" w:cs="Arial"/>
                <w:b/>
                <w:bCs/>
                <w:color w:val="auto"/>
                <w:sz w:val="16"/>
                <w:szCs w:val="16"/>
              </w:rPr>
              <w:t>Název</w:t>
            </w:r>
          </w:p>
        </w:tc>
        <w:tc>
          <w:tcPr>
            <w:tcW w:w="997" w:type="dxa"/>
            <w:tcBorders>
              <w:top w:val="single" w:sz="8" w:space="0" w:color="auto"/>
              <w:left w:val="nil"/>
              <w:bottom w:val="single" w:sz="8" w:space="0" w:color="auto"/>
              <w:right w:val="single" w:sz="4" w:space="0" w:color="auto"/>
            </w:tcBorders>
            <w:shd w:val="clear" w:color="000000" w:fill="DCE6F1"/>
            <w:vAlign w:val="bottom"/>
            <w:hideMark/>
          </w:tcPr>
          <w:p w:rsidR="0097084E" w:rsidRPr="0097084E" w:rsidRDefault="0097084E" w:rsidP="0097084E">
            <w:pPr>
              <w:jc w:val="center"/>
              <w:rPr>
                <w:rFonts w:ascii="Arial CE" w:hAnsi="Arial CE" w:cs="Arial"/>
                <w:b/>
                <w:bCs/>
                <w:color w:val="auto"/>
                <w:sz w:val="16"/>
                <w:szCs w:val="16"/>
              </w:rPr>
            </w:pPr>
            <w:r w:rsidRPr="0097084E">
              <w:rPr>
                <w:rFonts w:ascii="Arial CE" w:hAnsi="Arial CE" w:cs="Arial"/>
                <w:b/>
                <w:bCs/>
                <w:color w:val="auto"/>
                <w:sz w:val="16"/>
                <w:szCs w:val="16"/>
              </w:rPr>
              <w:t xml:space="preserve">Cena / ks </w:t>
            </w:r>
            <w:r w:rsidRPr="0097084E">
              <w:rPr>
                <w:rFonts w:ascii="Arial CE" w:hAnsi="Arial CE" w:cs="Arial"/>
                <w:b/>
                <w:bCs/>
                <w:color w:val="auto"/>
                <w:sz w:val="16"/>
                <w:szCs w:val="16"/>
              </w:rPr>
              <w:br/>
            </w:r>
            <w:r w:rsidRPr="0097084E">
              <w:rPr>
                <w:rFonts w:ascii="Arial CE" w:hAnsi="Arial CE" w:cs="Arial"/>
                <w:b/>
                <w:bCs/>
                <w:color w:val="auto"/>
                <w:sz w:val="16"/>
                <w:szCs w:val="16"/>
              </w:rPr>
              <w:br/>
              <w:t>[Kč]</w:t>
            </w:r>
          </w:p>
        </w:tc>
        <w:tc>
          <w:tcPr>
            <w:tcW w:w="1275" w:type="dxa"/>
            <w:tcBorders>
              <w:top w:val="single" w:sz="8" w:space="0" w:color="auto"/>
              <w:left w:val="nil"/>
              <w:bottom w:val="single" w:sz="8" w:space="0" w:color="auto"/>
              <w:right w:val="single" w:sz="4" w:space="0" w:color="auto"/>
            </w:tcBorders>
            <w:shd w:val="clear" w:color="000000" w:fill="DCE6F1"/>
            <w:vAlign w:val="bottom"/>
            <w:hideMark/>
          </w:tcPr>
          <w:p w:rsidR="0097084E" w:rsidRPr="0097084E" w:rsidRDefault="0097084E" w:rsidP="0097084E">
            <w:pPr>
              <w:jc w:val="center"/>
              <w:rPr>
                <w:rFonts w:ascii="Arial CE" w:hAnsi="Arial CE" w:cs="Arial"/>
                <w:b/>
                <w:bCs/>
                <w:color w:val="auto"/>
                <w:sz w:val="16"/>
                <w:szCs w:val="16"/>
              </w:rPr>
            </w:pPr>
            <w:r w:rsidRPr="0097084E">
              <w:rPr>
                <w:rFonts w:ascii="Arial CE" w:hAnsi="Arial CE" w:cs="Arial"/>
                <w:b/>
                <w:bCs/>
                <w:color w:val="auto"/>
                <w:sz w:val="16"/>
                <w:szCs w:val="16"/>
              </w:rPr>
              <w:t xml:space="preserve">Cena celkem </w:t>
            </w:r>
            <w:r w:rsidRPr="0097084E">
              <w:rPr>
                <w:rFonts w:ascii="Arial CE" w:hAnsi="Arial CE" w:cs="Arial"/>
                <w:b/>
                <w:bCs/>
                <w:color w:val="auto"/>
                <w:sz w:val="16"/>
                <w:szCs w:val="16"/>
              </w:rPr>
              <w:br/>
              <w:t>bez DPH</w:t>
            </w:r>
            <w:r w:rsidRPr="0097084E">
              <w:rPr>
                <w:rFonts w:ascii="Arial CE" w:hAnsi="Arial CE" w:cs="Arial"/>
                <w:b/>
                <w:bCs/>
                <w:color w:val="auto"/>
                <w:sz w:val="16"/>
                <w:szCs w:val="16"/>
              </w:rPr>
              <w:br/>
              <w:t>[Kč]</w:t>
            </w:r>
          </w:p>
        </w:tc>
        <w:tc>
          <w:tcPr>
            <w:tcW w:w="670" w:type="dxa"/>
            <w:tcBorders>
              <w:top w:val="single" w:sz="8" w:space="0" w:color="auto"/>
              <w:left w:val="nil"/>
              <w:bottom w:val="single" w:sz="8" w:space="0" w:color="auto"/>
              <w:right w:val="single" w:sz="4" w:space="0" w:color="auto"/>
            </w:tcBorders>
            <w:shd w:val="clear" w:color="000000" w:fill="DCE6F1"/>
            <w:vAlign w:val="bottom"/>
            <w:hideMark/>
          </w:tcPr>
          <w:p w:rsidR="0097084E" w:rsidRPr="0097084E" w:rsidRDefault="00203F6C" w:rsidP="0097084E">
            <w:pPr>
              <w:jc w:val="center"/>
              <w:rPr>
                <w:rFonts w:ascii="Arial CE" w:hAnsi="Arial CE" w:cs="Arial"/>
                <w:b/>
                <w:bCs/>
                <w:color w:val="auto"/>
                <w:sz w:val="16"/>
                <w:szCs w:val="16"/>
              </w:rPr>
            </w:pPr>
            <w:r>
              <w:rPr>
                <w:rFonts w:ascii="Arial CE" w:hAnsi="Arial CE" w:cs="Arial"/>
                <w:b/>
                <w:bCs/>
                <w:color w:val="auto"/>
                <w:sz w:val="16"/>
                <w:szCs w:val="16"/>
              </w:rPr>
              <w:t>Sazba</w:t>
            </w:r>
            <w:r w:rsidR="0097084E" w:rsidRPr="0097084E">
              <w:rPr>
                <w:rFonts w:ascii="Arial CE" w:hAnsi="Arial CE" w:cs="Arial"/>
                <w:b/>
                <w:bCs/>
                <w:color w:val="auto"/>
                <w:sz w:val="16"/>
                <w:szCs w:val="16"/>
              </w:rPr>
              <w:br/>
              <w:t>DPH</w:t>
            </w:r>
            <w:r w:rsidR="0097084E" w:rsidRPr="0097084E">
              <w:rPr>
                <w:rFonts w:ascii="Arial CE" w:hAnsi="Arial CE" w:cs="Arial"/>
                <w:b/>
                <w:bCs/>
                <w:color w:val="auto"/>
                <w:sz w:val="16"/>
                <w:szCs w:val="16"/>
              </w:rPr>
              <w:br/>
              <w:t>[%]</w:t>
            </w:r>
          </w:p>
        </w:tc>
        <w:tc>
          <w:tcPr>
            <w:tcW w:w="986" w:type="dxa"/>
            <w:tcBorders>
              <w:top w:val="single" w:sz="8" w:space="0" w:color="auto"/>
              <w:left w:val="nil"/>
              <w:bottom w:val="single" w:sz="8" w:space="0" w:color="auto"/>
              <w:right w:val="single" w:sz="4" w:space="0" w:color="auto"/>
            </w:tcBorders>
            <w:shd w:val="clear" w:color="000000" w:fill="DCE6F1"/>
            <w:vAlign w:val="bottom"/>
            <w:hideMark/>
          </w:tcPr>
          <w:p w:rsidR="0097084E" w:rsidRPr="0097084E" w:rsidRDefault="0097084E" w:rsidP="0097084E">
            <w:pPr>
              <w:jc w:val="center"/>
              <w:rPr>
                <w:rFonts w:ascii="Arial CE" w:hAnsi="Arial CE" w:cs="Arial"/>
                <w:b/>
                <w:bCs/>
                <w:color w:val="auto"/>
                <w:sz w:val="16"/>
                <w:szCs w:val="16"/>
              </w:rPr>
            </w:pPr>
            <w:r w:rsidRPr="0097084E">
              <w:rPr>
                <w:rFonts w:ascii="Arial CE" w:hAnsi="Arial CE" w:cs="Arial"/>
                <w:b/>
                <w:bCs/>
                <w:color w:val="auto"/>
                <w:sz w:val="16"/>
                <w:szCs w:val="16"/>
              </w:rPr>
              <w:t>DPH</w:t>
            </w:r>
            <w:r w:rsidRPr="0097084E">
              <w:rPr>
                <w:rFonts w:ascii="Arial CE" w:hAnsi="Arial CE" w:cs="Arial"/>
                <w:b/>
                <w:bCs/>
                <w:color w:val="auto"/>
                <w:sz w:val="16"/>
                <w:szCs w:val="16"/>
              </w:rPr>
              <w:br/>
              <w:t>[Kč]</w:t>
            </w:r>
          </w:p>
        </w:tc>
        <w:tc>
          <w:tcPr>
            <w:tcW w:w="1364" w:type="dxa"/>
            <w:tcBorders>
              <w:top w:val="single" w:sz="8" w:space="0" w:color="auto"/>
              <w:left w:val="nil"/>
              <w:bottom w:val="single" w:sz="8" w:space="0" w:color="auto"/>
              <w:right w:val="single" w:sz="8" w:space="0" w:color="auto"/>
            </w:tcBorders>
            <w:shd w:val="clear" w:color="000000" w:fill="DCE6F1"/>
            <w:vAlign w:val="bottom"/>
            <w:hideMark/>
          </w:tcPr>
          <w:p w:rsidR="0097084E" w:rsidRPr="0097084E" w:rsidRDefault="0097084E" w:rsidP="0097084E">
            <w:pPr>
              <w:jc w:val="center"/>
              <w:rPr>
                <w:rFonts w:ascii="Arial CE" w:hAnsi="Arial CE" w:cs="Arial"/>
                <w:b/>
                <w:bCs/>
                <w:color w:val="auto"/>
                <w:sz w:val="16"/>
                <w:szCs w:val="16"/>
              </w:rPr>
            </w:pPr>
            <w:r w:rsidRPr="0097084E">
              <w:rPr>
                <w:rFonts w:ascii="Arial CE" w:hAnsi="Arial CE" w:cs="Arial"/>
                <w:b/>
                <w:bCs/>
                <w:color w:val="auto"/>
                <w:sz w:val="16"/>
                <w:szCs w:val="16"/>
              </w:rPr>
              <w:t>Cena CELKEM</w:t>
            </w:r>
            <w:r w:rsidRPr="0097084E">
              <w:rPr>
                <w:rFonts w:ascii="Arial CE" w:hAnsi="Arial CE" w:cs="Arial"/>
                <w:b/>
                <w:bCs/>
                <w:color w:val="auto"/>
                <w:sz w:val="16"/>
                <w:szCs w:val="16"/>
              </w:rPr>
              <w:br/>
              <w:t>vč. DPH</w:t>
            </w:r>
            <w:r w:rsidRPr="0097084E">
              <w:rPr>
                <w:rFonts w:ascii="Arial CE" w:hAnsi="Arial CE" w:cs="Arial"/>
                <w:b/>
                <w:bCs/>
                <w:color w:val="auto"/>
                <w:sz w:val="16"/>
                <w:szCs w:val="16"/>
              </w:rPr>
              <w:br/>
              <w:t>[Kč]</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8</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Opěrka končetiny I (300 x 200 x 800)</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723,5</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5 787,60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1 215,40</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7 003</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1</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Opěrka končetiny II (200 x 200 x 500)</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485,1</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485,10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101,87</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587</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3</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Opěra zad do lůžka</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1 818,0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5 454,00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1 145,34</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6 599</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1</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Kvádr II (140 x 140 x 470)</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255,2</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255,15</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53,58</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309</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6</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Ochrana bočnice lůžka</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1 124,0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6 744,00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1 416,24</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8 160</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5</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Klín pro náklon na bok (25x23x65 cm)</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446,0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2 230,00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468,30</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2 698</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7</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Kuličkový válec (20x60 cm)</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339,0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2 373,00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498,33</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2 871</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8</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Kuličkový válec (20x180 cm)</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769,0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6 152,00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1 291,92</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7 444</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5</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Půlválec I (ø200 x 500)</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352,8</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1 764,00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370,44</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2 134</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Půlválec II (ø140 x 250)</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223,7</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447,30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93,93</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541</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15</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Kruh I (ø200 (ø60) x 80)</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220,4</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3 306,00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694,26</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4 000</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5</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Kruh II (ø200 (ø120) x 80)</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1 144,75</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240,40</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1 385</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4</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Kulatý podsedák nopkovaný</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702,0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2 808,00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589,68</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3 398</w:t>
            </w:r>
          </w:p>
        </w:tc>
      </w:tr>
      <w:tr w:rsidR="00203F6C" w:rsidRPr="0097084E" w:rsidTr="00203F6C">
        <w:trPr>
          <w:trHeight w:val="273"/>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3</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Podložka pod patu</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298,0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894,00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187,74</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1 082</w:t>
            </w:r>
          </w:p>
        </w:tc>
      </w:tr>
      <w:tr w:rsidR="00203F6C" w:rsidRPr="0097084E" w:rsidTr="00203F6C">
        <w:trPr>
          <w:trHeight w:val="273"/>
        </w:trPr>
        <w:tc>
          <w:tcPr>
            <w:tcW w:w="587" w:type="dxa"/>
            <w:tcBorders>
              <w:top w:val="nil"/>
              <w:left w:val="single" w:sz="4" w:space="0" w:color="auto"/>
              <w:bottom w:val="nil"/>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6</w:t>
            </w:r>
          </w:p>
        </w:tc>
        <w:tc>
          <w:tcPr>
            <w:tcW w:w="3373" w:type="dxa"/>
            <w:tcBorders>
              <w:top w:val="nil"/>
              <w:left w:val="nil"/>
              <w:bottom w:val="single" w:sz="4"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proofErr w:type="spellStart"/>
            <w:r w:rsidRPr="0097084E">
              <w:rPr>
                <w:rFonts w:ascii="Arial CE" w:hAnsi="Arial CE" w:cs="Arial"/>
                <w:color w:val="auto"/>
                <w:sz w:val="16"/>
                <w:szCs w:val="16"/>
              </w:rPr>
              <w:t>Mezinožní</w:t>
            </w:r>
            <w:proofErr w:type="spellEnd"/>
            <w:r w:rsidRPr="0097084E">
              <w:rPr>
                <w:rFonts w:ascii="Arial CE" w:hAnsi="Arial CE" w:cs="Arial"/>
                <w:color w:val="auto"/>
                <w:sz w:val="16"/>
                <w:szCs w:val="16"/>
              </w:rPr>
              <w:t xml:space="preserve"> klín N2340 300*350*150mm</w:t>
            </w:r>
          </w:p>
        </w:tc>
        <w:tc>
          <w:tcPr>
            <w:tcW w:w="997"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441,0</w:t>
            </w:r>
          </w:p>
        </w:tc>
        <w:tc>
          <w:tcPr>
            <w:tcW w:w="1275"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2 646,00</w:t>
            </w:r>
          </w:p>
        </w:tc>
        <w:tc>
          <w:tcPr>
            <w:tcW w:w="670"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4"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555,66</w:t>
            </w:r>
          </w:p>
        </w:tc>
        <w:tc>
          <w:tcPr>
            <w:tcW w:w="1364" w:type="dxa"/>
            <w:tcBorders>
              <w:top w:val="nil"/>
              <w:left w:val="nil"/>
              <w:bottom w:val="single" w:sz="4"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3 202</w:t>
            </w:r>
          </w:p>
        </w:tc>
      </w:tr>
      <w:tr w:rsidR="00203F6C" w:rsidRPr="0097084E" w:rsidTr="00203F6C">
        <w:trPr>
          <w:trHeight w:val="273"/>
        </w:trPr>
        <w:tc>
          <w:tcPr>
            <w:tcW w:w="587"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10</w:t>
            </w:r>
          </w:p>
        </w:tc>
        <w:tc>
          <w:tcPr>
            <w:tcW w:w="3373" w:type="dxa"/>
            <w:tcBorders>
              <w:top w:val="nil"/>
              <w:left w:val="nil"/>
              <w:bottom w:val="single" w:sz="8" w:space="0" w:color="auto"/>
              <w:right w:val="single" w:sz="4" w:space="0" w:color="auto"/>
            </w:tcBorders>
            <w:shd w:val="clear" w:color="auto" w:fill="auto"/>
            <w:vAlign w:val="center"/>
            <w:hideMark/>
          </w:tcPr>
          <w:p w:rsidR="0097084E" w:rsidRPr="0097084E" w:rsidRDefault="0097084E" w:rsidP="0097084E">
            <w:pPr>
              <w:rPr>
                <w:rFonts w:ascii="Arial CE" w:hAnsi="Arial CE" w:cs="Arial"/>
                <w:color w:val="auto"/>
                <w:sz w:val="16"/>
                <w:szCs w:val="16"/>
              </w:rPr>
            </w:pPr>
            <w:r w:rsidRPr="0097084E">
              <w:rPr>
                <w:rFonts w:ascii="Arial CE" w:hAnsi="Arial CE" w:cs="Arial"/>
                <w:color w:val="auto"/>
                <w:sz w:val="16"/>
                <w:szCs w:val="16"/>
              </w:rPr>
              <w:t>Váleček antistresový r. č 6031</w:t>
            </w:r>
          </w:p>
        </w:tc>
        <w:tc>
          <w:tcPr>
            <w:tcW w:w="997" w:type="dxa"/>
            <w:tcBorders>
              <w:top w:val="nil"/>
              <w:left w:val="nil"/>
              <w:bottom w:val="single" w:sz="8"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251,4</w:t>
            </w:r>
          </w:p>
        </w:tc>
        <w:tc>
          <w:tcPr>
            <w:tcW w:w="1275" w:type="dxa"/>
            <w:tcBorders>
              <w:top w:val="nil"/>
              <w:left w:val="nil"/>
              <w:bottom w:val="single" w:sz="8"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2 513,70</w:t>
            </w:r>
          </w:p>
        </w:tc>
        <w:tc>
          <w:tcPr>
            <w:tcW w:w="670" w:type="dxa"/>
            <w:tcBorders>
              <w:top w:val="nil"/>
              <w:left w:val="nil"/>
              <w:bottom w:val="single" w:sz="8" w:space="0" w:color="auto"/>
              <w:right w:val="single" w:sz="4" w:space="0" w:color="auto"/>
            </w:tcBorders>
            <w:shd w:val="clear" w:color="auto" w:fill="auto"/>
            <w:noWrap/>
            <w:vAlign w:val="center"/>
            <w:hideMark/>
          </w:tcPr>
          <w:p w:rsidR="0097084E" w:rsidRPr="0097084E" w:rsidRDefault="0097084E" w:rsidP="0097084E">
            <w:pPr>
              <w:jc w:val="center"/>
              <w:rPr>
                <w:rFonts w:ascii="Arial CE" w:hAnsi="Arial CE" w:cs="Arial"/>
                <w:color w:val="auto"/>
                <w:sz w:val="16"/>
                <w:szCs w:val="16"/>
              </w:rPr>
            </w:pPr>
            <w:r w:rsidRPr="0097084E">
              <w:rPr>
                <w:rFonts w:ascii="Arial CE" w:hAnsi="Arial CE" w:cs="Arial"/>
                <w:color w:val="auto"/>
                <w:sz w:val="16"/>
                <w:szCs w:val="16"/>
              </w:rPr>
              <w:t>21</w:t>
            </w:r>
          </w:p>
        </w:tc>
        <w:tc>
          <w:tcPr>
            <w:tcW w:w="986" w:type="dxa"/>
            <w:tcBorders>
              <w:top w:val="nil"/>
              <w:left w:val="nil"/>
              <w:bottom w:val="single" w:sz="8" w:space="0" w:color="auto"/>
              <w:right w:val="single" w:sz="4" w:space="0" w:color="auto"/>
            </w:tcBorders>
            <w:shd w:val="clear" w:color="auto" w:fill="auto"/>
            <w:noWrap/>
            <w:vAlign w:val="center"/>
            <w:hideMark/>
          </w:tcPr>
          <w:p w:rsidR="0097084E" w:rsidRPr="0097084E" w:rsidRDefault="0097084E" w:rsidP="0097084E">
            <w:pPr>
              <w:jc w:val="right"/>
              <w:rPr>
                <w:rFonts w:ascii="Arial CE" w:hAnsi="Arial CE" w:cs="Arial"/>
                <w:color w:val="auto"/>
                <w:sz w:val="16"/>
                <w:szCs w:val="16"/>
              </w:rPr>
            </w:pPr>
            <w:r w:rsidRPr="0097084E">
              <w:rPr>
                <w:rFonts w:ascii="Arial CE" w:hAnsi="Arial CE" w:cs="Arial"/>
                <w:color w:val="auto"/>
                <w:sz w:val="16"/>
                <w:szCs w:val="16"/>
              </w:rPr>
              <w:t>527,88</w:t>
            </w:r>
          </w:p>
        </w:tc>
        <w:tc>
          <w:tcPr>
            <w:tcW w:w="1364" w:type="dxa"/>
            <w:tcBorders>
              <w:top w:val="nil"/>
              <w:left w:val="nil"/>
              <w:bottom w:val="single" w:sz="8" w:space="0" w:color="auto"/>
              <w:right w:val="single" w:sz="8" w:space="0" w:color="auto"/>
            </w:tcBorders>
            <w:shd w:val="clear" w:color="auto" w:fill="auto"/>
            <w:noWrap/>
            <w:vAlign w:val="center"/>
            <w:hideMark/>
          </w:tcPr>
          <w:p w:rsidR="0097084E" w:rsidRPr="0097084E" w:rsidRDefault="0097084E" w:rsidP="0097084E">
            <w:pPr>
              <w:jc w:val="right"/>
              <w:rPr>
                <w:rFonts w:ascii="Arial CE" w:hAnsi="Arial CE" w:cs="Arial"/>
                <w:b/>
                <w:bCs/>
                <w:color w:val="auto"/>
                <w:sz w:val="16"/>
                <w:szCs w:val="16"/>
              </w:rPr>
            </w:pPr>
            <w:r w:rsidRPr="0097084E">
              <w:rPr>
                <w:rFonts w:ascii="Arial CE" w:hAnsi="Arial CE" w:cs="Arial"/>
                <w:b/>
                <w:bCs/>
                <w:color w:val="auto"/>
                <w:sz w:val="16"/>
                <w:szCs w:val="16"/>
              </w:rPr>
              <w:t>3 042</w:t>
            </w:r>
          </w:p>
        </w:tc>
      </w:tr>
      <w:tr w:rsidR="00203F6C" w:rsidRPr="0097084E" w:rsidTr="00203F6C">
        <w:trPr>
          <w:trHeight w:val="476"/>
        </w:trPr>
        <w:tc>
          <w:tcPr>
            <w:tcW w:w="587" w:type="dxa"/>
            <w:tcBorders>
              <w:top w:val="nil"/>
              <w:left w:val="nil"/>
              <w:bottom w:val="nil"/>
              <w:right w:val="nil"/>
            </w:tcBorders>
            <w:shd w:val="clear" w:color="auto" w:fill="auto"/>
            <w:noWrap/>
            <w:vAlign w:val="bottom"/>
            <w:hideMark/>
          </w:tcPr>
          <w:p w:rsidR="0097084E" w:rsidRPr="0097084E" w:rsidRDefault="0097084E" w:rsidP="0097084E">
            <w:pPr>
              <w:jc w:val="right"/>
              <w:rPr>
                <w:rFonts w:ascii="Arial CE" w:hAnsi="Arial CE" w:cs="Arial"/>
                <w:b/>
                <w:bCs/>
                <w:color w:val="auto"/>
                <w:sz w:val="16"/>
                <w:szCs w:val="16"/>
              </w:rPr>
            </w:pPr>
          </w:p>
        </w:tc>
        <w:tc>
          <w:tcPr>
            <w:tcW w:w="3373" w:type="dxa"/>
            <w:tcBorders>
              <w:top w:val="nil"/>
              <w:left w:val="nil"/>
              <w:bottom w:val="nil"/>
              <w:right w:val="nil"/>
            </w:tcBorders>
            <w:shd w:val="clear" w:color="auto" w:fill="auto"/>
            <w:noWrap/>
            <w:vAlign w:val="bottom"/>
            <w:hideMark/>
          </w:tcPr>
          <w:p w:rsidR="0097084E" w:rsidRPr="0097084E" w:rsidRDefault="0097084E" w:rsidP="0097084E">
            <w:pPr>
              <w:rPr>
                <w:color w:val="auto"/>
                <w:sz w:val="20"/>
                <w:szCs w:val="20"/>
              </w:rPr>
            </w:pPr>
          </w:p>
        </w:tc>
        <w:tc>
          <w:tcPr>
            <w:tcW w:w="997" w:type="dxa"/>
            <w:tcBorders>
              <w:top w:val="single" w:sz="8" w:space="0" w:color="auto"/>
              <w:left w:val="single" w:sz="8" w:space="0" w:color="auto"/>
              <w:bottom w:val="single" w:sz="8" w:space="0" w:color="auto"/>
              <w:right w:val="nil"/>
            </w:tcBorders>
            <w:shd w:val="clear" w:color="000000" w:fill="DCE6F1"/>
            <w:vAlign w:val="center"/>
            <w:hideMark/>
          </w:tcPr>
          <w:p w:rsidR="0097084E" w:rsidRPr="0097084E" w:rsidRDefault="0097084E" w:rsidP="0097084E">
            <w:pPr>
              <w:jc w:val="right"/>
              <w:rPr>
                <w:rFonts w:ascii="Arial CE" w:hAnsi="Arial CE" w:cs="Arial"/>
                <w:b/>
                <w:bCs/>
                <w:color w:val="auto"/>
                <w:sz w:val="20"/>
                <w:szCs w:val="20"/>
              </w:rPr>
            </w:pPr>
            <w:r w:rsidRPr="0097084E">
              <w:rPr>
                <w:rFonts w:ascii="Arial CE" w:hAnsi="Arial CE" w:cs="Arial"/>
                <w:b/>
                <w:bCs/>
                <w:color w:val="auto"/>
                <w:sz w:val="20"/>
                <w:szCs w:val="20"/>
              </w:rPr>
              <w:t>CELKEM</w:t>
            </w:r>
          </w:p>
        </w:tc>
        <w:tc>
          <w:tcPr>
            <w:tcW w:w="1275" w:type="dxa"/>
            <w:tcBorders>
              <w:top w:val="single" w:sz="8" w:space="0" w:color="auto"/>
              <w:left w:val="nil"/>
              <w:bottom w:val="single" w:sz="8" w:space="0" w:color="auto"/>
              <w:right w:val="nil"/>
            </w:tcBorders>
            <w:shd w:val="clear" w:color="000000" w:fill="DCE6F1"/>
            <w:noWrap/>
            <w:vAlign w:val="center"/>
            <w:hideMark/>
          </w:tcPr>
          <w:p w:rsidR="0097084E" w:rsidRPr="0097084E" w:rsidRDefault="0097084E" w:rsidP="0097084E">
            <w:pPr>
              <w:jc w:val="right"/>
              <w:rPr>
                <w:rFonts w:ascii="Arial CE" w:hAnsi="Arial CE" w:cs="Arial"/>
                <w:b/>
                <w:bCs/>
                <w:color w:val="auto"/>
                <w:sz w:val="20"/>
                <w:szCs w:val="20"/>
              </w:rPr>
            </w:pPr>
            <w:r w:rsidRPr="0097084E">
              <w:rPr>
                <w:rFonts w:ascii="Arial CE" w:hAnsi="Arial CE" w:cs="Arial"/>
                <w:b/>
                <w:bCs/>
                <w:color w:val="auto"/>
                <w:sz w:val="20"/>
                <w:szCs w:val="20"/>
              </w:rPr>
              <w:t>45 005 Kč</w:t>
            </w:r>
          </w:p>
        </w:tc>
        <w:tc>
          <w:tcPr>
            <w:tcW w:w="670" w:type="dxa"/>
            <w:tcBorders>
              <w:top w:val="single" w:sz="8" w:space="0" w:color="auto"/>
              <w:left w:val="nil"/>
              <w:bottom w:val="single" w:sz="8" w:space="0" w:color="auto"/>
              <w:right w:val="nil"/>
            </w:tcBorders>
            <w:shd w:val="clear" w:color="000000" w:fill="DCE6F1"/>
            <w:noWrap/>
            <w:vAlign w:val="center"/>
            <w:hideMark/>
          </w:tcPr>
          <w:p w:rsidR="0097084E" w:rsidRPr="0097084E" w:rsidRDefault="0097084E" w:rsidP="0097084E">
            <w:pPr>
              <w:jc w:val="right"/>
              <w:rPr>
                <w:rFonts w:ascii="Arial CE" w:hAnsi="Arial CE" w:cs="Arial"/>
                <w:b/>
                <w:bCs/>
                <w:color w:val="auto"/>
                <w:sz w:val="20"/>
                <w:szCs w:val="20"/>
              </w:rPr>
            </w:pPr>
            <w:r w:rsidRPr="0097084E">
              <w:rPr>
                <w:rFonts w:ascii="Arial CE" w:hAnsi="Arial CE" w:cs="Arial"/>
                <w:b/>
                <w:bCs/>
                <w:color w:val="auto"/>
                <w:sz w:val="20"/>
                <w:szCs w:val="20"/>
              </w:rPr>
              <w:t> </w:t>
            </w:r>
          </w:p>
        </w:tc>
        <w:tc>
          <w:tcPr>
            <w:tcW w:w="986" w:type="dxa"/>
            <w:tcBorders>
              <w:top w:val="single" w:sz="8" w:space="0" w:color="auto"/>
              <w:left w:val="nil"/>
              <w:bottom w:val="single" w:sz="8" w:space="0" w:color="auto"/>
              <w:right w:val="nil"/>
            </w:tcBorders>
            <w:shd w:val="clear" w:color="000000" w:fill="DCE6F1"/>
            <w:noWrap/>
            <w:vAlign w:val="center"/>
            <w:hideMark/>
          </w:tcPr>
          <w:p w:rsidR="0097084E" w:rsidRPr="0097084E" w:rsidRDefault="0097084E" w:rsidP="0097084E">
            <w:pPr>
              <w:jc w:val="right"/>
              <w:rPr>
                <w:rFonts w:ascii="Arial CE" w:hAnsi="Arial CE" w:cs="Arial"/>
                <w:b/>
                <w:bCs/>
                <w:color w:val="auto"/>
                <w:sz w:val="20"/>
                <w:szCs w:val="20"/>
              </w:rPr>
            </w:pPr>
            <w:r w:rsidRPr="0097084E">
              <w:rPr>
                <w:rFonts w:ascii="Arial CE" w:hAnsi="Arial CE" w:cs="Arial"/>
                <w:b/>
                <w:bCs/>
                <w:color w:val="auto"/>
                <w:sz w:val="20"/>
                <w:szCs w:val="20"/>
              </w:rPr>
              <w:t>9 451 Kč</w:t>
            </w:r>
          </w:p>
        </w:tc>
        <w:tc>
          <w:tcPr>
            <w:tcW w:w="1364" w:type="dxa"/>
            <w:tcBorders>
              <w:top w:val="single" w:sz="8" w:space="0" w:color="auto"/>
              <w:left w:val="nil"/>
              <w:bottom w:val="single" w:sz="8" w:space="0" w:color="auto"/>
              <w:right w:val="single" w:sz="8" w:space="0" w:color="auto"/>
            </w:tcBorders>
            <w:shd w:val="clear" w:color="000000" w:fill="DCE6F1"/>
            <w:noWrap/>
            <w:vAlign w:val="center"/>
            <w:hideMark/>
          </w:tcPr>
          <w:p w:rsidR="0097084E" w:rsidRPr="0097084E" w:rsidRDefault="0097084E" w:rsidP="0097084E">
            <w:pPr>
              <w:jc w:val="right"/>
              <w:rPr>
                <w:rFonts w:ascii="Arial CE" w:hAnsi="Arial CE" w:cs="Arial"/>
                <w:b/>
                <w:bCs/>
                <w:color w:val="auto"/>
                <w:sz w:val="20"/>
                <w:szCs w:val="20"/>
              </w:rPr>
            </w:pPr>
            <w:r w:rsidRPr="0097084E">
              <w:rPr>
                <w:rFonts w:ascii="Arial CE" w:hAnsi="Arial CE" w:cs="Arial"/>
                <w:b/>
                <w:bCs/>
                <w:color w:val="auto"/>
                <w:sz w:val="20"/>
                <w:szCs w:val="20"/>
              </w:rPr>
              <w:t>54 456 Kč</w:t>
            </w:r>
          </w:p>
        </w:tc>
      </w:tr>
    </w:tbl>
    <w:p w:rsidR="0097084E" w:rsidRPr="0097084E" w:rsidRDefault="0097084E" w:rsidP="00536D6A">
      <w:pPr>
        <w:jc w:val="both"/>
        <w:rPr>
          <w:color w:val="000000" w:themeColor="text1"/>
        </w:rPr>
      </w:pPr>
    </w:p>
    <w:sectPr w:rsidR="0097084E" w:rsidRPr="00970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8205A1C"/>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906C1F3C"/>
    <w:lvl w:ilvl="0" w:tplc="FFFFFFFF">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75466630"/>
    <w:lvl w:ilvl="0" w:tplc="FFFFFFFF">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5"/>
    <w:multiLevelType w:val="hybridMultilevel"/>
    <w:tmpl w:val="D2A0C8F6"/>
    <w:lvl w:ilvl="0" w:tplc="FFFFFFFF">
      <w:start w:val="1"/>
      <w:numFmt w:val="decimal"/>
      <w:lvlText w:val="%1."/>
      <w:lvlJc w:val="left"/>
      <w:pPr>
        <w:tabs>
          <w:tab w:val="num" w:pos="0"/>
        </w:tabs>
        <w:ind w:left="644" w:hanging="284"/>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364" w:hanging="284"/>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084" w:hanging="104"/>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04" w:hanging="284"/>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524" w:hanging="284"/>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244" w:hanging="104"/>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964" w:hanging="284"/>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684" w:hanging="284"/>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04" w:hanging="104"/>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6"/>
    <w:multiLevelType w:val="hybridMultilevel"/>
    <w:tmpl w:val="E19830F4"/>
    <w:lvl w:ilvl="0" w:tplc="FFFFFFFF">
      <w:start w:val="1"/>
      <w:numFmt w:val="decimal"/>
      <w:lvlText w:val="%1."/>
      <w:lvlJc w:val="left"/>
      <w:pPr>
        <w:tabs>
          <w:tab w:val="num" w:pos="-360"/>
        </w:tabs>
        <w:ind w:left="284" w:hanging="284"/>
      </w:pPr>
      <w:rPr>
        <w:rFonts w:ascii="Times New Roman" w:eastAsia="Times New Roman" w:hAnsi="Times New Roman" w:cs="Times New Roman"/>
        <w:b w:val="0"/>
        <w:bCs w:val="0"/>
        <w:i w:val="0"/>
        <w:iCs w:val="0"/>
        <w:strike w:val="0"/>
        <w:color w:val="000000"/>
        <w:sz w:val="24"/>
        <w:szCs w:val="24"/>
        <w:u w:val="none"/>
      </w:rPr>
    </w:lvl>
    <w:lvl w:ilvl="1" w:tplc="FFFFFFFF">
      <w:start w:val="1"/>
      <w:numFmt w:val="decimal"/>
      <w:lvlText w:val="%2."/>
      <w:lvlJc w:val="left"/>
      <w:pPr>
        <w:tabs>
          <w:tab w:val="num" w:pos="0"/>
        </w:tabs>
        <w:ind w:left="1364" w:hanging="284"/>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2084" w:hanging="104"/>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04" w:hanging="284"/>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524" w:hanging="284"/>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244" w:hanging="104"/>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964" w:hanging="284"/>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684" w:hanging="284"/>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04" w:hanging="104"/>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28B7285F"/>
    <w:multiLevelType w:val="hybridMultilevel"/>
    <w:tmpl w:val="13FC21D4"/>
    <w:lvl w:ilvl="0" w:tplc="1CBA84F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B6"/>
    <w:rsid w:val="001D5974"/>
    <w:rsid w:val="00203F6C"/>
    <w:rsid w:val="002A1EE6"/>
    <w:rsid w:val="00536D6A"/>
    <w:rsid w:val="00641BDC"/>
    <w:rsid w:val="0097084E"/>
    <w:rsid w:val="00BE04B6"/>
    <w:rsid w:val="00CD3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19CDF1-6FEA-4C66-8E1B-FEB11F9B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04B6"/>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qFormat/>
    <w:rsid w:val="00BE04B6"/>
    <w:pPr>
      <w:outlineLvl w:val="0"/>
    </w:pPr>
    <w:rPr>
      <w:i/>
      <w:iCs/>
    </w:rPr>
  </w:style>
  <w:style w:type="paragraph" w:styleId="Nadpis3">
    <w:name w:val="heading 3"/>
    <w:basedOn w:val="Normln"/>
    <w:next w:val="Normln"/>
    <w:link w:val="Nadpis3Char"/>
    <w:qFormat/>
    <w:rsid w:val="00BE04B6"/>
    <w:pPr>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04B6"/>
    <w:rPr>
      <w:rFonts w:ascii="Times New Roman" w:eastAsia="Times New Roman" w:hAnsi="Times New Roman" w:cs="Times New Roman"/>
      <w:i/>
      <w:iCs/>
      <w:color w:val="000000"/>
      <w:sz w:val="24"/>
      <w:szCs w:val="24"/>
      <w:lang w:eastAsia="cs-CZ"/>
    </w:rPr>
  </w:style>
  <w:style w:type="character" w:customStyle="1" w:styleId="Nadpis3Char">
    <w:name w:val="Nadpis 3 Char"/>
    <w:basedOn w:val="Standardnpsmoodstavce"/>
    <w:link w:val="Nadpis3"/>
    <w:rsid w:val="00BE04B6"/>
    <w:rPr>
      <w:rFonts w:ascii="Times New Roman" w:eastAsia="Times New Roman" w:hAnsi="Times New Roman" w:cs="Times New Roman"/>
      <w:b/>
      <w:bCs/>
      <w:color w:val="00000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8834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Wanka</dc:creator>
  <cp:keywords/>
  <dc:description/>
  <cp:lastModifiedBy>Jana Šejbová</cp:lastModifiedBy>
  <cp:revision>2</cp:revision>
  <dcterms:created xsi:type="dcterms:W3CDTF">2019-06-06T12:20:00Z</dcterms:created>
  <dcterms:modified xsi:type="dcterms:W3CDTF">2019-06-06T12:20:00Z</dcterms:modified>
</cp:coreProperties>
</file>