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3B" w:rsidRDefault="006C007B">
      <w:pPr>
        <w:pStyle w:val="Headerorfooter0"/>
        <w:framePr w:wrap="none" w:vAnchor="page" w:hAnchor="page" w:x="708" w:y="1106"/>
        <w:shd w:val="clear" w:color="auto" w:fill="auto"/>
      </w:pPr>
      <w:r>
        <w:t>Ceník hlasových služeb</w:t>
      </w:r>
    </w:p>
    <w:p w:rsidR="004E433B" w:rsidRDefault="006C007B">
      <w:pPr>
        <w:pStyle w:val="Headerorfooter20"/>
        <w:framePr w:wrap="none" w:vAnchor="page" w:hAnchor="page" w:x="7975" w:y="812"/>
        <w:shd w:val="clear" w:color="auto" w:fill="auto"/>
      </w:pPr>
      <w:r>
        <w:rPr>
          <w:lang w:val="en-US" w:eastAsia="en-US" w:bidi="en-US"/>
        </w:rPr>
        <w:t xml:space="preserve">Dial </w:t>
      </w:r>
      <w:r>
        <w:t>Telecom</w:t>
      </w:r>
    </w:p>
    <w:p w:rsidR="004E433B" w:rsidRDefault="006C007B">
      <w:pPr>
        <w:pStyle w:val="Tablecaption0"/>
        <w:framePr w:wrap="none" w:vAnchor="page" w:hAnchor="page" w:x="689" w:y="1666"/>
        <w:shd w:val="clear" w:color="auto" w:fill="auto"/>
      </w:pPr>
      <w:r>
        <w:t>Zóna Provozní období Pulsy Destinace</w:t>
      </w:r>
    </w:p>
    <w:p w:rsidR="004E433B" w:rsidRDefault="004F580C" w:rsidP="004F580C">
      <w:pPr>
        <w:pStyle w:val="Tablecaption0"/>
        <w:framePr w:w="854" w:h="413" w:hRule="exact" w:wrap="none" w:vAnchor="page" w:hAnchor="page" w:x="9463" w:y="1674"/>
        <w:shd w:val="clear" w:color="auto" w:fill="auto"/>
        <w:spacing w:after="31"/>
        <w:jc w:val="right"/>
      </w:pPr>
      <w:r>
        <w:t xml:space="preserve">  Č</w:t>
      </w:r>
      <w:r w:rsidR="006C007B">
        <w:t>íslo</w:t>
      </w:r>
    </w:p>
    <w:p w:rsidR="004E433B" w:rsidRDefault="004F580C">
      <w:pPr>
        <w:pStyle w:val="Tablecaption20"/>
        <w:framePr w:w="854" w:h="413" w:hRule="exact" w:wrap="none" w:vAnchor="page" w:hAnchor="page" w:x="9463" w:y="1674"/>
        <w:shd w:val="clear" w:color="auto" w:fill="auto"/>
        <w:spacing w:before="0"/>
      </w:pPr>
      <w:r>
        <w:t xml:space="preserve">  </w:t>
      </w:r>
      <w:r w:rsidR="006C007B">
        <w:t>912/3100</w:t>
      </w:r>
    </w:p>
    <w:p w:rsidR="004E433B" w:rsidRDefault="006C007B">
      <w:pPr>
        <w:pStyle w:val="Tablecaption0"/>
        <w:framePr w:wrap="none" w:vAnchor="page" w:hAnchor="page" w:x="10442" w:y="1683"/>
        <w:shd w:val="clear" w:color="auto" w:fill="auto"/>
      </w:pPr>
      <w:r>
        <w:t>ceníku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763"/>
        <w:gridCol w:w="758"/>
        <w:gridCol w:w="744"/>
        <w:gridCol w:w="7397"/>
      </w:tblGrid>
      <w:tr w:rsidR="004E433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3B" w:rsidRDefault="004E433B">
            <w:pPr>
              <w:framePr w:w="10411" w:h="8088" w:wrap="none" w:vAnchor="page" w:hAnchor="page" w:x="641" w:y="2074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46" w:lineRule="exact"/>
            </w:pPr>
            <w:r>
              <w:rPr>
                <w:rStyle w:val="Bodytext2Verdana65ptBold"/>
              </w:rPr>
              <w:t>silné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46" w:lineRule="exact"/>
            </w:pPr>
            <w:r>
              <w:rPr>
                <w:rStyle w:val="Bodytext2Verdana65ptBold"/>
              </w:rPr>
              <w:t>slabé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3B" w:rsidRDefault="004E433B">
            <w:pPr>
              <w:framePr w:w="10411" w:h="8088" w:wrap="none" w:vAnchor="page" w:hAnchor="page" w:x="641" w:y="2074"/>
              <w:rPr>
                <w:sz w:val="10"/>
                <w:szCs w:val="10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3B" w:rsidRDefault="004E433B">
            <w:pPr>
              <w:framePr w:w="10411" w:h="8088" w:wrap="none" w:vAnchor="page" w:hAnchor="page" w:x="641" w:y="2074"/>
              <w:rPr>
                <w:sz w:val="10"/>
                <w:szCs w:val="10"/>
              </w:rPr>
            </w:pP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0,58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0,58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  <w:jc w:val="both"/>
            </w:pPr>
            <w:r>
              <w:rPr>
                <w:rStyle w:val="Bodytext2Verdana65pt"/>
              </w:rPr>
              <w:t>Místní spojení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1001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0,58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0,58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  <w:jc w:val="both"/>
            </w:pPr>
            <w:r>
              <w:rPr>
                <w:rStyle w:val="Bodytext2Verdana65pt"/>
              </w:rPr>
              <w:t>Meziměstská spojení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1002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0,79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0,79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  <w:jc w:val="both"/>
            </w:pPr>
            <w:r>
              <w:rPr>
                <w:rStyle w:val="Bodytext2Verdana65pt"/>
              </w:rPr>
              <w:t>Mobilní volání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0,8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  <w:jc w:val="both"/>
            </w:pPr>
            <w:r>
              <w:rPr>
                <w:rStyle w:val="Bodytext2Verdana65pt"/>
              </w:rPr>
              <w:t>Německo,</w:t>
            </w:r>
            <w:r>
              <w:rPr>
                <w:rStyle w:val="Bodytext2Verdana65pt"/>
              </w:rPr>
              <w:t xml:space="preserve"> Polsko, Rakousko, Slovensko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216" w:lineRule="exact"/>
              <w:jc w:val="both"/>
            </w:pPr>
            <w:r>
              <w:rPr>
                <w:rStyle w:val="Bodytext2Verdana65pt"/>
              </w:rPr>
              <w:t xml:space="preserve">Aljaška, Andorra, Austrálie, Belgie, Dánsko, Finsko, Francie, Havaj, Kanada, Kypr, Řecko, Maďarsko, Irsko, Izrael, Itálie, Lucembursko, Monako, Nizozemsko, Norsko, Portugalsko, Rumunsko, Slovinsko, Španělsko, </w:t>
            </w:r>
            <w:r>
              <w:rPr>
                <w:rStyle w:val="Bodytext2Verdana65pt"/>
              </w:rPr>
              <w:t>Švédsko, Švýcarsko, Velká Británie, USA, Americké Panenské ostrovy, Vatikán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3,2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3,2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216" w:lineRule="exact"/>
              <w:jc w:val="both"/>
            </w:pPr>
            <w:r>
              <w:rPr>
                <w:rStyle w:val="Bodytext2Verdana65pt"/>
              </w:rPr>
              <w:t xml:space="preserve">Argentina, Bosna a Hercegovina, Brazílie, Bulharsko, Chorvatsko, Estonsko, Hongkong, Čína, Japonsko, Lotyšsko, Litva, Malajsie, Malta, Mexiko, Černá Hora, </w:t>
            </w:r>
            <w:r>
              <w:rPr>
                <w:rStyle w:val="Bodytext2Verdana65pt"/>
              </w:rPr>
              <w:t>Jihoafrická republika, Nový Zéland, Rusko, San Marino, Srbsko, Tchaj-wan, Thajsko, Turecko, Ukrajina, Vietnam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  <w:jc w:val="both"/>
            </w:pPr>
            <w:r>
              <w:rPr>
                <w:rStyle w:val="Bodytext2Verdana65pt"/>
              </w:rPr>
              <w:t>Mobilní sítě: Rakousko, Německo, Polsko, Slovensko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4,8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4,8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216" w:lineRule="exact"/>
              <w:jc w:val="both"/>
            </w:pPr>
            <w:r>
              <w:rPr>
                <w:rStyle w:val="Bodytext2Verdana65pt"/>
              </w:rPr>
              <w:t xml:space="preserve">Albánie, Alžírsko, Americká Samoa, </w:t>
            </w:r>
            <w:r>
              <w:rPr>
                <w:rStyle w:val="Bodytext2Verdana65pt"/>
                <w:lang w:val="en-US" w:eastAsia="en-US" w:bidi="en-US"/>
              </w:rPr>
              <w:t xml:space="preserve">Bahrain, </w:t>
            </w:r>
            <w:r>
              <w:rPr>
                <w:rStyle w:val="Bodytext2Verdana65pt"/>
              </w:rPr>
              <w:t>Bangladéš, Bělorusko, Bolívie, Kolumbie, Kostarika, Dominikánská republika, Ekvádor, Egypt, Faerské ostrovy, Gruzie, Gibraltar, Island, Indie, Indonésie, Írán, Irák, Kazachstán, Keňa, Korejská republika, Kuvajt, Kyrgyzstán, Makedonie, Moldavsko, Mongolsko,</w:t>
            </w:r>
            <w:r>
              <w:rPr>
                <w:rStyle w:val="Bodytext2Verdana65pt"/>
              </w:rPr>
              <w:t xml:space="preserve"> Maroko, Namibie, Nepál, Nizozemské Antily, Pákistán, Panama, Paraguay, Peru, Portoriko, Saudská Arábie, Singapur, Turkmenistán, </w:t>
            </w:r>
            <w:r>
              <w:rPr>
                <w:rStyle w:val="Bodytext2Verdana65pt"/>
                <w:lang w:val="en-US" w:eastAsia="en-US" w:bidi="en-US"/>
              </w:rPr>
              <w:t xml:space="preserve">Uganda, </w:t>
            </w:r>
            <w:r>
              <w:rPr>
                <w:rStyle w:val="Bodytext2Verdana65pt"/>
              </w:rPr>
              <w:t>Salvador, Spojené arabské emiráty, Uruguay, Uzbekistán, Venezuela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6,4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6,4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216" w:lineRule="exact"/>
              <w:jc w:val="both"/>
            </w:pPr>
            <w:r>
              <w:rPr>
                <w:rStyle w:val="Bodytext2Verdana65pt"/>
              </w:rPr>
              <w:t>Mobilní sítě: Andorra, Austrálie, Be</w:t>
            </w:r>
            <w:r>
              <w:rPr>
                <w:rStyle w:val="Bodytext2Verdana65pt"/>
              </w:rPr>
              <w:t>lgie, Bosna a Hercegovina, Brazílie, Bulharsko, Chorvatsko, Kypr, Dánsko, Estonsko, Finsko, Francie, Řecko, Hongkong, Maďarsko, Čína, Irsko, Izrael, Itálie, Japonsko, Lotyšsko, Litva, Lucembursko, Malajsie, Malta, Mexiko, Monako, Černá Hora, Nizozemsko, No</w:t>
            </w:r>
            <w:r>
              <w:rPr>
                <w:rStyle w:val="Bodytext2Verdana65pt"/>
              </w:rPr>
              <w:t>vý Zéland, Norsko, Portugalsko, Rumunsko, Rusko, Srbsko, Slovinsko, Jihoafrická republika, Španělsko, Švédsko, Švýcarsko, Thajsko, Turecko, Ukrajina, Velká Británie, Vietnam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26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9,6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216" w:lineRule="exact"/>
              <w:jc w:val="both"/>
            </w:pPr>
            <w:r>
              <w:rPr>
                <w:rStyle w:val="Bodytext2Verdana65pt"/>
              </w:rPr>
              <w:t xml:space="preserve">Afgánistán, Angola, Arménie, Ázerbájdžán, Bahamské ostrovy, </w:t>
            </w:r>
            <w:r>
              <w:rPr>
                <w:rStyle w:val="Bodytext2Verdana65pt"/>
                <w:lang w:val="en-US" w:eastAsia="en-US" w:bidi="en-US"/>
              </w:rPr>
              <w:t xml:space="preserve">Barbados, Belize, Benin, </w:t>
            </w:r>
            <w:r>
              <w:rPr>
                <w:rStyle w:val="Bodytext2Verdana65pt"/>
              </w:rPr>
              <w:t xml:space="preserve">Bermudy, Bhútán, Botswana, Britské Panenské ostrovy, Brunej, </w:t>
            </w:r>
            <w:r>
              <w:rPr>
                <w:rStyle w:val="Bodytext2Verdana65pt"/>
                <w:lang w:val="en-US" w:eastAsia="en-US" w:bidi="en-US"/>
              </w:rPr>
              <w:t xml:space="preserve">Burkina Faso, </w:t>
            </w:r>
            <w:r>
              <w:rPr>
                <w:rStyle w:val="Bodytext2Verdana65pt"/>
              </w:rPr>
              <w:t xml:space="preserve">Burundi, </w:t>
            </w:r>
            <w:r>
              <w:rPr>
                <w:rStyle w:val="Bodytext2Verdana65pt"/>
                <w:lang w:val="en-US" w:eastAsia="en-US" w:bidi="en-US"/>
              </w:rPr>
              <w:t xml:space="preserve">Dominica, </w:t>
            </w:r>
            <w:r>
              <w:rPr>
                <w:rStyle w:val="Bodytext2Verdana65pt"/>
              </w:rPr>
              <w:t xml:space="preserve">Kambodža, Kamerun, Kapverdské ostrovy, Kajmanské ostrovy, Středoafrická republika, Kongo, Etiopie, Gambie, </w:t>
            </w:r>
            <w:r>
              <w:rPr>
                <w:rStyle w:val="Bodytext2Verdana65pt"/>
                <w:lang w:val="en-US" w:eastAsia="en-US" w:bidi="en-US"/>
              </w:rPr>
              <w:t xml:space="preserve">Ghana, </w:t>
            </w:r>
            <w:r>
              <w:rPr>
                <w:rStyle w:val="Bodytext2Verdana65pt"/>
              </w:rPr>
              <w:t>Guatemala, Haiti, Hondu</w:t>
            </w:r>
            <w:r>
              <w:rPr>
                <w:rStyle w:val="Bodytext2Verdana65pt"/>
              </w:rPr>
              <w:t xml:space="preserve">ras, Čad, Chile, Jamajka, Jordánsko, Libanon, Lichtenštejnsko, Macau, Madagaskar, Malawi, Maledivy, Mali, Marshallovy ostrovy, Mauricius, Mosambik, Nová Kaledonie, Nikaragua, </w:t>
            </w:r>
            <w:r>
              <w:rPr>
                <w:rStyle w:val="Bodytext2Verdana65pt"/>
                <w:lang w:val="en-US" w:eastAsia="en-US" w:bidi="en-US"/>
              </w:rPr>
              <w:t xml:space="preserve">Niger, </w:t>
            </w:r>
            <w:r>
              <w:rPr>
                <w:rStyle w:val="Bodytext2Verdana65pt"/>
              </w:rPr>
              <w:t xml:space="preserve">Nigérie, Omán, Palestina, Filipíny, </w:t>
            </w:r>
            <w:r>
              <w:rPr>
                <w:rStyle w:val="Bodytext2Verdana65pt"/>
                <w:lang w:val="en-US" w:eastAsia="en-US" w:bidi="en-US"/>
              </w:rPr>
              <w:t xml:space="preserve">Qatar, Reunion, </w:t>
            </w:r>
            <w:r>
              <w:rPr>
                <w:rStyle w:val="Bodytext2Verdana65pt"/>
              </w:rPr>
              <w:t>Senegal, Seychely, Srí</w:t>
            </w:r>
            <w:r>
              <w:rPr>
                <w:rStyle w:val="Bodytext2Verdana65pt"/>
              </w:rPr>
              <w:t xml:space="preserve"> Lanka, Súdán, Sýrie, Trinidad </w:t>
            </w:r>
            <w:r>
              <w:rPr>
                <w:rStyle w:val="Bodytext2Verdana65pt"/>
                <w:lang w:val="en-US" w:eastAsia="en-US" w:bidi="en-US"/>
              </w:rPr>
              <w:t xml:space="preserve">a Tobago, </w:t>
            </w:r>
            <w:r>
              <w:rPr>
                <w:rStyle w:val="Bodytext2Verdana65pt"/>
              </w:rPr>
              <w:t xml:space="preserve">Tunisko, Jemen, Zambie, </w:t>
            </w:r>
            <w:r>
              <w:rPr>
                <w:rStyle w:val="Bodytext2Verdana65pt"/>
                <w:lang w:val="en-US" w:eastAsia="en-US" w:bidi="en-US"/>
              </w:rPr>
              <w:t xml:space="preserve">Zimbabwe </w:t>
            </w:r>
            <w:r>
              <w:rPr>
                <w:rStyle w:val="Bodytext2Verdana65pt"/>
              </w:rPr>
              <w:t xml:space="preserve">Mobilní sítě: Albánie, Alžírsko, Argentina, </w:t>
            </w:r>
            <w:r>
              <w:rPr>
                <w:rStyle w:val="Bodytext2Verdana65pt"/>
                <w:lang w:val="en-US" w:eastAsia="en-US" w:bidi="en-US"/>
              </w:rPr>
              <w:t xml:space="preserve">Bahrain, </w:t>
            </w:r>
            <w:r>
              <w:rPr>
                <w:rStyle w:val="Bodytext2Verdana65pt"/>
              </w:rPr>
              <w:t>Bangladéš, Bělorusko, Bolívie, Kolumbie, Kostarika, Dominikánská republika, Ekvádor, Egypt, Salvádor, Faerské ostrovy, Gruzie, Gi</w:t>
            </w:r>
            <w:r>
              <w:rPr>
                <w:rStyle w:val="Bodytext2Verdana65pt"/>
              </w:rPr>
              <w:t>braltar, Island, Indie, Indonésie, Írán, Irák, Kazachstán, Keňa, Korejská republika, Kuvajt, Kyrgyzstán, Makedonie, Moldavsko, Mongolsko, Maroko, Namibie Nepál, Nizozemské Antily, Pákistán, Panama, Paraguay, Peru, San Marino, Saudská Arábie, Singapur, Turk</w:t>
            </w:r>
            <w:r>
              <w:rPr>
                <w:rStyle w:val="Bodytext2Verdana65pt"/>
              </w:rPr>
              <w:t xml:space="preserve">menistán, </w:t>
            </w:r>
            <w:r>
              <w:rPr>
                <w:rStyle w:val="Bodytext2Verdana65pt"/>
                <w:lang w:val="en-US" w:eastAsia="en-US" w:bidi="en-US"/>
              </w:rPr>
              <w:t xml:space="preserve">Uganda, </w:t>
            </w:r>
            <w:r>
              <w:rPr>
                <w:rStyle w:val="Bodytext2Verdana65pt"/>
              </w:rPr>
              <w:t>Spojené arabské emiráty, Urugay, Uzbekistán, Venezuela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28,8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28,8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  <w:jc w:val="both"/>
            </w:pPr>
            <w:r>
              <w:rPr>
                <w:rStyle w:val="Bodytext2Verdana65pt"/>
              </w:rPr>
              <w:t xml:space="preserve">Pobřeží slonoviny, Kuba, Grónsko, Guinea, </w:t>
            </w:r>
            <w:r>
              <w:rPr>
                <w:rStyle w:val="Bodytext2Verdana65pt"/>
                <w:lang w:val="en-US" w:eastAsia="en-US" w:bidi="en-US"/>
              </w:rPr>
              <w:t xml:space="preserve">Laos </w:t>
            </w:r>
            <w:r>
              <w:rPr>
                <w:rStyle w:val="Bodytext2Verdana65pt"/>
              </w:rPr>
              <w:t>a ostatní neuvedené</w:t>
            </w:r>
          </w:p>
        </w:tc>
      </w:tr>
      <w:tr w:rsidR="004E433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</w:pPr>
            <w:r>
              <w:rPr>
                <w:rStyle w:val="Bodytext2Verdana65pt"/>
              </w:rPr>
              <w:t>1 + 1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3B" w:rsidRDefault="006C007B">
            <w:pPr>
              <w:pStyle w:val="Bodytext20"/>
              <w:framePr w:w="10411" w:h="8088" w:wrap="none" w:vAnchor="page" w:hAnchor="page" w:x="641" w:y="2074"/>
              <w:shd w:val="clear" w:color="auto" w:fill="auto"/>
              <w:spacing w:line="156" w:lineRule="exact"/>
              <w:jc w:val="both"/>
            </w:pPr>
            <w:r>
              <w:rPr>
                <w:rStyle w:val="Bodytext2Verdana65pt"/>
              </w:rPr>
              <w:t>Satelitní sítě</w:t>
            </w:r>
          </w:p>
        </w:tc>
      </w:tr>
    </w:tbl>
    <w:p w:rsidR="004E433B" w:rsidRDefault="006C007B">
      <w:pPr>
        <w:pStyle w:val="Tablecaption30"/>
        <w:framePr w:wrap="none" w:vAnchor="page" w:hAnchor="page" w:x="631" w:y="10173"/>
        <w:shd w:val="clear" w:color="auto" w:fill="auto"/>
      </w:pPr>
      <w:r>
        <w:t>Veškeré ceny jsou uvedeny bez DPH a v Kč.</w:t>
      </w:r>
    </w:p>
    <w:p w:rsidR="004E433B" w:rsidRDefault="006C007B">
      <w:pPr>
        <w:pStyle w:val="Bodytext20"/>
        <w:framePr w:wrap="none" w:vAnchor="page" w:hAnchor="page" w:x="5436" w:y="15730"/>
        <w:shd w:val="clear" w:color="auto" w:fill="auto"/>
      </w:pPr>
      <w:r>
        <w:t>Strana 1</w:t>
      </w:r>
    </w:p>
    <w:p w:rsidR="004E433B" w:rsidRDefault="004E433B">
      <w:pPr>
        <w:rPr>
          <w:sz w:val="2"/>
          <w:szCs w:val="2"/>
        </w:rPr>
      </w:pPr>
      <w:bookmarkStart w:id="0" w:name="_GoBack"/>
      <w:bookmarkEnd w:id="0"/>
    </w:p>
    <w:sectPr w:rsidR="004E43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7B" w:rsidRDefault="006C007B">
      <w:r>
        <w:separator/>
      </w:r>
    </w:p>
  </w:endnote>
  <w:endnote w:type="continuationSeparator" w:id="0">
    <w:p w:rsidR="006C007B" w:rsidRDefault="006C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7B" w:rsidRDefault="006C007B"/>
  </w:footnote>
  <w:footnote w:type="continuationSeparator" w:id="0">
    <w:p w:rsidR="006C007B" w:rsidRDefault="006C00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433B"/>
    <w:rsid w:val="004E433B"/>
    <w:rsid w:val="004F580C"/>
    <w:rsid w:val="006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F60F"/>
  <w15:docId w15:val="{7C4C063C-C0D3-496A-A067-528AD690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Headerorfooter224ptBoldNotItalic">
    <w:name w:val="Header or footer (2) + 24 pt;Bold;Not Italic"/>
    <w:basedOn w:val="Headerorfooter2"/>
    <w:rPr>
      <w:rFonts w:ascii="Arial" w:eastAsia="Arial" w:hAnsi="Arial" w:cs="Arial"/>
      <w:b/>
      <w:bCs/>
      <w:i/>
      <w:iCs/>
      <w:smallCaps w:val="0"/>
      <w:strike w:val="0"/>
      <w:color w:val="8E6369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Verdana65ptBold">
    <w:name w:val="Body text (2) + Verdana;6.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Verdana65pt">
    <w:name w:val="Body text (2) + Verdana;6.5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358" w:lineRule="exact"/>
    </w:pPr>
    <w:rPr>
      <w:rFonts w:ascii="Verdana" w:eastAsia="Verdana" w:hAnsi="Verdana" w:cs="Verdana"/>
      <w:sz w:val="30"/>
      <w:szCs w:val="3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536" w:lineRule="exact"/>
    </w:pPr>
    <w:rPr>
      <w:rFonts w:ascii="Arial" w:eastAsia="Arial" w:hAnsi="Arial" w:cs="Arial"/>
      <w:i/>
      <w:iCs/>
      <w:sz w:val="40"/>
      <w:szCs w:val="4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46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before="60" w:line="182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12" w:lineRule="exact"/>
    </w:pPr>
    <w:rPr>
      <w:rFonts w:ascii="Verdana" w:eastAsia="Verdana" w:hAnsi="Verdana" w:cs="Verdana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2805</Characters>
  <Application>Microsoft Office Word</Application>
  <DocSecurity>0</DocSecurity>
  <Lines>23</Lines>
  <Paragraphs>6</Paragraphs>
  <ScaleCrop>false</ScaleCrop>
  <Company>Hudební divadlo Karlín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2019-05-31T13:00:00Z</dcterms:created>
  <dcterms:modified xsi:type="dcterms:W3CDTF">2019-05-31T13:01:00Z</dcterms:modified>
</cp:coreProperties>
</file>