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12700</wp:posOffset>
                </wp:positionV>
                <wp:extent cx="2427605" cy="22606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7605" cy="2260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.899999999999999pt;margin-top:1.pt;width:191.15000000000001pt;height:17.8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221615</wp:posOffset>
                </wp:positionV>
                <wp:extent cx="1494790" cy="35877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4790" cy="358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silnic Vysočiny 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5.899999999999999pt;margin-top:17.449999999999999pt;width:117.7pt;height:28.2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silnic Vysočiny 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1953260</wp:posOffset>
            </wp:positionH>
            <wp:positionV relativeFrom="paragraph">
              <wp:posOffset>281305</wp:posOffset>
            </wp:positionV>
            <wp:extent cx="890270" cy="280670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806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311" w:val="left"/>
        </w:tabs>
        <w:bidi w:val="0"/>
        <w:spacing w:before="0" w:after="0" w:line="264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746" w:val="left"/>
        </w:tabs>
        <w:bidi w:val="0"/>
        <w:spacing w:before="0" w:after="0" w:line="264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52" w:left="4541" w:right="810" w:bottom="1510" w:header="524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DIČ.CZ00090450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objednávky: 73090535</w:t>
      </w:r>
    </w:p>
    <w:tbl>
      <w:tblPr>
        <w:tblOverlap w:val="never"/>
        <w:jc w:val="center"/>
        <w:tblLayout w:type="fixed"/>
      </w:tblPr>
      <w:tblGrid>
        <w:gridCol w:w="1688"/>
        <w:gridCol w:w="2200"/>
      </w:tblGrid>
      <w:tr>
        <w:trPr>
          <w:trHeight w:val="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73090535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30.09.2019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dod.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Pelhřimov</w:t>
            </w: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03.06.2019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5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both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PROTÉCT CZ s.r.o.</w:t>
      </w:r>
      <w:bookmarkEnd w:id="0"/>
      <w:bookmarkEnd w:id="1"/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Málkova 582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39601 Humpolec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918" w:val="left"/>
        </w:tabs>
        <w:bidi w:val="0"/>
        <w:spacing w:before="0" w:after="0" w:line="240" w:lineRule="auto"/>
        <w:ind w:left="0" w:right="0" w:firstLine="3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2" w:left="765" w:right="2618" w:bottom="1510" w:header="0" w:footer="3" w:gutter="0"/>
          <w:cols w:num="2" w:space="720" w:equalWidth="0">
            <w:col w:w="3888" w:space="126"/>
            <w:col w:w="4504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62024167</w:t>
        <w:tab/>
        <w:t>DIČ: CZ62024167</w:t>
      </w:r>
    </w:p>
    <w:p>
      <w:pPr>
        <w:widowControl w:val="0"/>
        <w:spacing w:line="113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93" w:left="0" w:right="0" w:bottom="1239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422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Pelhřimov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6577" w:val="left"/>
        </w:tabs>
        <w:bidi w:val="0"/>
        <w:spacing w:before="0" w:after="0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  <w:tab/>
        <w:t>Myslotínská 1887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437" w:val="left"/>
          <w:tab w:pos="6577" w:val="left"/>
        </w:tabs>
        <w:bidi w:val="0"/>
        <w:spacing w:before="0" w:after="0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</w:t>
        <w:tab/>
        <w:t>1887</w:t>
        <w:tab/>
        <w:t>Pelhřimov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6577" w:val="left"/>
        </w:tabs>
        <w:bidi w:val="0"/>
        <w:spacing w:before="0" w:after="160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393 82 Pelhřimov</w:t>
        <w:tab/>
        <w:t>393 01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smlouv P-DQ-3-2018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 xml:space="preserve"> ID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507059 objednávám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 xml:space="preserve"> 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Vás Smluvní podmínk objednávk</w:t>
      </w:r>
      <w:bookmarkEnd w:id="4"/>
      <w:bookmarkEnd w:id="5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Ihůtě, ceně, při dodržen předpisů BOZ a dalších podmíne uvedenýc v objednávce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788" w:val="left"/>
          <w:tab w:pos="7681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dané (finanční úřadem zveřejně způsobe umožňující</w:t>
        <w:tab/>
        <w:t>dálkov přístu v smyslu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1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1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1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1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1" w:val="left"/>
          <w:tab w:leader="dot" w:pos="6221" w:val="left"/>
          <w:tab w:leader="dot" w:pos="8431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</w:t>
        <w:tab/>
        <w:t>P-DO-3-2018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1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 pokutu. V případě ž kterékoliv z stran této smlouvy vznikn povinnos nahradí druhé straně škodu, je povinna nahradí škod skutečnou i uši zisk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167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347345" distL="76200" distR="76200" simplePos="0" relativeHeight="125829383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margin">
                  <wp:posOffset>-6985</wp:posOffset>
                </wp:positionV>
                <wp:extent cx="2404745" cy="21717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4745" cy="217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.700000000000003pt;margin-top:-0.55000000000000004pt;width:189.34999999999999pt;height:17.100000000000001pt;z-index:-125829370;mso-wrap-distance-left:6.pt;mso-wrap-distance-right:6.pt;mso-wrap-distance-bottom:27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05740" distB="0" distL="80645" distR="993140" simplePos="0" relativeHeight="125829385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margin">
                  <wp:posOffset>198755</wp:posOffset>
                </wp:positionV>
                <wp:extent cx="1483360" cy="358775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3360" cy="358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silnic Vysočiny 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2.049999999999997pt;margin-top:15.65pt;width:116.8pt;height:28.25pt;z-index:-125829368;mso-wrap-distance-left:6.3499999999999996pt;mso-wrap-distance-top:16.199999999999999pt;mso-wrap-distance-right:78.2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silnic Vysočiny příspěvková organizace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drawing>
          <wp:anchor distT="271780" distB="18415" distL="1566545" distR="107950" simplePos="0" relativeHeight="125829387" behindDoc="0" locked="0" layoutInCell="1" allowOverlap="1">
            <wp:simplePos x="0" y="0"/>
            <wp:positionH relativeFrom="page">
              <wp:posOffset>2019935</wp:posOffset>
            </wp:positionH>
            <wp:positionV relativeFrom="margin">
              <wp:posOffset>264795</wp:posOffset>
            </wp:positionV>
            <wp:extent cx="883920" cy="274320"/>
            <wp:wrapSquare wrapText="right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8392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019" w:val="left"/>
        </w:tabs>
        <w:bidi w:val="0"/>
        <w:spacing w:before="0" w:after="0" w:line="240" w:lineRule="auto"/>
        <w:ind w:left="12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93" w:left="784" w:right="781" w:bottom="1239" w:header="465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1430" distB="1254760" distL="2637790" distR="1877060" simplePos="0" relativeHeight="125829388" behindDoc="0" locked="0" layoutInCell="1" allowOverlap="1">
                <wp:simplePos x="0" y="0"/>
                <wp:positionH relativeFrom="page">
                  <wp:posOffset>3085465</wp:posOffset>
                </wp:positionH>
                <wp:positionV relativeFrom="margin">
                  <wp:posOffset>699770</wp:posOffset>
                </wp:positionV>
                <wp:extent cx="1088390" cy="16700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839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03.06.2019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42.94999999999999pt;margin-top:55.100000000000001pt;width:85.700000000000003pt;height:13.15pt;z-index:-125829365;mso-wrap-distance-left:207.69999999999999pt;mso-wrap-distance-top:0.90000000000000002pt;mso-wrap-distance-right:147.80000000000001pt;mso-wrap-distance-bottom:98.79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03.06.2019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4475" distB="0" distL="114300" distR="3038475" simplePos="0" relativeHeight="125829390" behindDoc="0" locked="0" layoutInCell="1" allowOverlap="1">
                <wp:simplePos x="0" y="0"/>
                <wp:positionH relativeFrom="page">
                  <wp:posOffset>561975</wp:posOffset>
                </wp:positionH>
                <wp:positionV relativeFrom="margin">
                  <wp:posOffset>932815</wp:posOffset>
                </wp:positionV>
                <wp:extent cx="2450465" cy="118872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50465" cy="118872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81"/>
                              <w:gridCol w:w="2178"/>
                            </w:tblGrid>
                            <w:tr>
                              <w:trPr>
                                <w:tblHeader/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73090535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30.09.2019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Pelhřimov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4.25pt;margin-top:73.450000000000003pt;width:192.94999999999999pt;height:93.599999999999994pt;z-index:-125829363;mso-wrap-distance-left:9.pt;mso-wrap-distance-top:19.25pt;mso-wrap-distance-right:239.25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81"/>
                        <w:gridCol w:w="2178"/>
                      </w:tblGrid>
                      <w:tr>
                        <w:trPr>
                          <w:tblHeader/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730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73090535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30.09.2019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dod.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Pelhřimov</w:t>
                            </w:r>
                          </w:p>
                        </w:tc>
                      </w:tr>
                      <w:tr>
                        <w:trPr>
                          <w:trHeight w:val="281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570865</wp:posOffset>
                </wp:positionH>
                <wp:positionV relativeFrom="margin">
                  <wp:posOffset>688340</wp:posOffset>
                </wp:positionV>
                <wp:extent cx="1650365" cy="18034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0365" cy="1803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Číslo objednávky: 73090535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4.950000000000003pt;margin-top:54.200000000000003pt;width:129.94999999999999pt;height:14.19999999999999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73090535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8920" distB="329565" distL="2727325" distR="114300" simplePos="0" relativeHeight="125829392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margin">
                  <wp:posOffset>937260</wp:posOffset>
                </wp:positionV>
                <wp:extent cx="2761615" cy="85471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61615" cy="854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5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none"/>
                                <w:shd w:val="clear" w:color="auto" w:fill="auto"/>
                                <w:lang w:val="cs-CZ" w:eastAsia="cs-CZ" w:bidi="cs-CZ"/>
                              </w:rPr>
                              <w:t>PROTÉCT CZ s.r.o.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Hálkova 582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39601 Humpolec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6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62024167</w:t>
                              <w:tab/>
                              <w:t>DIČ: CZ62024167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50.pt;margin-top:73.799999999999997pt;width:217.44999999999999pt;height:67.299999999999997pt;z-index:-125829361;mso-wrap-distance-left:214.75pt;mso-wrap-distance-top:19.600000000000001pt;mso-wrap-distance-right:9.pt;mso-wrap-distance-bottom:25.9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5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cs-CZ" w:eastAsia="cs-CZ" w:bidi="cs-CZ"/>
                        </w:rPr>
                        <w:t>PROTÉCT CZ s.r.o.</w:t>
                      </w:r>
                      <w:bookmarkEnd w:id="2"/>
                      <w:bookmarkEnd w:id="3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Hálkova 582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39601 Humpolec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64" w:val="left"/>
                        </w:tabs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62024167</w:t>
                        <w:tab/>
                        <w:t>DIČ: CZ62024167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DIČ.CZ00090450</w:t>
      </w:r>
    </w:p>
    <w:p>
      <w:pPr>
        <w:widowControl w:val="0"/>
        <w:spacing w:line="112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16" w:left="0" w:right="0" w:bottom="1197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420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Pelhřimov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6509" w:val="left"/>
        </w:tabs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  <w:tab/>
        <w:t>Myslotínská 1887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403" w:val="left"/>
          <w:tab w:pos="6509" w:val="left"/>
        </w:tabs>
        <w:bidi w:val="0"/>
        <w:spacing w:before="0" w:after="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</w:t>
        <w:tab/>
        <w:t>1887</w:t>
        <w:tab/>
        <w:t>Pelhřimov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6509" w:val="left"/>
        </w:tabs>
        <w:bidi w:val="0"/>
        <w:spacing w:before="0" w:after="216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393 82 Pelhřimov</w:t>
        <w:tab/>
        <w:t>393 01</w:t>
      </w:r>
    </w:p>
    <w:tbl>
      <w:tblPr>
        <w:tblOverlap w:val="never"/>
        <w:jc w:val="left"/>
        <w:tblLayout w:type="fixed"/>
      </w:tblPr>
      <w:tblGrid>
        <w:gridCol w:w="3204"/>
        <w:gridCol w:w="1138"/>
        <w:gridCol w:w="997"/>
        <w:gridCol w:w="572"/>
        <w:gridCol w:w="1249"/>
        <w:gridCol w:w="947"/>
        <w:gridCol w:w="1037"/>
        <w:gridCol w:w="1084"/>
      </w:tblGrid>
      <w:tr>
        <w:trPr>
          <w:trHeight w:val="7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228" w:h="738" w:vSpace="475" w:wrap="notBeside" w:vAnchor="text" w:hAnchor="text" w:x="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228" w:h="738" w:vSpace="475" w:wrap="notBeside" w:vAnchor="text" w:hAnchor="text" w:x="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228" w:h="738" w:vSpace="475" w:wrap="notBeside" w:vAnchor="text" w:hAnchor="text" w:x="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228" w:h="738" w:vSpace="475" w:wrap="notBeside" w:vAnchor="text" w:hAnchor="text" w:x="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228" w:h="738" w:vSpace="475" w:wrap="notBeside" w:vAnchor="text" w:hAnchor="text" w:x="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228" w:h="738" w:vSpace="475" w:wrap="notBeside" w:vAnchor="text" w:hAnchor="text" w:x="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228" w:h="738" w:vSpace="475" w:wrap="notBeside" w:vAnchor="text" w:hAnchor="text" w:x="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0228" w:h="738" w:vSpace="475" w:wrap="notBeside" w:vAnchor="text" w:hAnchor="text" w:x="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9"/>
        <w:keepNext w:val="0"/>
        <w:keepLines w:val="0"/>
        <w:framePr w:w="4309" w:h="475" w:hSpace="3" w:wrap="notBeside" w:vAnchor="text" w:hAnchor="text" w:x="29" w:y="739"/>
        <w:widowControl w:val="0"/>
        <w:shd w:val="clear" w:color="auto" w:fill="auto"/>
        <w:tabs>
          <w:tab w:pos="344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nároky OOPP PE,HU,PA 111/2019</w:t>
        <w:tab/>
        <w:t>90 000,00</w:t>
      </w:r>
    </w:p>
    <w:p>
      <w:pPr>
        <w:pStyle w:val="Style9"/>
        <w:keepNext w:val="0"/>
        <w:keepLines w:val="0"/>
        <w:framePr w:w="4309" w:h="475" w:hSpace="3" w:wrap="notBeside" w:vAnchor="text" w:hAnchor="text" w:x="29" w:y="7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P-DO-3-2018</w:t>
      </w:r>
    </w:p>
    <w:p>
      <w:pPr>
        <w:pStyle w:val="Style9"/>
        <w:keepNext w:val="0"/>
        <w:keepLines w:val="0"/>
        <w:framePr w:w="2221" w:h="238" w:hSpace="3" w:wrap="notBeside" w:vAnchor="text" w:hAnchor="text" w:x="4940" w:y="7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 sad 90 000,00</w:t>
      </w:r>
    </w:p>
    <w:p>
      <w:pPr>
        <w:pStyle w:val="Style9"/>
        <w:keepNext w:val="0"/>
        <w:keepLines w:val="0"/>
        <w:framePr w:w="2369" w:h="238" w:hSpace="3" w:wrap="notBeside" w:vAnchor="text" w:hAnchor="text" w:x="7852" w:y="739"/>
        <w:widowControl w:val="0"/>
        <w:shd w:val="clear" w:color="auto" w:fill="auto"/>
        <w:tabs>
          <w:tab w:pos="436" w:val="left"/>
          <w:tab w:pos="151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</w:t>
        <w:tab/>
        <w:t>18 900,00</w:t>
        <w:tab/>
        <w:t>108 900,0</w:t>
      </w:r>
    </w:p>
    <w:p>
      <w:pPr>
        <w:widowControl w:val="0"/>
        <w:spacing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03.06.2019</w:t>
      </w:r>
    </w:p>
    <w:tbl>
      <w:tblPr>
        <w:tblpPr w:leftFromText="80" w:rightFromText="80" w:topFromText="0" w:bottomFromText="0" w:horzAnchor="page" w:tblpX="1050" w:vertAnchor="text" w:tblpY="20"/>
        <w:jc w:val="left"/>
        <w:tblLayout w:type="fixed"/>
      </w:tblPr>
      <w:tblGrid>
        <w:gridCol w:w="1433"/>
        <w:gridCol w:w="3341"/>
      </w:tblGrid>
      <w:tr>
        <w:trPr>
          <w:tblHeader/>
          <w:trHeight w:val="335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Akceptace dodavatele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Schváleno: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Orientační cena objednávky s Dph: 108 900,00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7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16" w:left="913" w:right="753" w:bottom="119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135" w:val="left"/>
          <w:tab w:pos="5598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arukawice.cz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[i</w:t>
        <w:tab/>
        <w:t>(a)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rukawice.cz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]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Tuesday, June 4, 2019 2:35 PM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434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Fwd: objednávky k potvrzení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 pan*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potvrzuji přijetí Vašich objednávek č.73090534,73090535,73090536 ze dne 3.6.2019.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 a díky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PROTÉCT CZ, Humpolec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4071" w:left="653" w:right="1012" w:bottom="4071" w:header="364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6216650</wp:posOffset>
              </wp:positionH>
              <wp:positionV relativeFrom="page">
                <wp:posOffset>9947910</wp:posOffset>
              </wp:positionV>
              <wp:extent cx="544195" cy="9588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4195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89.5pt;margin-top:783.29999999999995pt;width:42.850000000000001pt;height:7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3793490</wp:posOffset>
              </wp:positionH>
              <wp:positionV relativeFrom="page">
                <wp:posOffset>10113010</wp:posOffset>
              </wp:positionV>
              <wp:extent cx="22860" cy="6858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" cy="685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98.69999999999999pt;margin-top:796.29999999999995pt;width:1.8pt;height:5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3">
    <w:name w:val="Jiné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Nadpis #1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harStyle21">
    <w:name w:val="Základní text (2)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line="216" w:lineRule="auto"/>
    </w:pPr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spacing w:line="247" w:lineRule="auto"/>
      <w:ind w:firstLine="12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paragraph" w:customStyle="1" w:styleId="Style20">
    <w:name w:val="Základní text (2)"/>
    <w:basedOn w:val="Normal"/>
    <w:link w:val="CharStyle21"/>
    <w:pPr>
      <w:widowControl w:val="0"/>
      <w:shd w:val="clear" w:color="auto" w:fill="FFFFFF"/>
      <w:spacing w:after="220"/>
      <w:ind w:left="16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