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78" w:rsidRDefault="00CE0A78">
      <w:pPr>
        <w:spacing w:line="265" w:lineRule="auto"/>
        <w:rPr>
          <w:b/>
          <w:color w:val="000000"/>
          <w:sz w:val="52"/>
        </w:rPr>
      </w:pPr>
      <w:r>
        <w:rPr>
          <w:b/>
          <w:color w:val="000000"/>
          <w:sz w:val="52"/>
        </w:rPr>
        <w:t xml:space="preserve">      </w:t>
      </w:r>
      <w:r w:rsidR="001E3F3E">
        <w:rPr>
          <w:b/>
          <w:color w:val="000000"/>
          <w:sz w:val="52"/>
        </w:rPr>
        <w:t xml:space="preserve"> SMLOUVA O DÍLO </w:t>
      </w:r>
    </w:p>
    <w:p w:rsidR="00D111E4" w:rsidRPr="00D111E4" w:rsidRDefault="00D111E4">
      <w:pPr>
        <w:spacing w:line="265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Č. j.</w:t>
      </w:r>
      <w:r w:rsidRPr="00D111E4">
        <w:rPr>
          <w:color w:val="000000"/>
          <w:sz w:val="28"/>
          <w:szCs w:val="28"/>
        </w:rPr>
        <w:t xml:space="preserve"> UKKTF/142071/2019</w:t>
      </w:r>
    </w:p>
    <w:p w:rsidR="001C32FF" w:rsidRDefault="001C32FF">
      <w:pPr>
        <w:spacing w:line="265" w:lineRule="auto"/>
        <w:rPr>
          <w:color w:val="000000"/>
          <w:sz w:val="24"/>
        </w:rPr>
      </w:pPr>
    </w:p>
    <w:p w:rsidR="001C32FF" w:rsidRDefault="001C32FF" w:rsidP="002141CF">
      <w:pPr>
        <w:pStyle w:val="Odstavecseseznamem"/>
        <w:numPr>
          <w:ilvl w:val="0"/>
          <w:numId w:val="1"/>
        </w:numPr>
        <w:spacing w:line="265" w:lineRule="auto"/>
        <w:rPr>
          <w:b/>
          <w:i/>
          <w:color w:val="000000"/>
          <w:sz w:val="28"/>
        </w:rPr>
      </w:pPr>
      <w:r w:rsidRPr="002141CF">
        <w:rPr>
          <w:b/>
          <w:i/>
          <w:color w:val="000000"/>
          <w:sz w:val="28"/>
        </w:rPr>
        <w:t>Objednatel</w:t>
      </w:r>
    </w:p>
    <w:p w:rsidR="002141CF" w:rsidRPr="00CF19FE" w:rsidRDefault="002141CF" w:rsidP="002141CF">
      <w:pPr>
        <w:spacing w:line="265" w:lineRule="auto"/>
        <w:rPr>
          <w:color w:val="000000"/>
          <w:sz w:val="28"/>
          <w:szCs w:val="28"/>
        </w:rPr>
      </w:pPr>
      <w:r w:rsidRPr="00CF19FE">
        <w:rPr>
          <w:b/>
          <w:color w:val="000000"/>
          <w:sz w:val="28"/>
          <w:szCs w:val="28"/>
        </w:rPr>
        <w:t xml:space="preserve">Katolická teologická fakulta UK, Thákurova 3, </w:t>
      </w:r>
      <w:r w:rsidR="0030032D" w:rsidRPr="00CF19FE">
        <w:rPr>
          <w:b/>
          <w:color w:val="000000"/>
          <w:sz w:val="28"/>
          <w:szCs w:val="28"/>
        </w:rPr>
        <w:t>160 00 Praha</w:t>
      </w:r>
      <w:r w:rsidRPr="00CF19FE">
        <w:rPr>
          <w:b/>
          <w:color w:val="000000"/>
          <w:sz w:val="28"/>
          <w:szCs w:val="28"/>
        </w:rPr>
        <w:t xml:space="preserve"> 6</w:t>
      </w:r>
    </w:p>
    <w:p w:rsidR="002141CF" w:rsidRPr="00CF19FE" w:rsidRDefault="002141CF" w:rsidP="002141CF">
      <w:pPr>
        <w:spacing w:line="265" w:lineRule="auto"/>
        <w:rPr>
          <w:color w:val="000000"/>
          <w:sz w:val="28"/>
          <w:szCs w:val="28"/>
        </w:rPr>
      </w:pPr>
      <w:r w:rsidRPr="00CF19FE">
        <w:rPr>
          <w:color w:val="000000"/>
          <w:sz w:val="28"/>
          <w:szCs w:val="28"/>
        </w:rPr>
        <w:t xml:space="preserve">IČO 00216208, DIČ CZ00216208 </w:t>
      </w:r>
    </w:p>
    <w:p w:rsidR="002141CF" w:rsidRPr="00CF19FE" w:rsidRDefault="002141CF" w:rsidP="002141CF">
      <w:pPr>
        <w:spacing w:line="265" w:lineRule="auto"/>
        <w:rPr>
          <w:color w:val="000000"/>
          <w:sz w:val="28"/>
          <w:szCs w:val="28"/>
        </w:rPr>
      </w:pPr>
      <w:r w:rsidRPr="00CF19FE">
        <w:rPr>
          <w:color w:val="000000"/>
          <w:sz w:val="28"/>
          <w:szCs w:val="28"/>
        </w:rPr>
        <w:t>Zastoupen</w:t>
      </w:r>
      <w:r w:rsidR="008E0B0A" w:rsidRPr="00CF19FE">
        <w:rPr>
          <w:color w:val="000000"/>
          <w:sz w:val="28"/>
          <w:szCs w:val="28"/>
        </w:rPr>
        <w:t>á</w:t>
      </w:r>
      <w:r w:rsidRPr="00CF19FE">
        <w:rPr>
          <w:color w:val="000000"/>
          <w:sz w:val="28"/>
          <w:szCs w:val="28"/>
        </w:rPr>
        <w:t xml:space="preserve">: prof. </w:t>
      </w:r>
      <w:proofErr w:type="spellStart"/>
      <w:r w:rsidRPr="00CF19FE">
        <w:rPr>
          <w:color w:val="000000"/>
          <w:sz w:val="28"/>
          <w:szCs w:val="28"/>
        </w:rPr>
        <w:t>PhLic</w:t>
      </w:r>
      <w:proofErr w:type="spellEnd"/>
      <w:r w:rsidRPr="00CF19FE">
        <w:rPr>
          <w:color w:val="000000"/>
          <w:sz w:val="28"/>
          <w:szCs w:val="28"/>
        </w:rPr>
        <w:t xml:space="preserve">. Vojtěchem Novotným, </w:t>
      </w:r>
      <w:proofErr w:type="spellStart"/>
      <w:r w:rsidRPr="00CF19FE">
        <w:rPr>
          <w:color w:val="000000"/>
          <w:sz w:val="28"/>
          <w:szCs w:val="28"/>
        </w:rPr>
        <w:t>Th.D</w:t>
      </w:r>
      <w:proofErr w:type="spellEnd"/>
      <w:r w:rsidRPr="00CF19FE">
        <w:rPr>
          <w:color w:val="000000"/>
          <w:sz w:val="28"/>
          <w:szCs w:val="28"/>
        </w:rPr>
        <w:t xml:space="preserve">., děkanem </w:t>
      </w:r>
    </w:p>
    <w:p w:rsidR="002141CF" w:rsidRPr="00CF19FE" w:rsidRDefault="002141CF" w:rsidP="002141CF">
      <w:pPr>
        <w:spacing w:line="265" w:lineRule="auto"/>
        <w:rPr>
          <w:color w:val="000000"/>
          <w:sz w:val="28"/>
          <w:szCs w:val="28"/>
        </w:rPr>
      </w:pPr>
      <w:r w:rsidRPr="00CF19FE">
        <w:rPr>
          <w:color w:val="000000"/>
          <w:sz w:val="28"/>
          <w:szCs w:val="28"/>
        </w:rPr>
        <w:t>Osoba oprávněna k jednání: Mgr. Kateřina Šolcová, Ph.D., tajemnice fakulty</w:t>
      </w:r>
    </w:p>
    <w:p w:rsidR="002141CF" w:rsidRPr="00CF19FE" w:rsidRDefault="002141CF" w:rsidP="002141CF">
      <w:pPr>
        <w:spacing w:line="265" w:lineRule="auto"/>
        <w:rPr>
          <w:color w:val="000000"/>
          <w:sz w:val="28"/>
          <w:szCs w:val="28"/>
        </w:rPr>
      </w:pPr>
      <w:r w:rsidRPr="00CF19FE">
        <w:rPr>
          <w:color w:val="000000"/>
          <w:sz w:val="28"/>
          <w:szCs w:val="28"/>
        </w:rPr>
        <w:t>Bankovní spojení: 320 340 61 / 0100</w:t>
      </w:r>
    </w:p>
    <w:p w:rsidR="002141CF" w:rsidRPr="002141CF" w:rsidRDefault="002141CF" w:rsidP="002141CF">
      <w:pPr>
        <w:spacing w:line="265" w:lineRule="auto"/>
        <w:rPr>
          <w:b/>
          <w:i/>
          <w:color w:val="000000"/>
          <w:sz w:val="28"/>
        </w:rPr>
      </w:pPr>
    </w:p>
    <w:p w:rsidR="002141CF" w:rsidRPr="00992F74" w:rsidRDefault="002141CF" w:rsidP="00992F74">
      <w:pPr>
        <w:pStyle w:val="Odstavecseseznamem"/>
        <w:numPr>
          <w:ilvl w:val="0"/>
          <w:numId w:val="1"/>
        </w:numPr>
        <w:tabs>
          <w:tab w:val="left" w:pos="3834"/>
        </w:tabs>
        <w:spacing w:line="265" w:lineRule="auto"/>
        <w:rPr>
          <w:b/>
          <w:i/>
          <w:sz w:val="28"/>
        </w:rPr>
      </w:pPr>
      <w:r w:rsidRPr="00992F74">
        <w:rPr>
          <w:b/>
          <w:i/>
          <w:sz w:val="28"/>
        </w:rPr>
        <w:t xml:space="preserve">Zhotovitel </w:t>
      </w:r>
    </w:p>
    <w:p w:rsidR="00646F85" w:rsidRDefault="00646F85" w:rsidP="00646F85">
      <w:pPr>
        <w:tabs>
          <w:tab w:val="left" w:pos="3834"/>
        </w:tabs>
        <w:spacing w:line="265" w:lineRule="auto"/>
        <w:jc w:val="both"/>
        <w:rPr>
          <w:sz w:val="28"/>
        </w:rPr>
      </w:pPr>
      <w:r w:rsidRPr="00646F85">
        <w:rPr>
          <w:sz w:val="28"/>
        </w:rPr>
        <w:t xml:space="preserve">RAKWEISS </w:t>
      </w:r>
      <w:proofErr w:type="spellStart"/>
      <w:r w:rsidRPr="00646F85">
        <w:rPr>
          <w:sz w:val="28"/>
        </w:rPr>
        <w:t>paint</w:t>
      </w:r>
      <w:proofErr w:type="spellEnd"/>
      <w:r w:rsidRPr="00646F85">
        <w:rPr>
          <w:sz w:val="28"/>
        </w:rPr>
        <w:t xml:space="preserve"> s.r.o.</w:t>
      </w:r>
    </w:p>
    <w:p w:rsidR="00BF224D" w:rsidRPr="00646F85" w:rsidRDefault="00BF224D" w:rsidP="00646F85">
      <w:pPr>
        <w:tabs>
          <w:tab w:val="left" w:pos="3834"/>
        </w:tabs>
        <w:spacing w:line="265" w:lineRule="auto"/>
        <w:jc w:val="both"/>
        <w:rPr>
          <w:sz w:val="28"/>
        </w:rPr>
      </w:pPr>
      <w:r>
        <w:rPr>
          <w:sz w:val="28"/>
        </w:rPr>
        <w:t xml:space="preserve">Zastoupená: Petr Weiss – jednatel </w:t>
      </w:r>
    </w:p>
    <w:p w:rsidR="00646F85" w:rsidRPr="00646F85" w:rsidRDefault="00646F85" w:rsidP="00646F85">
      <w:pPr>
        <w:tabs>
          <w:tab w:val="left" w:pos="3834"/>
        </w:tabs>
        <w:spacing w:line="265" w:lineRule="auto"/>
        <w:jc w:val="both"/>
        <w:rPr>
          <w:sz w:val="28"/>
        </w:rPr>
      </w:pPr>
      <w:r w:rsidRPr="00646F85">
        <w:rPr>
          <w:sz w:val="28"/>
        </w:rPr>
        <w:t>Rybná 716/24</w:t>
      </w:r>
    </w:p>
    <w:p w:rsidR="00646F85" w:rsidRPr="00646F85" w:rsidRDefault="00646F85" w:rsidP="00646F85">
      <w:pPr>
        <w:tabs>
          <w:tab w:val="left" w:pos="3834"/>
        </w:tabs>
        <w:spacing w:line="265" w:lineRule="auto"/>
        <w:jc w:val="both"/>
        <w:rPr>
          <w:sz w:val="28"/>
        </w:rPr>
      </w:pPr>
      <w:r w:rsidRPr="00646F85">
        <w:rPr>
          <w:sz w:val="28"/>
        </w:rPr>
        <w:t>110 00 Praha 1</w:t>
      </w:r>
    </w:p>
    <w:p w:rsidR="00646F85" w:rsidRDefault="00DF5EC0" w:rsidP="00646F85">
      <w:p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 w:rsidRPr="00DF5EC0">
        <w:rPr>
          <w:sz w:val="28"/>
        </w:rPr>
        <w:t>IČO: 256 08</w:t>
      </w:r>
      <w:r>
        <w:rPr>
          <w:sz w:val="28"/>
        </w:rPr>
        <w:t> </w:t>
      </w:r>
      <w:r w:rsidRPr="00DF5EC0">
        <w:rPr>
          <w:sz w:val="28"/>
        </w:rPr>
        <w:t>304</w:t>
      </w:r>
      <w:r>
        <w:rPr>
          <w:sz w:val="28"/>
        </w:rPr>
        <w:t xml:space="preserve">; DIČ: </w:t>
      </w:r>
      <w:r w:rsidR="00646F85" w:rsidRPr="00646F85">
        <w:rPr>
          <w:sz w:val="28"/>
        </w:rPr>
        <w:t>CZ25608304</w:t>
      </w:r>
      <w:bookmarkStart w:id="0" w:name="_GoBack"/>
      <w:bookmarkEnd w:id="0"/>
    </w:p>
    <w:p w:rsidR="00646F85" w:rsidRPr="002141CF" w:rsidRDefault="00646F85" w:rsidP="00646F85">
      <w:p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2141CF" w:rsidRPr="0032247F" w:rsidRDefault="002141CF" w:rsidP="00992F74">
      <w:pPr>
        <w:pStyle w:val="Odstavecseseznamem"/>
        <w:numPr>
          <w:ilvl w:val="0"/>
          <w:numId w:val="1"/>
        </w:numPr>
        <w:spacing w:line="265" w:lineRule="auto"/>
        <w:jc w:val="both"/>
        <w:rPr>
          <w:b/>
          <w:i/>
          <w:color w:val="000000"/>
          <w:sz w:val="28"/>
        </w:rPr>
      </w:pPr>
      <w:r w:rsidRPr="002141CF">
        <w:rPr>
          <w:b/>
          <w:i/>
          <w:sz w:val="28"/>
        </w:rPr>
        <w:t>Předmět plnění</w:t>
      </w:r>
    </w:p>
    <w:p w:rsidR="0032247F" w:rsidRPr="0032247F" w:rsidRDefault="0032247F" w:rsidP="00CF19FE">
      <w:pPr>
        <w:spacing w:line="265" w:lineRule="auto"/>
        <w:jc w:val="both"/>
        <w:rPr>
          <w:color w:val="000000"/>
          <w:sz w:val="28"/>
        </w:rPr>
      </w:pPr>
      <w:r w:rsidRPr="00BF224D">
        <w:rPr>
          <w:color w:val="000000"/>
          <w:sz w:val="28"/>
        </w:rPr>
        <w:t xml:space="preserve">Malířské práce v rozsahu přiložené nabídky, viz příloha 1, včetně materiálu </w:t>
      </w:r>
      <w:r w:rsidR="00646F85" w:rsidRPr="00BF224D">
        <w:rPr>
          <w:color w:val="000000"/>
          <w:sz w:val="28"/>
        </w:rPr>
        <w:t>Prim Plus a</w:t>
      </w:r>
      <w:r w:rsidRPr="00BF224D">
        <w:rPr>
          <w:color w:val="000000"/>
          <w:sz w:val="28"/>
        </w:rPr>
        <w:t xml:space="preserve"> příslušných oprav</w:t>
      </w:r>
      <w:r w:rsidR="00646F85" w:rsidRPr="00BF224D">
        <w:rPr>
          <w:color w:val="000000"/>
          <w:sz w:val="28"/>
        </w:rPr>
        <w:t xml:space="preserve"> dle přiložené nabídky.</w:t>
      </w:r>
      <w:r w:rsidR="00646F85">
        <w:rPr>
          <w:color w:val="000000"/>
          <w:sz w:val="28"/>
        </w:rPr>
        <w:t xml:space="preserve"> </w:t>
      </w:r>
      <w:r w:rsidR="00CF19FE">
        <w:rPr>
          <w:color w:val="000000"/>
          <w:sz w:val="28"/>
        </w:rPr>
        <w:t>Případné vícepráce/</w:t>
      </w:r>
      <w:proofErr w:type="spellStart"/>
      <w:r w:rsidR="00CF19FE">
        <w:rPr>
          <w:color w:val="000000"/>
          <w:sz w:val="28"/>
        </w:rPr>
        <w:t>méněpráce</w:t>
      </w:r>
      <w:proofErr w:type="spellEnd"/>
      <w:r w:rsidR="00CF19FE">
        <w:rPr>
          <w:color w:val="000000"/>
          <w:sz w:val="28"/>
        </w:rPr>
        <w:t xml:space="preserve"> budou předem odsouhlaseny zástupcem objednatele. </w:t>
      </w:r>
    </w:p>
    <w:p w:rsidR="002141CF" w:rsidRPr="002141CF" w:rsidRDefault="002141CF" w:rsidP="00993CBD">
      <w:pPr>
        <w:spacing w:line="265" w:lineRule="auto"/>
        <w:jc w:val="both"/>
        <w:rPr>
          <w:b/>
          <w:i/>
          <w:color w:val="000000"/>
          <w:sz w:val="28"/>
        </w:rPr>
      </w:pPr>
    </w:p>
    <w:p w:rsidR="002141CF" w:rsidRPr="002141CF" w:rsidRDefault="002141CF" w:rsidP="00992F74">
      <w:pPr>
        <w:pStyle w:val="Odstavecseseznamem"/>
        <w:numPr>
          <w:ilvl w:val="0"/>
          <w:numId w:val="1"/>
        </w:numPr>
        <w:spacing w:line="265" w:lineRule="auto"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Termín plnění</w:t>
      </w:r>
    </w:p>
    <w:p w:rsidR="002141CF" w:rsidRPr="00CF19FE" w:rsidRDefault="00646F85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První fáze: </w:t>
      </w:r>
      <w:r w:rsidR="0032247F" w:rsidRPr="00CF19FE">
        <w:rPr>
          <w:sz w:val="28"/>
          <w:szCs w:val="28"/>
        </w:rPr>
        <w:t>04</w:t>
      </w:r>
      <w:r w:rsidR="0030032D" w:rsidRPr="00CF19FE">
        <w:rPr>
          <w:sz w:val="28"/>
          <w:szCs w:val="28"/>
        </w:rPr>
        <w:t xml:space="preserve">. </w:t>
      </w:r>
      <w:r w:rsidRPr="00CF19FE">
        <w:rPr>
          <w:sz w:val="28"/>
          <w:szCs w:val="28"/>
        </w:rPr>
        <w:t>6</w:t>
      </w:r>
      <w:r w:rsidR="0030032D" w:rsidRPr="00CF19FE">
        <w:rPr>
          <w:sz w:val="28"/>
          <w:szCs w:val="28"/>
        </w:rPr>
        <w:t>. 201</w:t>
      </w:r>
      <w:r w:rsidR="0032247F" w:rsidRPr="00CF19FE">
        <w:rPr>
          <w:sz w:val="28"/>
          <w:szCs w:val="28"/>
        </w:rPr>
        <w:t>9</w:t>
      </w:r>
      <w:r w:rsidRPr="00CF19FE">
        <w:rPr>
          <w:sz w:val="28"/>
          <w:szCs w:val="28"/>
        </w:rPr>
        <w:t xml:space="preserve"> – </w:t>
      </w:r>
      <w:proofErr w:type="gramStart"/>
      <w:r w:rsidRPr="00CF19FE">
        <w:rPr>
          <w:sz w:val="28"/>
          <w:szCs w:val="28"/>
        </w:rPr>
        <w:t>14.6. 2019</w:t>
      </w:r>
      <w:proofErr w:type="gramEnd"/>
      <w:r w:rsidRPr="00CF19FE">
        <w:rPr>
          <w:sz w:val="28"/>
          <w:szCs w:val="28"/>
        </w:rPr>
        <w:t xml:space="preserve"> (kanceláře 1075, 1076, 1077)</w:t>
      </w:r>
    </w:p>
    <w:p w:rsidR="00C95FDF" w:rsidRPr="00CF19FE" w:rsidRDefault="00646F85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Druhá fáze</w:t>
      </w:r>
      <w:r w:rsidR="002141CF" w:rsidRPr="00CF19FE">
        <w:rPr>
          <w:sz w:val="28"/>
          <w:szCs w:val="28"/>
        </w:rPr>
        <w:t xml:space="preserve">: do </w:t>
      </w:r>
      <w:proofErr w:type="gramStart"/>
      <w:r w:rsidRPr="00CF19FE">
        <w:rPr>
          <w:sz w:val="28"/>
          <w:szCs w:val="28"/>
        </w:rPr>
        <w:t>25.7.-20</w:t>
      </w:r>
      <w:proofErr w:type="gramEnd"/>
      <w:r w:rsidRPr="00CF19FE">
        <w:rPr>
          <w:sz w:val="28"/>
          <w:szCs w:val="28"/>
        </w:rPr>
        <w:t xml:space="preserve">. 8. </w:t>
      </w:r>
      <w:r w:rsidR="002141CF" w:rsidRPr="00CF19FE">
        <w:rPr>
          <w:sz w:val="28"/>
          <w:szCs w:val="28"/>
        </w:rPr>
        <w:t>201</w:t>
      </w:r>
      <w:r w:rsidR="0032247F" w:rsidRPr="00CF19FE">
        <w:rPr>
          <w:sz w:val="28"/>
          <w:szCs w:val="28"/>
        </w:rPr>
        <w:t>9</w:t>
      </w:r>
      <w:r w:rsidR="00C95FDF" w:rsidRPr="00CF19FE">
        <w:rPr>
          <w:sz w:val="28"/>
          <w:szCs w:val="28"/>
        </w:rPr>
        <w:t xml:space="preserve"> </w:t>
      </w:r>
    </w:p>
    <w:p w:rsidR="00C95FDF" w:rsidRPr="00CF19FE" w:rsidRDefault="00C95FDF" w:rsidP="00993CBD">
      <w:pPr>
        <w:tabs>
          <w:tab w:val="left" w:pos="3834"/>
        </w:tabs>
        <w:spacing w:line="265" w:lineRule="auto"/>
        <w:jc w:val="both"/>
        <w:rPr>
          <w:b/>
          <w:color w:val="000000" w:themeColor="text1"/>
          <w:sz w:val="28"/>
          <w:szCs w:val="28"/>
        </w:rPr>
      </w:pPr>
      <w:r w:rsidRPr="00CF19FE">
        <w:rPr>
          <w:b/>
          <w:color w:val="000000" w:themeColor="text1"/>
          <w:sz w:val="28"/>
          <w:szCs w:val="28"/>
        </w:rPr>
        <w:t>K</w:t>
      </w:r>
      <w:r w:rsidR="00646F85" w:rsidRPr="00CF19FE">
        <w:rPr>
          <w:b/>
          <w:color w:val="000000" w:themeColor="text1"/>
          <w:sz w:val="28"/>
          <w:szCs w:val="28"/>
        </w:rPr>
        <w:t xml:space="preserve">anceláře </w:t>
      </w:r>
    </w:p>
    <w:p w:rsidR="00C95FDF" w:rsidRPr="00CF19FE" w:rsidRDefault="00646F85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1101</w:t>
      </w:r>
    </w:p>
    <w:p w:rsidR="00C95FDF" w:rsidRPr="00CF19FE" w:rsidRDefault="00646F85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1059</w:t>
      </w:r>
      <w:r w:rsidR="00C95FDF" w:rsidRPr="00CF19FE">
        <w:rPr>
          <w:sz w:val="28"/>
          <w:szCs w:val="28"/>
        </w:rPr>
        <w:t xml:space="preserve"> (Oddělení vědy)</w:t>
      </w:r>
    </w:p>
    <w:p w:rsidR="00C95FDF" w:rsidRPr="00CF19FE" w:rsidRDefault="00646F85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1071, </w:t>
      </w:r>
    </w:p>
    <w:p w:rsidR="00C95FDF" w:rsidRPr="00CF19FE" w:rsidRDefault="00646F85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1071a, </w:t>
      </w:r>
    </w:p>
    <w:p w:rsidR="00C95FDF" w:rsidRPr="00CF19FE" w:rsidRDefault="00646F85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K14 </w:t>
      </w:r>
    </w:p>
    <w:p w:rsidR="00C95FDF" w:rsidRPr="00CF19FE" w:rsidRDefault="00646F85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K15BC</w:t>
      </w:r>
    </w:p>
    <w:p w:rsidR="00C95FDF" w:rsidRPr="00CF19FE" w:rsidRDefault="00646F85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1060</w:t>
      </w:r>
    </w:p>
    <w:p w:rsidR="00C95FDF" w:rsidRPr="00CF19FE" w:rsidRDefault="00C95FDF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1031b (Studijní oddělení) </w:t>
      </w:r>
    </w:p>
    <w:p w:rsidR="00C95FDF" w:rsidRPr="00CF19FE" w:rsidRDefault="00C95FDF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malá studovna</w:t>
      </w:r>
    </w:p>
    <w:p w:rsidR="00C95FDF" w:rsidRPr="00CF19FE" w:rsidRDefault="00C95FDF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lastRenderedPageBreak/>
        <w:t>výpůjčka</w:t>
      </w:r>
      <w:r w:rsidR="008E0B0A" w:rsidRPr="00CF19FE">
        <w:rPr>
          <w:sz w:val="28"/>
          <w:szCs w:val="28"/>
        </w:rPr>
        <w:t xml:space="preserve"> (v nabídce vedeno jako chodba)</w:t>
      </w:r>
    </w:p>
    <w:p w:rsidR="00C95FDF" w:rsidRPr="00CF19FE" w:rsidRDefault="00C95FDF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</w:p>
    <w:p w:rsidR="00C95FDF" w:rsidRPr="00CF19FE" w:rsidRDefault="00C95FDF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b/>
          <w:sz w:val="28"/>
          <w:szCs w:val="28"/>
        </w:rPr>
        <w:t>Chodby</w:t>
      </w:r>
      <w:r w:rsidRPr="00CF19FE">
        <w:rPr>
          <w:sz w:val="28"/>
          <w:szCs w:val="28"/>
        </w:rPr>
        <w:t>:</w:t>
      </w:r>
    </w:p>
    <w:p w:rsidR="00C95FDF" w:rsidRPr="00CF19FE" w:rsidRDefault="00C95FDF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Chodba (školník)</w:t>
      </w:r>
    </w:p>
    <w:p w:rsidR="00C95FDF" w:rsidRPr="00CF19FE" w:rsidRDefault="00C95FDF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Chodba (ekonom)</w:t>
      </w:r>
    </w:p>
    <w:p w:rsidR="00C95FDF" w:rsidRPr="00CF19FE" w:rsidRDefault="00C95FDF" w:rsidP="00C95FDF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Chodba (u knihovny)</w:t>
      </w:r>
    </w:p>
    <w:p w:rsidR="00C95FDF" w:rsidRPr="00CF19FE" w:rsidRDefault="00C95FDF" w:rsidP="00C95FDF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Chodba (</w:t>
      </w:r>
      <w:r w:rsidR="008E0B0A" w:rsidRPr="00CF19FE">
        <w:rPr>
          <w:sz w:val="28"/>
          <w:szCs w:val="28"/>
        </w:rPr>
        <w:t>E. Loubová</w:t>
      </w:r>
      <w:r w:rsidRPr="00CF19FE">
        <w:rPr>
          <w:sz w:val="28"/>
          <w:szCs w:val="28"/>
        </w:rPr>
        <w:t>)</w:t>
      </w:r>
    </w:p>
    <w:p w:rsidR="00C95FDF" w:rsidRPr="00CF19FE" w:rsidRDefault="00C95FDF" w:rsidP="00C95FDF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Chodba (</w:t>
      </w:r>
      <w:r w:rsidR="008E0B0A" w:rsidRPr="00CF19FE">
        <w:rPr>
          <w:sz w:val="28"/>
          <w:szCs w:val="28"/>
        </w:rPr>
        <w:t>Děkanát</w:t>
      </w:r>
      <w:r w:rsidRPr="00CF19FE">
        <w:rPr>
          <w:sz w:val="28"/>
          <w:szCs w:val="28"/>
        </w:rPr>
        <w:t>)</w:t>
      </w:r>
    </w:p>
    <w:p w:rsidR="00C95FDF" w:rsidRPr="00CF19FE" w:rsidRDefault="00C95FDF" w:rsidP="00C95FDF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Chodba (</w:t>
      </w:r>
      <w:r w:rsidR="008E0B0A" w:rsidRPr="00CF19FE">
        <w:rPr>
          <w:sz w:val="28"/>
          <w:szCs w:val="28"/>
        </w:rPr>
        <w:t>Kaple</w:t>
      </w:r>
      <w:r w:rsidRPr="00CF19FE">
        <w:rPr>
          <w:sz w:val="28"/>
          <w:szCs w:val="28"/>
        </w:rPr>
        <w:t>)</w:t>
      </w:r>
    </w:p>
    <w:p w:rsidR="00C95FDF" w:rsidRPr="00CF19FE" w:rsidRDefault="00C95FDF" w:rsidP="00C95FDF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Chodba (</w:t>
      </w:r>
      <w:r w:rsidR="008E0B0A" w:rsidRPr="00CF19FE">
        <w:rPr>
          <w:sz w:val="28"/>
          <w:szCs w:val="28"/>
        </w:rPr>
        <w:t>ÚDKU 1</w:t>
      </w:r>
      <w:r w:rsidRPr="00CF19FE">
        <w:rPr>
          <w:sz w:val="28"/>
          <w:szCs w:val="28"/>
        </w:rPr>
        <w:t>)</w:t>
      </w:r>
    </w:p>
    <w:p w:rsidR="008E0B0A" w:rsidRPr="00CF19FE" w:rsidRDefault="008E0B0A" w:rsidP="008E0B0A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>Chodba (ÚDKU 2)</w:t>
      </w:r>
    </w:p>
    <w:p w:rsidR="00C95FDF" w:rsidRPr="00CF19FE" w:rsidRDefault="00C95FDF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</w:p>
    <w:p w:rsidR="002141CF" w:rsidRPr="00CF19FE" w:rsidRDefault="00C95FDF" w:rsidP="00993CBD">
      <w:pPr>
        <w:tabs>
          <w:tab w:val="left" w:pos="3834"/>
        </w:tabs>
        <w:spacing w:line="265" w:lineRule="auto"/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 </w:t>
      </w:r>
    </w:p>
    <w:p w:rsidR="002141CF" w:rsidRPr="002141CF" w:rsidRDefault="002141CF" w:rsidP="00993CBD">
      <w:p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</w:p>
    <w:p w:rsidR="002141CF" w:rsidRDefault="002141CF" w:rsidP="00992F74">
      <w:pPr>
        <w:pStyle w:val="Odstavecseseznamem"/>
        <w:numPr>
          <w:ilvl w:val="0"/>
          <w:numId w:val="1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Cena díla</w:t>
      </w:r>
    </w:p>
    <w:p w:rsidR="00646F85" w:rsidRPr="00646F85" w:rsidRDefault="00646F85" w:rsidP="00646F85">
      <w:pPr>
        <w:pStyle w:val="Odstavecseseznamem"/>
        <w:tabs>
          <w:tab w:val="left" w:pos="3834"/>
        </w:tabs>
        <w:spacing w:line="265" w:lineRule="auto"/>
        <w:jc w:val="both"/>
        <w:rPr>
          <w:b/>
          <w:sz w:val="28"/>
        </w:rPr>
      </w:pPr>
      <w:r w:rsidRPr="00646F85">
        <w:rPr>
          <w:b/>
          <w:sz w:val="28"/>
        </w:rPr>
        <w:t>130 200,- Kč</w:t>
      </w:r>
      <w:r w:rsidR="00CF19FE">
        <w:rPr>
          <w:b/>
          <w:sz w:val="28"/>
        </w:rPr>
        <w:t xml:space="preserve"> bez DPH, </w:t>
      </w:r>
      <w:r w:rsidR="00CF19FE" w:rsidRPr="00CF19FE">
        <w:rPr>
          <w:sz w:val="28"/>
        </w:rPr>
        <w:t xml:space="preserve">slovy </w:t>
      </w:r>
      <w:proofErr w:type="spellStart"/>
      <w:r w:rsidR="00CF19FE" w:rsidRPr="00CF19FE">
        <w:rPr>
          <w:sz w:val="28"/>
        </w:rPr>
        <w:t>stotřicettisíc</w:t>
      </w:r>
      <w:proofErr w:type="spellEnd"/>
      <w:r w:rsidR="00CF19FE" w:rsidRPr="00CF19FE">
        <w:rPr>
          <w:sz w:val="28"/>
        </w:rPr>
        <w:t xml:space="preserve"> </w:t>
      </w:r>
      <w:proofErr w:type="spellStart"/>
      <w:r w:rsidR="00CF19FE" w:rsidRPr="00CF19FE">
        <w:rPr>
          <w:sz w:val="28"/>
        </w:rPr>
        <w:t>dvěstě</w:t>
      </w:r>
      <w:proofErr w:type="spellEnd"/>
      <w:r w:rsidR="00CF19FE" w:rsidRPr="00CF19FE">
        <w:rPr>
          <w:sz w:val="28"/>
        </w:rPr>
        <w:t xml:space="preserve"> korun českých.</w:t>
      </w:r>
      <w:r w:rsidR="00CF19FE">
        <w:rPr>
          <w:b/>
          <w:sz w:val="28"/>
        </w:rPr>
        <w:t xml:space="preserve"> </w:t>
      </w:r>
    </w:p>
    <w:p w:rsidR="002141CF" w:rsidRPr="00993CBD" w:rsidRDefault="001E3F3E" w:rsidP="00993CBD">
      <w:pPr>
        <w:tabs>
          <w:tab w:val="left" w:pos="3834"/>
        </w:tabs>
        <w:spacing w:line="265" w:lineRule="auto"/>
        <w:jc w:val="both"/>
        <w:rPr>
          <w:sz w:val="28"/>
        </w:rPr>
      </w:pPr>
      <w:r>
        <w:rPr>
          <w:sz w:val="24"/>
          <w:szCs w:val="24"/>
        </w:rPr>
        <w:t xml:space="preserve">              </w:t>
      </w:r>
      <w:r w:rsidR="002F64F4">
        <w:rPr>
          <w:sz w:val="24"/>
          <w:szCs w:val="24"/>
        </w:rPr>
        <w:t xml:space="preserve"> </w:t>
      </w:r>
    </w:p>
    <w:p w:rsidR="002141CF" w:rsidRDefault="002141CF" w:rsidP="00992F74">
      <w:pPr>
        <w:pStyle w:val="Odstavecseseznamem"/>
        <w:numPr>
          <w:ilvl w:val="0"/>
          <w:numId w:val="1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Platební podmínky</w:t>
      </w:r>
    </w:p>
    <w:p w:rsidR="00CF24C6" w:rsidRPr="00CF19FE" w:rsidRDefault="002141CF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Dílo bude hrazeno dílčími fakturami s náležitostmi daňového dokladu s přesným popisem a soupisem provedených prací odsouhlasených objednatelem. Splatnost faktur bude </w:t>
      </w:r>
      <w:r w:rsidR="0032247F" w:rsidRPr="00CF19FE">
        <w:rPr>
          <w:sz w:val="28"/>
          <w:szCs w:val="28"/>
        </w:rPr>
        <w:t>14</w:t>
      </w:r>
      <w:r w:rsidRPr="00CF19FE">
        <w:rPr>
          <w:sz w:val="28"/>
          <w:szCs w:val="28"/>
        </w:rPr>
        <w:t xml:space="preserve"> dní. 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V případě, že objednatel neuhradí platbu v termínu splatnosti, vyhrazuje si dodavatel právo přerušit práce až do vyrovnání pohledávky, přičemž o tuto dobu se prodlužuje termín plnění. Dokud nedojde k úplné úhradě díla, zůstává veškerý materiál a zařizovací předměty v majetku zhotovitele.       </w:t>
      </w:r>
    </w:p>
    <w:p w:rsidR="002141CF" w:rsidRPr="00CF19FE" w:rsidRDefault="002141CF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Po skončení prací a převzetí díla vystaví zhotovitel</w:t>
      </w:r>
      <w:r w:rsidR="00CF24C6" w:rsidRPr="00CF19FE">
        <w:rPr>
          <w:sz w:val="28"/>
          <w:szCs w:val="28"/>
        </w:rPr>
        <w:t xml:space="preserve"> </w:t>
      </w:r>
      <w:r w:rsidRPr="00CF19FE">
        <w:rPr>
          <w:sz w:val="28"/>
          <w:szCs w:val="28"/>
        </w:rPr>
        <w:t>konečn</w:t>
      </w:r>
      <w:r w:rsidR="00CF24C6" w:rsidRPr="00CF19FE">
        <w:rPr>
          <w:sz w:val="28"/>
          <w:szCs w:val="28"/>
        </w:rPr>
        <w:t>ý daňový doklad</w:t>
      </w:r>
      <w:r w:rsidRPr="00CF19FE">
        <w:rPr>
          <w:sz w:val="28"/>
          <w:szCs w:val="28"/>
        </w:rPr>
        <w:t xml:space="preserve"> se splatností 14 dní.</w:t>
      </w:r>
    </w:p>
    <w:p w:rsidR="002141CF" w:rsidRPr="00CF19FE" w:rsidRDefault="002141CF" w:rsidP="00993CBD">
      <w:pPr>
        <w:pStyle w:val="Odstavecseseznamem"/>
        <w:jc w:val="both"/>
        <w:rPr>
          <w:b/>
          <w:i/>
          <w:sz w:val="28"/>
          <w:szCs w:val="28"/>
        </w:rPr>
      </w:pPr>
    </w:p>
    <w:p w:rsidR="002141CF" w:rsidRDefault="00CF24C6" w:rsidP="00992F74">
      <w:pPr>
        <w:pStyle w:val="Odstavecseseznamem"/>
        <w:numPr>
          <w:ilvl w:val="0"/>
          <w:numId w:val="1"/>
        </w:numPr>
        <w:tabs>
          <w:tab w:val="left" w:pos="3834"/>
        </w:tabs>
        <w:spacing w:line="265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Záruční podmínky</w:t>
      </w:r>
    </w:p>
    <w:p w:rsidR="002141CF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Záruční doba činí 24 měsíců a začíná dnem předání díla objednateli.</w:t>
      </w:r>
    </w:p>
    <w:p w:rsidR="00CF24C6" w:rsidRPr="00CF19FE" w:rsidRDefault="00CF24C6" w:rsidP="00993CBD">
      <w:pPr>
        <w:jc w:val="both"/>
        <w:rPr>
          <w:b/>
          <w:i/>
          <w:sz w:val="28"/>
          <w:szCs w:val="28"/>
        </w:rPr>
      </w:pPr>
    </w:p>
    <w:p w:rsidR="002141CF" w:rsidRPr="00CF19FE" w:rsidRDefault="00CF24C6" w:rsidP="00992F74">
      <w:pPr>
        <w:pStyle w:val="Odstavecseseznamem"/>
        <w:numPr>
          <w:ilvl w:val="0"/>
          <w:numId w:val="1"/>
        </w:numPr>
        <w:tabs>
          <w:tab w:val="left" w:pos="3834"/>
        </w:tabs>
        <w:spacing w:line="265" w:lineRule="auto"/>
        <w:jc w:val="both"/>
        <w:rPr>
          <w:b/>
          <w:i/>
          <w:sz w:val="28"/>
          <w:szCs w:val="28"/>
        </w:rPr>
      </w:pPr>
      <w:r w:rsidRPr="00CF19FE">
        <w:rPr>
          <w:b/>
          <w:i/>
          <w:sz w:val="28"/>
          <w:szCs w:val="28"/>
        </w:rPr>
        <w:t>Povinnosti objednatele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Zajistit přípojku el. </w:t>
      </w:r>
      <w:proofErr w:type="gramStart"/>
      <w:r w:rsidRPr="00CF19FE">
        <w:rPr>
          <w:sz w:val="28"/>
          <w:szCs w:val="28"/>
        </w:rPr>
        <w:t>energie</w:t>
      </w:r>
      <w:proofErr w:type="gramEnd"/>
      <w:r w:rsidRPr="00CF19FE">
        <w:rPr>
          <w:sz w:val="28"/>
          <w:szCs w:val="28"/>
        </w:rPr>
        <w:t xml:space="preserve"> a možnost odběru vody - hradí objednatel.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Zajistit </w:t>
      </w:r>
      <w:proofErr w:type="spellStart"/>
      <w:r w:rsidRPr="00CF19FE">
        <w:rPr>
          <w:sz w:val="28"/>
          <w:szCs w:val="28"/>
        </w:rPr>
        <w:t>šatnování</w:t>
      </w:r>
      <w:proofErr w:type="spellEnd"/>
      <w:r w:rsidRPr="00CF19FE">
        <w:rPr>
          <w:sz w:val="28"/>
          <w:szCs w:val="28"/>
        </w:rPr>
        <w:t xml:space="preserve"> a možnost mytí pracovníků zhotovitele. 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Provádět pravidelně kontrolu stavby.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Převzít od zhotovitele dokončené dílo.</w:t>
      </w:r>
    </w:p>
    <w:p w:rsidR="00CF24C6" w:rsidRPr="00CF19FE" w:rsidRDefault="00CF24C6" w:rsidP="00993CBD">
      <w:pPr>
        <w:pStyle w:val="Odstavecseseznamem"/>
        <w:tabs>
          <w:tab w:val="left" w:pos="3834"/>
        </w:tabs>
        <w:spacing w:line="265" w:lineRule="auto"/>
        <w:jc w:val="both"/>
        <w:rPr>
          <w:b/>
          <w:i/>
          <w:sz w:val="28"/>
          <w:szCs w:val="28"/>
        </w:rPr>
      </w:pPr>
    </w:p>
    <w:p w:rsidR="00CF24C6" w:rsidRPr="00CF19FE" w:rsidRDefault="00CF24C6" w:rsidP="00992F74">
      <w:pPr>
        <w:pStyle w:val="Odstavecseseznamem"/>
        <w:numPr>
          <w:ilvl w:val="0"/>
          <w:numId w:val="1"/>
        </w:numPr>
        <w:tabs>
          <w:tab w:val="left" w:pos="3834"/>
        </w:tabs>
        <w:spacing w:line="265" w:lineRule="auto"/>
        <w:jc w:val="both"/>
        <w:rPr>
          <w:b/>
          <w:i/>
          <w:sz w:val="28"/>
          <w:szCs w:val="28"/>
        </w:rPr>
      </w:pPr>
      <w:r w:rsidRPr="00CF19FE">
        <w:rPr>
          <w:b/>
          <w:i/>
          <w:sz w:val="28"/>
          <w:szCs w:val="28"/>
        </w:rPr>
        <w:lastRenderedPageBreak/>
        <w:t>Povinnosti zhotovitele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Dbát předpisů BOZP.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Práce ukončit v řádném termínu.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V případě oprávněné reklamace zahájit opravy do 10 dnů a vady odstranit v co nejkratší možné lhůtě.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V případě závady, která znemožňuje užívání opravovaných prostor zahájit opravu do 24 </w:t>
      </w:r>
      <w:r w:rsidR="0030032D" w:rsidRPr="00CF19FE">
        <w:rPr>
          <w:sz w:val="28"/>
          <w:szCs w:val="28"/>
        </w:rPr>
        <w:t>hodin.</w:t>
      </w:r>
    </w:p>
    <w:p w:rsidR="00CF24C6" w:rsidRPr="00CF19FE" w:rsidRDefault="00CF24C6" w:rsidP="00993CBD">
      <w:pPr>
        <w:pStyle w:val="Odstavecseseznamem"/>
        <w:tabs>
          <w:tab w:val="left" w:pos="3834"/>
        </w:tabs>
        <w:spacing w:line="265" w:lineRule="auto"/>
        <w:jc w:val="both"/>
        <w:rPr>
          <w:b/>
          <w:i/>
          <w:sz w:val="28"/>
          <w:szCs w:val="28"/>
        </w:rPr>
      </w:pPr>
    </w:p>
    <w:p w:rsidR="00CF24C6" w:rsidRPr="00CF19FE" w:rsidRDefault="00CF24C6" w:rsidP="00992F74">
      <w:pPr>
        <w:pStyle w:val="Odstavecseseznamem"/>
        <w:numPr>
          <w:ilvl w:val="0"/>
          <w:numId w:val="1"/>
        </w:numPr>
        <w:tabs>
          <w:tab w:val="left" w:pos="3834"/>
        </w:tabs>
        <w:spacing w:line="265" w:lineRule="auto"/>
        <w:jc w:val="both"/>
        <w:rPr>
          <w:b/>
          <w:i/>
          <w:sz w:val="28"/>
          <w:szCs w:val="28"/>
        </w:rPr>
      </w:pPr>
      <w:r w:rsidRPr="00CF19FE">
        <w:rPr>
          <w:b/>
          <w:i/>
          <w:sz w:val="28"/>
          <w:szCs w:val="28"/>
        </w:rPr>
        <w:t>Sankce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Při nedodržení termínu předání zaplatí zhotovitel pokutu ve výši 0.1% z ceny díla za každý den prodlení.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Při ne</w:t>
      </w:r>
      <w:r w:rsidR="00EF1D10" w:rsidRPr="00CF19FE">
        <w:rPr>
          <w:sz w:val="28"/>
          <w:szCs w:val="28"/>
        </w:rPr>
        <w:t xml:space="preserve">dodržení </w:t>
      </w:r>
      <w:r w:rsidRPr="00CF19FE">
        <w:rPr>
          <w:sz w:val="28"/>
          <w:szCs w:val="28"/>
        </w:rPr>
        <w:t xml:space="preserve">termínu splatnosti faktury zaplatí objednatel </w:t>
      </w:r>
      <w:r w:rsidR="0030032D" w:rsidRPr="00CF19FE">
        <w:rPr>
          <w:sz w:val="28"/>
          <w:szCs w:val="28"/>
        </w:rPr>
        <w:t>pokutu ve</w:t>
      </w:r>
      <w:r w:rsidRPr="00CF19FE">
        <w:rPr>
          <w:sz w:val="28"/>
          <w:szCs w:val="28"/>
        </w:rPr>
        <w:t xml:space="preserve"> výši </w:t>
      </w:r>
      <w:r w:rsidR="0030032D" w:rsidRPr="00CF19FE">
        <w:rPr>
          <w:sz w:val="28"/>
          <w:szCs w:val="28"/>
        </w:rPr>
        <w:t>0.1 % dlužné</w:t>
      </w:r>
      <w:r w:rsidRPr="00CF19FE">
        <w:rPr>
          <w:sz w:val="28"/>
          <w:szCs w:val="28"/>
        </w:rPr>
        <w:t xml:space="preserve"> částky za každý den prodlení.</w:t>
      </w:r>
    </w:p>
    <w:p w:rsidR="00CF24C6" w:rsidRPr="00CF19FE" w:rsidRDefault="00CF24C6" w:rsidP="00993CBD">
      <w:pPr>
        <w:pStyle w:val="Odstavecseseznamem"/>
        <w:tabs>
          <w:tab w:val="left" w:pos="3834"/>
        </w:tabs>
        <w:spacing w:line="265" w:lineRule="auto"/>
        <w:jc w:val="both"/>
        <w:rPr>
          <w:b/>
          <w:i/>
          <w:sz w:val="28"/>
          <w:szCs w:val="28"/>
        </w:rPr>
      </w:pPr>
    </w:p>
    <w:p w:rsidR="00CF24C6" w:rsidRPr="00CF19FE" w:rsidRDefault="00CF24C6" w:rsidP="00992F74">
      <w:pPr>
        <w:pStyle w:val="Odstavecseseznamem"/>
        <w:numPr>
          <w:ilvl w:val="0"/>
          <w:numId w:val="1"/>
        </w:numPr>
        <w:tabs>
          <w:tab w:val="left" w:pos="3834"/>
        </w:tabs>
        <w:spacing w:line="265" w:lineRule="auto"/>
        <w:jc w:val="both"/>
        <w:rPr>
          <w:b/>
          <w:i/>
          <w:sz w:val="28"/>
          <w:szCs w:val="28"/>
        </w:rPr>
      </w:pPr>
      <w:r w:rsidRPr="00CF19FE">
        <w:rPr>
          <w:b/>
          <w:i/>
          <w:sz w:val="28"/>
          <w:szCs w:val="28"/>
        </w:rPr>
        <w:t>Změna smlouvy, odstoupení od smlouvy.</w:t>
      </w:r>
    </w:p>
    <w:p w:rsidR="00CF24C6" w:rsidRPr="00CF19FE" w:rsidRDefault="00CF24C6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Smlouvu lze změnit event. od ní odstoupit pouze po vzájemné dohodě obou stran </w:t>
      </w:r>
      <w:r w:rsidR="0030032D" w:rsidRPr="00CF19FE">
        <w:rPr>
          <w:sz w:val="28"/>
          <w:szCs w:val="28"/>
        </w:rPr>
        <w:t>písemným dodatkem</w:t>
      </w:r>
      <w:r w:rsidRPr="00CF19FE">
        <w:rPr>
          <w:sz w:val="28"/>
          <w:szCs w:val="28"/>
        </w:rPr>
        <w:t xml:space="preserve"> k této smlouvě.</w:t>
      </w:r>
    </w:p>
    <w:p w:rsidR="00CF24C6" w:rsidRPr="00CF19FE" w:rsidRDefault="00CF24C6" w:rsidP="00993CBD">
      <w:pPr>
        <w:tabs>
          <w:tab w:val="left" w:pos="3834"/>
        </w:tabs>
        <w:spacing w:line="265" w:lineRule="auto"/>
        <w:jc w:val="both"/>
        <w:rPr>
          <w:b/>
          <w:i/>
          <w:sz w:val="28"/>
          <w:szCs w:val="28"/>
        </w:rPr>
      </w:pPr>
    </w:p>
    <w:p w:rsidR="00CF24C6" w:rsidRPr="00CF19FE" w:rsidRDefault="00CF24C6" w:rsidP="00992F74">
      <w:pPr>
        <w:pStyle w:val="Odstavecseseznamem"/>
        <w:numPr>
          <w:ilvl w:val="0"/>
          <w:numId w:val="1"/>
        </w:numPr>
        <w:tabs>
          <w:tab w:val="left" w:pos="3834"/>
        </w:tabs>
        <w:spacing w:line="265" w:lineRule="auto"/>
        <w:jc w:val="both"/>
        <w:rPr>
          <w:b/>
          <w:i/>
          <w:sz w:val="28"/>
          <w:szCs w:val="28"/>
        </w:rPr>
      </w:pPr>
      <w:r w:rsidRPr="00CF19FE">
        <w:rPr>
          <w:b/>
          <w:i/>
          <w:sz w:val="28"/>
          <w:szCs w:val="28"/>
        </w:rPr>
        <w:t xml:space="preserve"> Závěrečná ustanovení.</w:t>
      </w:r>
    </w:p>
    <w:p w:rsidR="00851D13" w:rsidRPr="00CF19FE" w:rsidRDefault="00851D13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Smluvní strany výslovně sjednávají, že uveřejnění této smlouvy v registru smluv</w:t>
      </w:r>
      <w:r w:rsidR="00CF24C6" w:rsidRPr="00CF19FE">
        <w:rPr>
          <w:sz w:val="28"/>
          <w:szCs w:val="28"/>
        </w:rPr>
        <w:t xml:space="preserve"> </w:t>
      </w:r>
      <w:r w:rsidRPr="00CF19FE">
        <w:rPr>
          <w:sz w:val="28"/>
          <w:szCs w:val="28"/>
        </w:rPr>
        <w:t>dle z</w:t>
      </w:r>
      <w:r w:rsidR="00CF24C6" w:rsidRPr="00CF19FE">
        <w:rPr>
          <w:sz w:val="28"/>
          <w:szCs w:val="28"/>
        </w:rPr>
        <w:t>á</w:t>
      </w:r>
      <w:r w:rsidRPr="00CF19FE">
        <w:rPr>
          <w:sz w:val="28"/>
          <w:szCs w:val="28"/>
        </w:rPr>
        <w:t>kona č. 340/2015, o zvláštních podmínkách účinnosti</w:t>
      </w:r>
      <w:r w:rsidR="00CE0A78" w:rsidRPr="00CF19FE">
        <w:rPr>
          <w:sz w:val="28"/>
          <w:szCs w:val="28"/>
        </w:rPr>
        <w:t xml:space="preserve"> některých smluv,</w:t>
      </w:r>
      <w:r w:rsidRPr="00CF19FE">
        <w:rPr>
          <w:sz w:val="28"/>
          <w:szCs w:val="28"/>
        </w:rPr>
        <w:t xml:space="preserve"> </w:t>
      </w:r>
      <w:r w:rsidR="00CE0A78" w:rsidRPr="00CF19FE">
        <w:rPr>
          <w:sz w:val="28"/>
          <w:szCs w:val="28"/>
        </w:rPr>
        <w:t>uv</w:t>
      </w:r>
      <w:r w:rsidRPr="00CF19FE">
        <w:rPr>
          <w:sz w:val="28"/>
          <w:szCs w:val="28"/>
        </w:rPr>
        <w:t xml:space="preserve">eřejňování těchto smluv a o registru smluv </w:t>
      </w:r>
      <w:r w:rsidR="00CF24C6" w:rsidRPr="00CF19FE">
        <w:rPr>
          <w:sz w:val="28"/>
          <w:szCs w:val="28"/>
        </w:rPr>
        <w:t>(</w:t>
      </w:r>
      <w:r w:rsidR="007C73D1" w:rsidRPr="00CF19FE">
        <w:rPr>
          <w:sz w:val="28"/>
          <w:szCs w:val="28"/>
        </w:rPr>
        <w:t>zákon o registru smluv</w:t>
      </w:r>
      <w:r w:rsidR="00CF24C6" w:rsidRPr="00CF19FE">
        <w:rPr>
          <w:sz w:val="28"/>
          <w:szCs w:val="28"/>
        </w:rPr>
        <w:t>)</w:t>
      </w:r>
      <w:r w:rsidR="007C73D1" w:rsidRPr="00CF19FE">
        <w:rPr>
          <w:sz w:val="28"/>
          <w:szCs w:val="28"/>
        </w:rPr>
        <w:t xml:space="preserve"> zajistí objednatel</w:t>
      </w:r>
      <w:r w:rsidR="00CF24C6" w:rsidRPr="00CF19FE">
        <w:rPr>
          <w:sz w:val="28"/>
          <w:szCs w:val="28"/>
        </w:rPr>
        <w:t>.</w:t>
      </w:r>
    </w:p>
    <w:p w:rsidR="001C32FF" w:rsidRPr="00CF19FE" w:rsidRDefault="001C32FF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>Tato smlouva je sepsána ve dvou vyhotoveních</w:t>
      </w:r>
      <w:r w:rsidR="00CF24C6" w:rsidRPr="00CF19FE">
        <w:rPr>
          <w:sz w:val="28"/>
          <w:szCs w:val="28"/>
        </w:rPr>
        <w:t xml:space="preserve"> s platností originálu</w:t>
      </w:r>
      <w:r w:rsidRPr="00CF19FE">
        <w:rPr>
          <w:sz w:val="28"/>
          <w:szCs w:val="28"/>
        </w:rPr>
        <w:t xml:space="preserve">, přičemž každá strana obdrží po jednom. </w:t>
      </w:r>
      <w:r w:rsidR="007C10D1" w:rsidRPr="00CF19FE">
        <w:rPr>
          <w:sz w:val="28"/>
          <w:szCs w:val="28"/>
        </w:rPr>
        <w:t>Smlouva nabývá platnosti dnem jejího podpisu oběma smluvními stranami, resp. jejich zástupci, přičemž platí datum posledního podpisu. Smlouva nabyde účinnosti až dnem uveřejnění v registru smluv podle zákona o registru smluv.</w:t>
      </w:r>
    </w:p>
    <w:p w:rsidR="007C10D1" w:rsidRPr="00CF19FE" w:rsidRDefault="007C10D1" w:rsidP="00993CBD">
      <w:pPr>
        <w:jc w:val="both"/>
        <w:rPr>
          <w:sz w:val="28"/>
          <w:szCs w:val="28"/>
        </w:rPr>
      </w:pPr>
    </w:p>
    <w:p w:rsidR="001C32FF" w:rsidRPr="00CF19FE" w:rsidRDefault="001C32FF" w:rsidP="00993CBD">
      <w:pPr>
        <w:jc w:val="both"/>
        <w:rPr>
          <w:sz w:val="28"/>
          <w:szCs w:val="28"/>
        </w:rPr>
      </w:pPr>
      <w:r w:rsidRPr="00CF19FE">
        <w:rPr>
          <w:sz w:val="28"/>
          <w:szCs w:val="28"/>
        </w:rPr>
        <w:t xml:space="preserve"> </w:t>
      </w:r>
      <w:r w:rsidR="00D12241" w:rsidRPr="00CF19FE">
        <w:rPr>
          <w:sz w:val="28"/>
          <w:szCs w:val="28"/>
        </w:rPr>
        <w:t>V</w:t>
      </w:r>
      <w:r w:rsidRPr="00CF19FE">
        <w:rPr>
          <w:sz w:val="28"/>
          <w:szCs w:val="28"/>
        </w:rPr>
        <w:t xml:space="preserve"> Praze </w:t>
      </w:r>
      <w:r w:rsidR="00D12241" w:rsidRPr="00CF19FE">
        <w:rPr>
          <w:sz w:val="28"/>
          <w:szCs w:val="28"/>
        </w:rPr>
        <w:t>dne</w:t>
      </w:r>
      <w:r w:rsidRPr="00CF19FE">
        <w:rPr>
          <w:sz w:val="28"/>
          <w:szCs w:val="28"/>
        </w:rPr>
        <w:t xml:space="preserve">     </w:t>
      </w:r>
      <w:r w:rsidR="00CF19FE">
        <w:rPr>
          <w:sz w:val="28"/>
          <w:szCs w:val="28"/>
        </w:rPr>
        <w:t>4. června 2019</w:t>
      </w:r>
      <w:r w:rsidRPr="00CF19FE">
        <w:rPr>
          <w:sz w:val="28"/>
          <w:szCs w:val="28"/>
        </w:rPr>
        <w:t xml:space="preserve">                  </w:t>
      </w:r>
      <w:r w:rsidR="00925F7C" w:rsidRPr="00CF19FE">
        <w:rPr>
          <w:sz w:val="28"/>
          <w:szCs w:val="28"/>
        </w:rPr>
        <w:t xml:space="preserve">     </w:t>
      </w:r>
      <w:r w:rsidRPr="00CF19FE">
        <w:rPr>
          <w:sz w:val="28"/>
          <w:szCs w:val="28"/>
        </w:rPr>
        <w:t xml:space="preserve">                        </w:t>
      </w:r>
    </w:p>
    <w:p w:rsidR="001C32FF" w:rsidRPr="00CF19FE" w:rsidRDefault="00CF19FE" w:rsidP="0099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2FF" w:rsidRPr="00CF19FE" w:rsidRDefault="001C32FF" w:rsidP="00993CBD">
      <w:pPr>
        <w:jc w:val="both"/>
        <w:rPr>
          <w:b/>
          <w:sz w:val="28"/>
          <w:szCs w:val="28"/>
        </w:rPr>
      </w:pPr>
      <w:r w:rsidRPr="00CF19FE">
        <w:rPr>
          <w:sz w:val="28"/>
          <w:szCs w:val="28"/>
        </w:rPr>
        <w:t xml:space="preserve"> </w:t>
      </w:r>
      <w:r w:rsidRPr="00CF19FE">
        <w:rPr>
          <w:b/>
          <w:sz w:val="28"/>
          <w:szCs w:val="28"/>
        </w:rPr>
        <w:t xml:space="preserve">Objednatel                                                                     Zhotovitel </w:t>
      </w:r>
    </w:p>
    <w:p w:rsidR="00F37718" w:rsidRDefault="00F37718" w:rsidP="00993CBD">
      <w:pPr>
        <w:jc w:val="both"/>
        <w:rPr>
          <w:b/>
          <w:sz w:val="28"/>
          <w:szCs w:val="28"/>
        </w:rPr>
      </w:pPr>
    </w:p>
    <w:p w:rsidR="00CF19FE" w:rsidRDefault="00CF19FE" w:rsidP="00993CBD">
      <w:pPr>
        <w:jc w:val="both"/>
        <w:rPr>
          <w:b/>
          <w:sz w:val="28"/>
          <w:szCs w:val="28"/>
        </w:rPr>
      </w:pPr>
    </w:p>
    <w:p w:rsidR="00CF19FE" w:rsidRPr="00CF19FE" w:rsidRDefault="00CF19FE" w:rsidP="00993CBD">
      <w:pPr>
        <w:jc w:val="both"/>
        <w:rPr>
          <w:b/>
          <w:sz w:val="28"/>
          <w:szCs w:val="28"/>
        </w:rPr>
      </w:pPr>
    </w:p>
    <w:p w:rsidR="00CF19FE" w:rsidRDefault="00CF19FE" w:rsidP="00CF19FE">
      <w:pPr>
        <w:tabs>
          <w:tab w:val="left" w:pos="3834"/>
        </w:tabs>
        <w:spacing w:line="265" w:lineRule="auto"/>
        <w:ind w:left="5760" w:hanging="5760"/>
        <w:jc w:val="both"/>
        <w:rPr>
          <w:sz w:val="28"/>
        </w:rPr>
      </w:pPr>
      <w:r w:rsidRPr="00CF19FE">
        <w:rPr>
          <w:color w:val="000000"/>
          <w:sz w:val="28"/>
          <w:szCs w:val="28"/>
        </w:rPr>
        <w:t xml:space="preserve">prof. </w:t>
      </w:r>
      <w:proofErr w:type="spellStart"/>
      <w:r w:rsidRPr="00CF19FE">
        <w:rPr>
          <w:color w:val="000000"/>
          <w:sz w:val="28"/>
          <w:szCs w:val="28"/>
        </w:rPr>
        <w:t>PhLic</w:t>
      </w:r>
      <w:proofErr w:type="spellEnd"/>
      <w:r w:rsidRPr="00CF19FE">
        <w:rPr>
          <w:color w:val="000000"/>
          <w:sz w:val="28"/>
          <w:szCs w:val="28"/>
        </w:rPr>
        <w:t xml:space="preserve">. Vojtěchem Novotný, </w:t>
      </w:r>
      <w:proofErr w:type="spellStart"/>
      <w:r w:rsidRPr="00CF19FE">
        <w:rPr>
          <w:color w:val="000000"/>
          <w:sz w:val="28"/>
          <w:szCs w:val="28"/>
        </w:rPr>
        <w:t>Th.D</w:t>
      </w:r>
      <w:proofErr w:type="spellEnd"/>
      <w:r w:rsidRPr="00CF19FE">
        <w:rPr>
          <w:color w:val="000000"/>
          <w:sz w:val="28"/>
          <w:szCs w:val="28"/>
        </w:rPr>
        <w:t xml:space="preserve">., děkan </w:t>
      </w:r>
      <w:r>
        <w:rPr>
          <w:color w:val="000000"/>
          <w:sz w:val="28"/>
          <w:szCs w:val="28"/>
        </w:rPr>
        <w:tab/>
      </w:r>
      <w:r>
        <w:rPr>
          <w:sz w:val="28"/>
        </w:rPr>
        <w:t>Petr Weiss – jednatel</w:t>
      </w:r>
      <w:r>
        <w:rPr>
          <w:sz w:val="28"/>
        </w:rPr>
        <w:t xml:space="preserve"> firmy </w:t>
      </w:r>
      <w:r w:rsidRPr="00646F85">
        <w:rPr>
          <w:sz w:val="28"/>
        </w:rPr>
        <w:t xml:space="preserve">RAKWEISS </w:t>
      </w:r>
      <w:proofErr w:type="spellStart"/>
      <w:r w:rsidRPr="00646F85">
        <w:rPr>
          <w:sz w:val="28"/>
        </w:rPr>
        <w:t>paint</w:t>
      </w:r>
      <w:proofErr w:type="spellEnd"/>
      <w:r w:rsidRPr="00646F85">
        <w:rPr>
          <w:sz w:val="28"/>
        </w:rPr>
        <w:t xml:space="preserve"> s.r.o.</w:t>
      </w:r>
    </w:p>
    <w:p w:rsidR="00CF19FE" w:rsidRPr="00CF19FE" w:rsidRDefault="00CF19FE" w:rsidP="00CF19FE">
      <w:pPr>
        <w:spacing w:line="265" w:lineRule="auto"/>
        <w:rPr>
          <w:color w:val="000000"/>
          <w:sz w:val="28"/>
          <w:szCs w:val="28"/>
        </w:rPr>
      </w:pPr>
    </w:p>
    <w:p w:rsidR="00F37718" w:rsidRPr="00CF19FE" w:rsidRDefault="00F37718" w:rsidP="00993CBD">
      <w:pPr>
        <w:jc w:val="both"/>
        <w:rPr>
          <w:b/>
          <w:sz w:val="28"/>
          <w:szCs w:val="28"/>
        </w:rPr>
      </w:pPr>
    </w:p>
    <w:p w:rsidR="004B1B60" w:rsidRPr="00CF19FE" w:rsidRDefault="00703176" w:rsidP="00993CBD">
      <w:pPr>
        <w:jc w:val="both"/>
        <w:rPr>
          <w:b/>
          <w:sz w:val="28"/>
          <w:szCs w:val="28"/>
        </w:rPr>
      </w:pPr>
      <w:r w:rsidRPr="00CF19FE">
        <w:rPr>
          <w:b/>
          <w:sz w:val="28"/>
          <w:szCs w:val="28"/>
        </w:rPr>
        <w:t xml:space="preserve"> </w:t>
      </w:r>
    </w:p>
    <w:sectPr w:rsidR="004B1B60" w:rsidRPr="00CF19FE" w:rsidSect="002522A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E0B06"/>
    <w:multiLevelType w:val="hybridMultilevel"/>
    <w:tmpl w:val="2F6227AE"/>
    <w:lvl w:ilvl="0" w:tplc="467A0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949"/>
    <w:multiLevelType w:val="hybridMultilevel"/>
    <w:tmpl w:val="2F6227AE"/>
    <w:lvl w:ilvl="0" w:tplc="467A0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7B"/>
    <w:rsid w:val="00003363"/>
    <w:rsid w:val="00032FAA"/>
    <w:rsid w:val="000A3842"/>
    <w:rsid w:val="000E1902"/>
    <w:rsid w:val="00124372"/>
    <w:rsid w:val="001C32FF"/>
    <w:rsid w:val="001E3F3E"/>
    <w:rsid w:val="002141CF"/>
    <w:rsid w:val="002522AF"/>
    <w:rsid w:val="002F64F4"/>
    <w:rsid w:val="002F71C1"/>
    <w:rsid w:val="0030032D"/>
    <w:rsid w:val="00321420"/>
    <w:rsid w:val="0032247F"/>
    <w:rsid w:val="00345F5D"/>
    <w:rsid w:val="00367927"/>
    <w:rsid w:val="00456AEB"/>
    <w:rsid w:val="004B1B60"/>
    <w:rsid w:val="004D52AC"/>
    <w:rsid w:val="005264E5"/>
    <w:rsid w:val="005466EF"/>
    <w:rsid w:val="0056531F"/>
    <w:rsid w:val="005F3864"/>
    <w:rsid w:val="00646F85"/>
    <w:rsid w:val="00703176"/>
    <w:rsid w:val="007824B5"/>
    <w:rsid w:val="007C10D1"/>
    <w:rsid w:val="007C73D1"/>
    <w:rsid w:val="00851D13"/>
    <w:rsid w:val="008829A2"/>
    <w:rsid w:val="008E0B0A"/>
    <w:rsid w:val="0092543A"/>
    <w:rsid w:val="00925F7C"/>
    <w:rsid w:val="0096447B"/>
    <w:rsid w:val="00992F74"/>
    <w:rsid w:val="00993CBD"/>
    <w:rsid w:val="00A10DAD"/>
    <w:rsid w:val="00B10E00"/>
    <w:rsid w:val="00B85EC7"/>
    <w:rsid w:val="00BF224D"/>
    <w:rsid w:val="00C95FDF"/>
    <w:rsid w:val="00CE0A78"/>
    <w:rsid w:val="00CF19FE"/>
    <w:rsid w:val="00CF24C6"/>
    <w:rsid w:val="00D111E4"/>
    <w:rsid w:val="00D12241"/>
    <w:rsid w:val="00D24F48"/>
    <w:rsid w:val="00DE3B1A"/>
    <w:rsid w:val="00DF5EC0"/>
    <w:rsid w:val="00E13BFF"/>
    <w:rsid w:val="00E27A38"/>
    <w:rsid w:val="00ED6C8D"/>
    <w:rsid w:val="00EF1D10"/>
    <w:rsid w:val="00F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F9CEA"/>
  <w15:docId w15:val="{FC27664E-F804-4F8E-B8FF-92C9AF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2A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Nadpis1">
    <w:name w:val="heading 1"/>
    <w:basedOn w:val="Normln"/>
    <w:next w:val="Normln"/>
    <w:qFormat/>
    <w:rsid w:val="002522AF"/>
    <w:pPr>
      <w:keepNext/>
      <w:spacing w:line="265" w:lineRule="auto"/>
      <w:outlineLvl w:val="0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22AF"/>
    <w:rPr>
      <w:sz w:val="24"/>
    </w:rPr>
  </w:style>
  <w:style w:type="paragraph" w:customStyle="1" w:styleId="Odstavec">
    <w:name w:val="Odstavec"/>
    <w:basedOn w:val="ZkladntextIMP"/>
    <w:rsid w:val="002522AF"/>
    <w:pPr>
      <w:spacing w:after="115"/>
      <w:ind w:firstLine="480"/>
    </w:pPr>
  </w:style>
  <w:style w:type="paragraph" w:customStyle="1" w:styleId="Poznmka">
    <w:name w:val="Poznámka"/>
    <w:basedOn w:val="ZkladntextIMP"/>
    <w:rsid w:val="002522AF"/>
    <w:rPr>
      <w:i/>
      <w:sz w:val="20"/>
    </w:rPr>
  </w:style>
  <w:style w:type="paragraph" w:customStyle="1" w:styleId="Nadpis">
    <w:name w:val="Nadpis"/>
    <w:basedOn w:val="ZkladntextIMP"/>
    <w:next w:val="Odstavec"/>
    <w:rsid w:val="002522AF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2522AF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2522AF"/>
  </w:style>
  <w:style w:type="paragraph" w:customStyle="1" w:styleId="Seznamoeslovan">
    <w:name w:val="Seznam oeíslovaný"/>
    <w:basedOn w:val="ZkladntextIMP"/>
    <w:rsid w:val="002522AF"/>
  </w:style>
  <w:style w:type="paragraph" w:styleId="Odstavecseseznamem">
    <w:name w:val="List Paragraph"/>
    <w:basedOn w:val="Normln"/>
    <w:uiPriority w:val="34"/>
    <w:qFormat/>
    <w:rsid w:val="002141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0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       SMLOUVA O DÍLO  č</vt:lpstr>
      </vt:variant>
      <vt:variant>
        <vt:i4>0</vt:i4>
      </vt:variant>
    </vt:vector>
  </HeadingPairs>
  <TitlesOfParts>
    <vt:vector size="1" baseType="lpstr">
      <vt:lpstr>SMLOUVA O DÍLO  č</vt:lpstr>
    </vt:vector>
  </TitlesOfParts>
  <Company>**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creator>Ing. Milan Setnička</dc:creator>
  <cp:lastModifiedBy>Kateřina Šolcová, Ph.D.</cp:lastModifiedBy>
  <cp:revision>2</cp:revision>
  <cp:lastPrinted>2019-06-04T10:57:00Z</cp:lastPrinted>
  <dcterms:created xsi:type="dcterms:W3CDTF">2019-06-04T11:00:00Z</dcterms:created>
  <dcterms:modified xsi:type="dcterms:W3CDTF">2019-06-04T11:00:00Z</dcterms:modified>
</cp:coreProperties>
</file>