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F281C" w14:textId="77777777" w:rsidR="008D0A15" w:rsidRDefault="008D0A15">
      <w:pPr>
        <w:pStyle w:val="Standardnte"/>
        <w:jc w:val="both"/>
      </w:pPr>
    </w:p>
    <w:p w14:paraId="65627BF5" w14:textId="77777777" w:rsidR="004A2F96" w:rsidRPr="00DE1491" w:rsidRDefault="00855870" w:rsidP="007563DE">
      <w:pPr>
        <w:pStyle w:val="Standardnte"/>
        <w:jc w:val="center"/>
        <w:rPr>
          <w:spacing w:val="50"/>
          <w:sz w:val="56"/>
          <w:szCs w:val="56"/>
        </w:rPr>
      </w:pPr>
      <w:r w:rsidRPr="00BC0C22">
        <w:rPr>
          <w:b/>
          <w:caps/>
          <w:spacing w:val="50"/>
          <w:sz w:val="56"/>
          <w:szCs w:val="5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Smlouva o</w:t>
      </w:r>
      <w:r w:rsidR="0033429A" w:rsidRPr="00BC0C22">
        <w:rPr>
          <w:b/>
          <w:caps/>
          <w:spacing w:val="50"/>
          <w:sz w:val="56"/>
          <w:szCs w:val="5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E28BF" w:rsidRPr="00BC0C22">
        <w:rPr>
          <w:b/>
          <w:caps/>
          <w:spacing w:val="50"/>
          <w:sz w:val="56"/>
          <w:szCs w:val="5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dílo</w:t>
      </w:r>
    </w:p>
    <w:p w14:paraId="0E3A5DC8" w14:textId="77777777" w:rsidR="008D0A15" w:rsidRPr="00500C51" w:rsidRDefault="008D0A15" w:rsidP="007563DE">
      <w:pPr>
        <w:pStyle w:val="Standardnte"/>
        <w:rPr>
          <w:b/>
          <w:i/>
          <w:sz w:val="36"/>
          <w:szCs w:val="36"/>
        </w:rPr>
      </w:pPr>
    </w:p>
    <w:p w14:paraId="702C6F82" w14:textId="77777777" w:rsidR="00DE1491" w:rsidRDefault="00DE1491">
      <w:pPr>
        <w:pStyle w:val="Standardnte"/>
        <w:jc w:val="both"/>
      </w:pPr>
    </w:p>
    <w:p w14:paraId="73BED4B8" w14:textId="77777777" w:rsidR="004A2F96" w:rsidRDefault="00C20C68" w:rsidP="00B62BE9">
      <w:pPr>
        <w:pStyle w:val="Standardnte"/>
        <w:ind w:firstLine="720"/>
        <w:jc w:val="both"/>
        <w:rPr>
          <w:b/>
          <w:szCs w:val="24"/>
        </w:rPr>
      </w:pPr>
      <w:r>
        <w:rPr>
          <w:b/>
          <w:szCs w:val="24"/>
        </w:rPr>
        <w:t>UJP PRAHA a.s.</w:t>
      </w:r>
    </w:p>
    <w:p w14:paraId="7AF398D7" w14:textId="77777777" w:rsidR="00C20C68" w:rsidRDefault="00C20C68" w:rsidP="00B62BE9">
      <w:pPr>
        <w:pStyle w:val="Standardnte"/>
        <w:ind w:firstLine="720"/>
        <w:jc w:val="both"/>
        <w:rPr>
          <w:szCs w:val="24"/>
        </w:rPr>
      </w:pPr>
      <w:r w:rsidRPr="00C20C68">
        <w:rPr>
          <w:szCs w:val="24"/>
        </w:rPr>
        <w:t>se sídlem</w:t>
      </w:r>
      <w:r w:rsidR="00DB5E28">
        <w:rPr>
          <w:szCs w:val="24"/>
        </w:rPr>
        <w:t xml:space="preserve"> Nad Kamínkou 1345, 156 10 </w:t>
      </w:r>
      <w:r>
        <w:rPr>
          <w:szCs w:val="24"/>
        </w:rPr>
        <w:t>Praha – Zbraslav</w:t>
      </w:r>
    </w:p>
    <w:p w14:paraId="6E3B7600" w14:textId="77777777" w:rsidR="00C20C68" w:rsidRDefault="00C20C68" w:rsidP="00B62BE9">
      <w:pPr>
        <w:pStyle w:val="Standardnte"/>
        <w:ind w:firstLine="720"/>
        <w:jc w:val="both"/>
        <w:rPr>
          <w:szCs w:val="24"/>
        </w:rPr>
      </w:pPr>
      <w:r>
        <w:rPr>
          <w:szCs w:val="24"/>
        </w:rPr>
        <w:t>IČ: 601 93</w:t>
      </w:r>
      <w:r w:rsidR="00DB5E28">
        <w:rPr>
          <w:szCs w:val="24"/>
        </w:rPr>
        <w:t> </w:t>
      </w:r>
      <w:r>
        <w:rPr>
          <w:szCs w:val="24"/>
        </w:rPr>
        <w:t>247</w:t>
      </w:r>
      <w:r w:rsidR="00DB5E28">
        <w:rPr>
          <w:szCs w:val="24"/>
        </w:rPr>
        <w:t>, DIČ: 601 93 247</w:t>
      </w:r>
    </w:p>
    <w:p w14:paraId="7A2ACE9D" w14:textId="77777777" w:rsidR="00C20C68" w:rsidRPr="00C20C68" w:rsidRDefault="00C20C68" w:rsidP="00B62BE9">
      <w:pPr>
        <w:pStyle w:val="Standardnte"/>
        <w:ind w:firstLine="720"/>
        <w:jc w:val="both"/>
        <w:rPr>
          <w:szCs w:val="24"/>
        </w:rPr>
      </w:pPr>
      <w:r>
        <w:rPr>
          <w:szCs w:val="24"/>
        </w:rPr>
        <w:t>zastoupená Ing. Jaromírem Shejbalem, Ph.D., prokuristou a ředitelem</w:t>
      </w:r>
    </w:p>
    <w:p w14:paraId="57455D89" w14:textId="77777777" w:rsidR="004A2F96" w:rsidRPr="00C20C68" w:rsidRDefault="004A2F96">
      <w:pPr>
        <w:jc w:val="both"/>
        <w:rPr>
          <w:sz w:val="24"/>
          <w:szCs w:val="24"/>
        </w:rPr>
      </w:pPr>
      <w:r w:rsidRPr="00C20C68">
        <w:rPr>
          <w:sz w:val="24"/>
          <w:szCs w:val="24"/>
        </w:rPr>
        <w:tab/>
        <w:t xml:space="preserve">zapsaná v OR vedeném </w:t>
      </w:r>
      <w:r w:rsidR="00C20C68">
        <w:rPr>
          <w:sz w:val="24"/>
          <w:szCs w:val="24"/>
        </w:rPr>
        <w:t>Městským soudem</w:t>
      </w:r>
      <w:r w:rsidRPr="00C20C68">
        <w:rPr>
          <w:sz w:val="24"/>
          <w:szCs w:val="24"/>
        </w:rPr>
        <w:t xml:space="preserve"> soudem v </w:t>
      </w:r>
      <w:r w:rsidR="00C20C68">
        <w:rPr>
          <w:sz w:val="24"/>
          <w:szCs w:val="24"/>
        </w:rPr>
        <w:t>Praze</w:t>
      </w:r>
      <w:r w:rsidRPr="00C20C68">
        <w:rPr>
          <w:sz w:val="24"/>
          <w:szCs w:val="24"/>
        </w:rPr>
        <w:t xml:space="preserve">, oddíl B, vložka </w:t>
      </w:r>
      <w:r w:rsidR="00C20C68">
        <w:rPr>
          <w:sz w:val="24"/>
          <w:szCs w:val="24"/>
        </w:rPr>
        <w:t>2366</w:t>
      </w:r>
    </w:p>
    <w:p w14:paraId="1B223E64" w14:textId="77777777" w:rsidR="004A2F96" w:rsidRPr="00337DC5" w:rsidRDefault="004A2F96">
      <w:pPr>
        <w:jc w:val="both"/>
        <w:rPr>
          <w:b/>
          <w:i/>
          <w:sz w:val="24"/>
        </w:rPr>
      </w:pPr>
      <w:r>
        <w:rPr>
          <w:sz w:val="24"/>
        </w:rPr>
        <w:tab/>
      </w:r>
      <w:r w:rsidR="00C20C68" w:rsidRPr="00337DC5">
        <w:rPr>
          <w:i/>
          <w:sz w:val="24"/>
        </w:rPr>
        <w:t>(</w:t>
      </w:r>
      <w:r w:rsidRPr="00337DC5">
        <w:rPr>
          <w:b/>
          <w:i/>
          <w:sz w:val="24"/>
        </w:rPr>
        <w:t xml:space="preserve">dále </w:t>
      </w:r>
      <w:r w:rsidR="009E28BF">
        <w:rPr>
          <w:b/>
          <w:i/>
          <w:sz w:val="24"/>
        </w:rPr>
        <w:t>jako</w:t>
      </w:r>
      <w:r w:rsidRPr="00337DC5">
        <w:rPr>
          <w:b/>
          <w:i/>
          <w:sz w:val="24"/>
        </w:rPr>
        <w:t xml:space="preserve"> </w:t>
      </w:r>
      <w:r w:rsidR="00C20C68" w:rsidRPr="00337DC5">
        <w:rPr>
          <w:b/>
          <w:i/>
          <w:sz w:val="24"/>
        </w:rPr>
        <w:t>„</w:t>
      </w:r>
      <w:r w:rsidR="009E28BF">
        <w:rPr>
          <w:b/>
          <w:i/>
          <w:sz w:val="24"/>
        </w:rPr>
        <w:t>objednatel</w:t>
      </w:r>
      <w:r w:rsidR="00C20C68" w:rsidRPr="00337DC5">
        <w:rPr>
          <w:b/>
          <w:i/>
          <w:sz w:val="24"/>
        </w:rPr>
        <w:t>“</w:t>
      </w:r>
      <w:r w:rsidR="009E28BF">
        <w:rPr>
          <w:b/>
          <w:i/>
          <w:sz w:val="24"/>
        </w:rPr>
        <w:t xml:space="preserve"> na straně jedné</w:t>
      </w:r>
      <w:r w:rsidR="00C20C68" w:rsidRPr="00337DC5">
        <w:rPr>
          <w:b/>
          <w:i/>
          <w:sz w:val="24"/>
        </w:rPr>
        <w:t>)</w:t>
      </w:r>
      <w:r w:rsidRPr="00337DC5">
        <w:rPr>
          <w:b/>
          <w:i/>
          <w:sz w:val="24"/>
        </w:rPr>
        <w:t xml:space="preserve"> </w:t>
      </w:r>
    </w:p>
    <w:p w14:paraId="0BC05235" w14:textId="77777777" w:rsidR="004A2F96" w:rsidRDefault="004A2F96">
      <w:pPr>
        <w:jc w:val="both"/>
        <w:rPr>
          <w:sz w:val="24"/>
        </w:rPr>
      </w:pPr>
    </w:p>
    <w:p w14:paraId="6C1E607E" w14:textId="77777777" w:rsidR="004A2F96" w:rsidRPr="00337DC5" w:rsidRDefault="004A2F96">
      <w:pPr>
        <w:jc w:val="both"/>
        <w:rPr>
          <w:b/>
          <w:sz w:val="24"/>
        </w:rPr>
      </w:pPr>
      <w:r w:rsidRPr="00557E9F">
        <w:rPr>
          <w:b/>
          <w:sz w:val="24"/>
        </w:rPr>
        <w:t>a</w:t>
      </w:r>
    </w:p>
    <w:p w14:paraId="6468A62D" w14:textId="77777777" w:rsidR="004A2F96" w:rsidRDefault="004A2F96">
      <w:pPr>
        <w:jc w:val="both"/>
        <w:rPr>
          <w:sz w:val="24"/>
        </w:rPr>
      </w:pPr>
    </w:p>
    <w:p w14:paraId="1DBBF579" w14:textId="77777777" w:rsidR="004A2F96" w:rsidRDefault="007563DE">
      <w:pPr>
        <w:pStyle w:val="Standardnte"/>
        <w:rPr>
          <w:b/>
          <w:szCs w:val="24"/>
        </w:rPr>
      </w:pPr>
      <w:r>
        <w:t xml:space="preserve">   </w:t>
      </w:r>
      <w:r w:rsidR="002470E4" w:rsidRPr="00C20C68">
        <w:rPr>
          <w:b/>
          <w:szCs w:val="24"/>
        </w:rPr>
        <w:t xml:space="preserve"> </w:t>
      </w:r>
      <w:r>
        <w:rPr>
          <w:b/>
          <w:szCs w:val="24"/>
        </w:rPr>
        <w:t xml:space="preserve">         </w:t>
      </w:r>
      <w:r w:rsidR="00476434">
        <w:rPr>
          <w:b/>
          <w:szCs w:val="24"/>
        </w:rPr>
        <w:t>České vysoké učení technické v</w:t>
      </w:r>
      <w:r w:rsidR="00DB5E28">
        <w:rPr>
          <w:b/>
          <w:szCs w:val="24"/>
        </w:rPr>
        <w:t> </w:t>
      </w:r>
      <w:r w:rsidR="00476434">
        <w:rPr>
          <w:b/>
          <w:szCs w:val="24"/>
        </w:rPr>
        <w:t>Praze</w:t>
      </w:r>
      <w:r w:rsidR="00DB5E28">
        <w:rPr>
          <w:b/>
          <w:szCs w:val="24"/>
        </w:rPr>
        <w:t xml:space="preserve"> – Fakulta jaderná a fyzikálně inženýrská</w:t>
      </w:r>
    </w:p>
    <w:p w14:paraId="4EC4F6BA" w14:textId="77777777" w:rsidR="00C20C68" w:rsidRDefault="00C20C68">
      <w:pPr>
        <w:pStyle w:val="Standardnte"/>
        <w:rPr>
          <w:szCs w:val="24"/>
        </w:rPr>
      </w:pPr>
      <w:r>
        <w:rPr>
          <w:b/>
          <w:szCs w:val="24"/>
        </w:rPr>
        <w:t xml:space="preserve">             </w:t>
      </w:r>
      <w:r w:rsidR="00337DC5">
        <w:rPr>
          <w:szCs w:val="24"/>
        </w:rPr>
        <w:t>s</w:t>
      </w:r>
      <w:r>
        <w:rPr>
          <w:szCs w:val="24"/>
        </w:rPr>
        <w:t>e sídlem</w:t>
      </w:r>
      <w:r w:rsidR="00DB5E28">
        <w:rPr>
          <w:szCs w:val="24"/>
        </w:rPr>
        <w:t xml:space="preserve"> Břehová 7, 115 19 Praha 1</w:t>
      </w:r>
    </w:p>
    <w:p w14:paraId="753A1A41" w14:textId="77777777" w:rsidR="00C20C68" w:rsidRDefault="00C20C68">
      <w:pPr>
        <w:pStyle w:val="Standardnte"/>
        <w:rPr>
          <w:szCs w:val="24"/>
        </w:rPr>
      </w:pPr>
      <w:r>
        <w:rPr>
          <w:szCs w:val="24"/>
        </w:rPr>
        <w:t xml:space="preserve">             IČ: </w:t>
      </w:r>
      <w:r w:rsidR="00DB5E28">
        <w:rPr>
          <w:szCs w:val="24"/>
        </w:rPr>
        <w:t>68407700, DIČ: CZ68407700</w:t>
      </w:r>
    </w:p>
    <w:p w14:paraId="510E23E7" w14:textId="52ED2D9C" w:rsidR="00FE3386" w:rsidRPr="00C20C68" w:rsidRDefault="00FE3386">
      <w:pPr>
        <w:pStyle w:val="Standardnte"/>
        <w:rPr>
          <w:szCs w:val="24"/>
        </w:rPr>
      </w:pPr>
      <w:r>
        <w:rPr>
          <w:szCs w:val="24"/>
        </w:rPr>
        <w:t xml:space="preserve">             </w:t>
      </w:r>
      <w:r w:rsidR="009E28BF">
        <w:rPr>
          <w:szCs w:val="24"/>
        </w:rPr>
        <w:t>z</w:t>
      </w:r>
      <w:r>
        <w:rPr>
          <w:szCs w:val="24"/>
        </w:rPr>
        <w:t>astoupená</w:t>
      </w:r>
      <w:r w:rsidR="009E28BF">
        <w:rPr>
          <w:szCs w:val="24"/>
        </w:rPr>
        <w:t xml:space="preserve"> </w:t>
      </w:r>
      <w:r w:rsidR="00A601A8">
        <w:rPr>
          <w:szCs w:val="24"/>
        </w:rPr>
        <w:t>p</w:t>
      </w:r>
      <w:r w:rsidR="009E28BF">
        <w:rPr>
          <w:szCs w:val="24"/>
        </w:rPr>
        <w:t>rof. Ing. Igorem Jexem, DrSc., děkanem</w:t>
      </w:r>
      <w:r>
        <w:rPr>
          <w:szCs w:val="24"/>
        </w:rPr>
        <w:t xml:space="preserve"> </w:t>
      </w:r>
    </w:p>
    <w:p w14:paraId="26842B2A" w14:textId="77777777" w:rsidR="007563DE" w:rsidRPr="00F21649" w:rsidRDefault="004A2F96">
      <w:pPr>
        <w:pStyle w:val="Standardnte"/>
        <w:rPr>
          <w:b/>
          <w:i/>
        </w:rPr>
      </w:pPr>
      <w:r w:rsidRPr="00C20C68">
        <w:rPr>
          <w:b/>
          <w:szCs w:val="24"/>
        </w:rPr>
        <w:tab/>
      </w:r>
      <w:r w:rsidR="00FE3386" w:rsidRPr="00337DC5">
        <w:rPr>
          <w:i/>
        </w:rPr>
        <w:t>(</w:t>
      </w:r>
      <w:r w:rsidRPr="00337DC5">
        <w:rPr>
          <w:b/>
          <w:i/>
        </w:rPr>
        <w:t>dále</w:t>
      </w:r>
      <w:r w:rsidR="009E28BF">
        <w:rPr>
          <w:b/>
          <w:i/>
        </w:rPr>
        <w:t xml:space="preserve"> jako</w:t>
      </w:r>
      <w:r w:rsidRPr="00337DC5">
        <w:rPr>
          <w:b/>
          <w:i/>
        </w:rPr>
        <w:t xml:space="preserve"> </w:t>
      </w:r>
      <w:r w:rsidR="00337DC5">
        <w:rPr>
          <w:b/>
          <w:i/>
        </w:rPr>
        <w:t>„</w:t>
      </w:r>
      <w:r w:rsidR="009E28BF">
        <w:rPr>
          <w:b/>
          <w:i/>
        </w:rPr>
        <w:t>zhotovitel</w:t>
      </w:r>
      <w:r w:rsidR="00337DC5">
        <w:rPr>
          <w:b/>
          <w:i/>
        </w:rPr>
        <w:t xml:space="preserve">“ </w:t>
      </w:r>
      <w:r w:rsidR="009E28BF">
        <w:rPr>
          <w:b/>
          <w:i/>
        </w:rPr>
        <w:t>na straně druhé</w:t>
      </w:r>
      <w:r w:rsidR="00FE3386" w:rsidRPr="00337DC5">
        <w:rPr>
          <w:b/>
          <w:i/>
        </w:rPr>
        <w:t>)</w:t>
      </w:r>
    </w:p>
    <w:p w14:paraId="3778A05B" w14:textId="77777777" w:rsidR="00DE1491" w:rsidRDefault="00DE1491">
      <w:pPr>
        <w:pStyle w:val="Standardnte"/>
      </w:pPr>
    </w:p>
    <w:p w14:paraId="29ACA272" w14:textId="77777777" w:rsidR="0011564D" w:rsidRDefault="0011564D">
      <w:pPr>
        <w:pStyle w:val="Standardnte"/>
      </w:pPr>
    </w:p>
    <w:p w14:paraId="5EE0ABA8" w14:textId="77777777" w:rsidR="007563DE" w:rsidRPr="0075563E" w:rsidRDefault="0075563E" w:rsidP="0075563E">
      <w:pPr>
        <w:pStyle w:val="Standardnte"/>
        <w:jc w:val="center"/>
        <w:rPr>
          <w:b/>
          <w:i/>
        </w:rPr>
      </w:pPr>
      <w:r w:rsidRPr="0075563E">
        <w:rPr>
          <w:b/>
          <w:i/>
        </w:rPr>
        <w:t>uzavírají shodným a souhlasným projevem své vůle, níže uvedeného dne, měsíce a roku, v souladu s ustanovením</w:t>
      </w:r>
      <w:r w:rsidR="00500C51">
        <w:rPr>
          <w:b/>
          <w:i/>
        </w:rPr>
        <w:t>i</w:t>
      </w:r>
      <w:r w:rsidRPr="0075563E">
        <w:rPr>
          <w:b/>
          <w:i/>
        </w:rPr>
        <w:t xml:space="preserve"> § </w:t>
      </w:r>
      <w:r w:rsidR="009E28BF">
        <w:rPr>
          <w:b/>
          <w:i/>
        </w:rPr>
        <w:t>2586</w:t>
      </w:r>
      <w:r w:rsidR="00500C51">
        <w:rPr>
          <w:b/>
          <w:i/>
        </w:rPr>
        <w:t xml:space="preserve"> a násl. zákona </w:t>
      </w:r>
      <w:r w:rsidRPr="0075563E">
        <w:rPr>
          <w:b/>
          <w:i/>
        </w:rPr>
        <w:t>č. 89/2012 Sb., občanský zákoník</w:t>
      </w:r>
      <w:r w:rsidR="0010396B">
        <w:rPr>
          <w:b/>
          <w:i/>
        </w:rPr>
        <w:t>,</w:t>
      </w:r>
      <w:r w:rsidRPr="0075563E">
        <w:rPr>
          <w:b/>
          <w:i/>
        </w:rPr>
        <w:t xml:space="preserve"> v platném znění, následující smlouvu o</w:t>
      </w:r>
      <w:r w:rsidR="009E28BF">
        <w:rPr>
          <w:b/>
          <w:i/>
        </w:rPr>
        <w:t xml:space="preserve"> dílo</w:t>
      </w:r>
      <w:r w:rsidR="009960FA">
        <w:rPr>
          <w:b/>
          <w:i/>
        </w:rPr>
        <w:t>:</w:t>
      </w:r>
    </w:p>
    <w:p w14:paraId="6C26275E" w14:textId="77777777" w:rsidR="004A2F96" w:rsidRDefault="004A2F96">
      <w:pPr>
        <w:pStyle w:val="Standardnte"/>
      </w:pPr>
    </w:p>
    <w:p w14:paraId="0EC12B1A" w14:textId="77777777" w:rsidR="0011564D" w:rsidRDefault="0011564D">
      <w:pPr>
        <w:pStyle w:val="Standardnte"/>
      </w:pPr>
    </w:p>
    <w:p w14:paraId="239F31EE" w14:textId="77777777" w:rsidR="005A4FAC" w:rsidRDefault="005A4FAC">
      <w:pPr>
        <w:pStyle w:val="Standardnte"/>
      </w:pPr>
    </w:p>
    <w:p w14:paraId="2D4B34C1" w14:textId="77777777" w:rsidR="004A2F96" w:rsidRDefault="00650C5D">
      <w:pPr>
        <w:pStyle w:val="Standardnte"/>
        <w:jc w:val="center"/>
      </w:pPr>
      <w:r>
        <w:rPr>
          <w:b/>
          <w:caps/>
          <w:u w:val="single"/>
        </w:rPr>
        <w:t>Úvodní ustanovení</w:t>
      </w:r>
    </w:p>
    <w:p w14:paraId="393399EB" w14:textId="77777777" w:rsidR="004A2F96" w:rsidRDefault="004A2F96">
      <w:pPr>
        <w:pStyle w:val="Standardnte"/>
        <w:jc w:val="both"/>
      </w:pPr>
    </w:p>
    <w:p w14:paraId="0BA4A2FE" w14:textId="77777777" w:rsidR="005E7DFC" w:rsidRDefault="009E28BF">
      <w:pPr>
        <w:pStyle w:val="Standardnte"/>
        <w:jc w:val="both"/>
      </w:pPr>
      <w:r>
        <w:t xml:space="preserve">     Tato smlouva obsahově navazuje na smlouvu o spolupráci a</w:t>
      </w:r>
      <w:r w:rsidR="0011564D">
        <w:t xml:space="preserve"> o</w:t>
      </w:r>
      <w:r>
        <w:t xml:space="preserve"> budoucí smlouvě, kterou smluvní strany uzavřely</w:t>
      </w:r>
      <w:r w:rsidR="005E7DFC">
        <w:t xml:space="preserve"> dne 19. března 2019.</w:t>
      </w:r>
    </w:p>
    <w:p w14:paraId="460D9CDA" w14:textId="77777777" w:rsidR="009E28BF" w:rsidRDefault="005E7DFC">
      <w:pPr>
        <w:pStyle w:val="Standardnte"/>
        <w:jc w:val="both"/>
      </w:pPr>
      <w:r>
        <w:t xml:space="preserve"> </w:t>
      </w:r>
      <w:r w:rsidR="009E28BF">
        <w:t xml:space="preserve"> </w:t>
      </w:r>
    </w:p>
    <w:p w14:paraId="134721FA" w14:textId="77777777" w:rsidR="00B36B20" w:rsidRPr="008D0A15" w:rsidRDefault="00557E9F">
      <w:pPr>
        <w:pStyle w:val="Standardnte"/>
        <w:jc w:val="both"/>
        <w:rPr>
          <w:rFonts w:eastAsia="MS Mincho"/>
          <w:b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 xml:space="preserve">     </w:t>
      </w:r>
      <w:r w:rsidR="005E7DFC">
        <w:rPr>
          <w:rFonts w:eastAsia="MS Mincho"/>
          <w:color w:val="000000"/>
          <w:lang w:eastAsia="ja-JP"/>
        </w:rPr>
        <w:t xml:space="preserve">Zhotovitel se citovanou smlouvou zavázal spolupracovat jako subdodavatel s objednatelem na plnění veřejné zakázky </w:t>
      </w:r>
      <w:r w:rsidR="00B36B20">
        <w:rPr>
          <w:rFonts w:eastAsia="MS Mincho"/>
          <w:color w:val="000000"/>
          <w:lang w:eastAsia="ja-JP"/>
        </w:rPr>
        <w:t xml:space="preserve">s názvem </w:t>
      </w:r>
      <w:r w:rsidR="00DB5E28">
        <w:rPr>
          <w:rFonts w:eastAsia="MS Mincho"/>
          <w:b/>
          <w:color w:val="000000"/>
          <w:lang w:eastAsia="ja-JP"/>
        </w:rPr>
        <w:t>„S</w:t>
      </w:r>
      <w:r w:rsidR="0010396B">
        <w:rPr>
          <w:rFonts w:eastAsia="MS Mincho"/>
          <w:b/>
          <w:color w:val="000000"/>
          <w:lang w:eastAsia="ja-JP"/>
        </w:rPr>
        <w:t>m</w:t>
      </w:r>
      <w:r w:rsidR="00DB5E28">
        <w:rPr>
          <w:rFonts w:eastAsia="MS Mincho"/>
          <w:b/>
          <w:color w:val="000000"/>
          <w:lang w:eastAsia="ja-JP"/>
        </w:rPr>
        <w:t>luvní výzkum optimalizace nanášení ochranných vrstev, jejich experimentální ověření a modelování chování pokrytí na povlakovém materiálu</w:t>
      </w:r>
      <w:r w:rsidR="00B36B20" w:rsidRPr="008D0A15">
        <w:rPr>
          <w:rFonts w:eastAsia="MS Mincho"/>
          <w:b/>
          <w:color w:val="000000"/>
          <w:lang w:eastAsia="ja-JP"/>
        </w:rPr>
        <w:t>“</w:t>
      </w:r>
      <w:r w:rsidR="005E7DFC">
        <w:rPr>
          <w:rFonts w:eastAsia="MS Mincho"/>
          <w:b/>
          <w:color w:val="000000"/>
          <w:lang w:eastAsia="ja-JP"/>
        </w:rPr>
        <w:t xml:space="preserve"> </w:t>
      </w:r>
      <w:r w:rsidR="005E7DFC">
        <w:rPr>
          <w:rFonts w:eastAsia="MS Mincho"/>
          <w:color w:val="000000"/>
          <w:lang w:eastAsia="ja-JP"/>
        </w:rPr>
        <w:t>vyhlášené dne 8. 3. 2019 společností ALVEL, a.s.</w:t>
      </w:r>
      <w:r w:rsidR="00B36B20" w:rsidRPr="008D0A15">
        <w:rPr>
          <w:rFonts w:eastAsia="MS Mincho"/>
          <w:b/>
          <w:color w:val="000000"/>
          <w:lang w:eastAsia="ja-JP"/>
        </w:rPr>
        <w:t xml:space="preserve"> </w:t>
      </w:r>
    </w:p>
    <w:p w14:paraId="2AEF31F0" w14:textId="77777777" w:rsidR="004A2F96" w:rsidRDefault="00B36B20" w:rsidP="005E7DFC">
      <w:pPr>
        <w:pStyle w:val="Standardnte"/>
        <w:jc w:val="both"/>
      </w:pPr>
      <w:r>
        <w:rPr>
          <w:rFonts w:eastAsia="MS Mincho"/>
          <w:color w:val="000000"/>
          <w:lang w:eastAsia="ja-JP"/>
        </w:rPr>
        <w:t xml:space="preserve">     </w:t>
      </w:r>
    </w:p>
    <w:p w14:paraId="355B8DEB" w14:textId="77777777" w:rsidR="003239CE" w:rsidRDefault="003239CE">
      <w:pPr>
        <w:pStyle w:val="Standardnte"/>
      </w:pPr>
    </w:p>
    <w:p w14:paraId="14604006" w14:textId="77777777" w:rsidR="004A2F96" w:rsidRPr="00822F47" w:rsidRDefault="00822F47">
      <w:pPr>
        <w:jc w:val="center"/>
        <w:rPr>
          <w:b/>
          <w:sz w:val="24"/>
          <w:szCs w:val="24"/>
        </w:rPr>
      </w:pPr>
      <w:r w:rsidRPr="00822F47">
        <w:rPr>
          <w:b/>
          <w:sz w:val="24"/>
          <w:szCs w:val="24"/>
        </w:rPr>
        <w:t>I</w:t>
      </w:r>
      <w:r w:rsidR="004A2F96" w:rsidRPr="00822F47">
        <w:rPr>
          <w:b/>
          <w:sz w:val="24"/>
          <w:szCs w:val="24"/>
        </w:rPr>
        <w:t>.</w:t>
      </w:r>
    </w:p>
    <w:p w14:paraId="4B84DCE1" w14:textId="77777777" w:rsidR="004A2F96" w:rsidRDefault="00A31754">
      <w:pPr>
        <w:pStyle w:val="Nadpis3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předmět smlouvy</w:t>
      </w:r>
    </w:p>
    <w:p w14:paraId="431A6E24" w14:textId="77777777" w:rsidR="004A2F96" w:rsidRPr="002923C6" w:rsidRDefault="004A2F96">
      <w:pPr>
        <w:pStyle w:val="Nadpis3"/>
        <w:rPr>
          <w:rFonts w:ascii="Times New Roman" w:hAnsi="Times New Roman"/>
        </w:rPr>
      </w:pPr>
    </w:p>
    <w:p w14:paraId="68004314" w14:textId="77777777" w:rsidR="006C0350" w:rsidRDefault="0011564D" w:rsidP="00621957">
      <w:pPr>
        <w:pStyle w:val="Zkladntext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Zhotovitel se zavazuje řádně, včas a s potřebnou péčí provést na svůj náklad a nebezpečí pro objednatele dílo, jehož podrobná specifikace je</w:t>
      </w:r>
      <w:r w:rsidR="00325987" w:rsidRPr="0068162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uvedena v příloze č. 1, která tvoří nedílnou součást této smlouvy.</w:t>
      </w:r>
    </w:p>
    <w:p w14:paraId="6D1A3499" w14:textId="77777777" w:rsidR="0011564D" w:rsidRDefault="0011564D" w:rsidP="0011564D">
      <w:pPr>
        <w:pStyle w:val="Zkladntext"/>
        <w:rPr>
          <w:rFonts w:ascii="Times New Roman" w:hAnsi="Times New Roman"/>
        </w:rPr>
      </w:pPr>
    </w:p>
    <w:p w14:paraId="2160C5B9" w14:textId="6FFBA81D" w:rsidR="0011564D" w:rsidRDefault="0011564D" w:rsidP="00621957">
      <w:pPr>
        <w:pStyle w:val="Zkladntext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Objednatel se zavazuje řádně, včas a s potřebnou péčí provedené dílo převzít a </w:t>
      </w:r>
      <w:r w:rsidR="005B1215">
        <w:rPr>
          <w:rFonts w:ascii="Times New Roman" w:hAnsi="Times New Roman"/>
        </w:rPr>
        <w:t xml:space="preserve">zaplatit </w:t>
      </w:r>
      <w:r>
        <w:rPr>
          <w:rFonts w:ascii="Times New Roman" w:hAnsi="Times New Roman"/>
        </w:rPr>
        <w:t xml:space="preserve">zhotoviteli cenu dle ustanovení článku </w:t>
      </w:r>
      <w:r w:rsidR="009860E6">
        <w:rPr>
          <w:rFonts w:ascii="Times New Roman" w:hAnsi="Times New Roman"/>
        </w:rPr>
        <w:t>III</w:t>
      </w:r>
      <w:r>
        <w:rPr>
          <w:rFonts w:ascii="Times New Roman" w:hAnsi="Times New Roman"/>
        </w:rPr>
        <w:t xml:space="preserve"> této smlouvy.</w:t>
      </w:r>
    </w:p>
    <w:p w14:paraId="188E12AA" w14:textId="77777777" w:rsidR="006C0350" w:rsidRDefault="006C0350" w:rsidP="006C0350">
      <w:pPr>
        <w:pStyle w:val="Zkladntext"/>
        <w:rPr>
          <w:rFonts w:ascii="Times New Roman" w:hAnsi="Times New Roman"/>
        </w:rPr>
      </w:pPr>
    </w:p>
    <w:p w14:paraId="1D6ED00A" w14:textId="77777777" w:rsidR="006C0350" w:rsidRDefault="006C0350" w:rsidP="00681623">
      <w:pPr>
        <w:pStyle w:val="Zkladntext"/>
        <w:rPr>
          <w:rFonts w:ascii="Times New Roman" w:hAnsi="Times New Roman"/>
        </w:rPr>
      </w:pPr>
    </w:p>
    <w:p w14:paraId="3F2FBFAA" w14:textId="77777777" w:rsidR="000A5D8D" w:rsidRPr="000A5D8D" w:rsidRDefault="000A5D8D" w:rsidP="000A5D8D">
      <w:pPr>
        <w:pStyle w:val="Zkladntext"/>
        <w:jc w:val="center"/>
        <w:rPr>
          <w:rFonts w:ascii="Times New Roman" w:hAnsi="Times New Roman"/>
          <w:b/>
        </w:rPr>
      </w:pPr>
      <w:r w:rsidRPr="000A5D8D">
        <w:rPr>
          <w:rFonts w:ascii="Times New Roman" w:hAnsi="Times New Roman"/>
          <w:b/>
        </w:rPr>
        <w:lastRenderedPageBreak/>
        <w:t>II.</w:t>
      </w:r>
    </w:p>
    <w:p w14:paraId="25D8A0CB" w14:textId="77777777" w:rsidR="000A5D8D" w:rsidRPr="000A5D8D" w:rsidRDefault="0011564D" w:rsidP="000A5D8D">
      <w:pPr>
        <w:pStyle w:val="Zkladntext"/>
        <w:jc w:val="center"/>
        <w:rPr>
          <w:rFonts w:ascii="Times New Roman" w:hAnsi="Times New Roman"/>
          <w:b/>
          <w:caps/>
          <w:u w:val="single"/>
        </w:rPr>
      </w:pPr>
      <w:r>
        <w:rPr>
          <w:rFonts w:ascii="Times New Roman" w:hAnsi="Times New Roman"/>
          <w:b/>
          <w:caps/>
          <w:u w:val="single"/>
        </w:rPr>
        <w:t>místo a termín plnění, předání díla</w:t>
      </w:r>
    </w:p>
    <w:p w14:paraId="029D62E4" w14:textId="77777777" w:rsidR="000A5D8D" w:rsidRPr="000A5D8D" w:rsidRDefault="000A5D8D" w:rsidP="00681623">
      <w:pPr>
        <w:pStyle w:val="Zkladntext"/>
        <w:rPr>
          <w:rFonts w:ascii="Times New Roman" w:hAnsi="Times New Roman"/>
          <w:caps/>
          <w:u w:val="single"/>
        </w:rPr>
      </w:pPr>
    </w:p>
    <w:p w14:paraId="6AE781D1" w14:textId="77777777" w:rsidR="00BF4BE9" w:rsidRPr="008E07A8" w:rsidRDefault="000A5D8D" w:rsidP="000A5D8D">
      <w:pPr>
        <w:pStyle w:val="Zkladntext"/>
        <w:ind w:left="426" w:hanging="426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2.1. </w:t>
      </w:r>
      <w:r w:rsidR="0011564D">
        <w:rPr>
          <w:rFonts w:ascii="Times New Roman" w:hAnsi="Times New Roman"/>
        </w:rPr>
        <w:t>Místem realizace díla dle této smlouvy je sídlo zhotovitele</w:t>
      </w:r>
      <w:r w:rsidR="005B1215">
        <w:rPr>
          <w:rFonts w:ascii="Times New Roman" w:hAnsi="Times New Roman"/>
        </w:rPr>
        <w:t xml:space="preserve"> a další budovy vedené v jeho vlastnictví</w:t>
      </w:r>
      <w:r w:rsidR="0011564D">
        <w:rPr>
          <w:rFonts w:ascii="Times New Roman" w:hAnsi="Times New Roman"/>
        </w:rPr>
        <w:t>.</w:t>
      </w:r>
      <w:r w:rsidR="008E07A8" w:rsidRPr="008E07A8">
        <w:rPr>
          <w:rFonts w:ascii="Times New Roman" w:hAnsi="Times New Roman"/>
        </w:rPr>
        <w:t xml:space="preserve">  </w:t>
      </w:r>
    </w:p>
    <w:p w14:paraId="4E6C2996" w14:textId="77777777" w:rsidR="008E07A8" w:rsidRPr="008E07A8" w:rsidRDefault="008E07A8" w:rsidP="008E07A8">
      <w:pPr>
        <w:pStyle w:val="Zkladntext"/>
        <w:rPr>
          <w:rFonts w:ascii="Times New Roman" w:hAnsi="Times New Roman"/>
          <w:b/>
          <w:szCs w:val="24"/>
        </w:rPr>
      </w:pPr>
    </w:p>
    <w:p w14:paraId="2684373C" w14:textId="77777777" w:rsidR="00C921CC" w:rsidRDefault="000A5D8D" w:rsidP="00174B1A">
      <w:pPr>
        <w:pStyle w:val="Zkladntext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</w:t>
      </w:r>
      <w:r w:rsidR="00C921CC">
        <w:rPr>
          <w:rFonts w:ascii="Times New Roman" w:hAnsi="Times New Roman"/>
        </w:rPr>
        <w:t>Zhotovitel se zavazuje realizovat dílo postupně ve třech na sebe navazujících etapách.</w:t>
      </w:r>
    </w:p>
    <w:p w14:paraId="3947C72C" w14:textId="77777777" w:rsidR="00C921CC" w:rsidRDefault="00C921CC" w:rsidP="00174B1A">
      <w:pPr>
        <w:pStyle w:val="Zkladntext"/>
        <w:ind w:left="426" w:hanging="426"/>
        <w:rPr>
          <w:rFonts w:ascii="Times New Roman" w:hAnsi="Times New Roman"/>
        </w:rPr>
      </w:pPr>
    </w:p>
    <w:p w14:paraId="11B0BCAD" w14:textId="77777777" w:rsidR="00C921CC" w:rsidRPr="00C921CC" w:rsidRDefault="00C921CC" w:rsidP="00C921CC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921CC">
        <w:rPr>
          <w:rFonts w:ascii="Times New Roman" w:hAnsi="Times New Roman"/>
          <w:b/>
          <w:sz w:val="24"/>
          <w:szCs w:val="24"/>
        </w:rPr>
        <w:t xml:space="preserve">První etapu díla se zhotovitel zavazuje </w:t>
      </w:r>
      <w:r w:rsidR="00CC156E">
        <w:rPr>
          <w:rFonts w:ascii="Times New Roman" w:hAnsi="Times New Roman"/>
          <w:b/>
          <w:sz w:val="24"/>
          <w:szCs w:val="24"/>
        </w:rPr>
        <w:t>do</w:t>
      </w:r>
      <w:r w:rsidRPr="00C921CC">
        <w:rPr>
          <w:rFonts w:ascii="Times New Roman" w:hAnsi="Times New Roman"/>
          <w:b/>
          <w:sz w:val="24"/>
          <w:szCs w:val="24"/>
        </w:rPr>
        <w:t>končit</w:t>
      </w:r>
      <w:r w:rsidR="00CC156E">
        <w:rPr>
          <w:rFonts w:ascii="Times New Roman" w:hAnsi="Times New Roman"/>
          <w:b/>
          <w:sz w:val="24"/>
          <w:szCs w:val="24"/>
        </w:rPr>
        <w:t xml:space="preserve"> a předat objednateli</w:t>
      </w:r>
      <w:r w:rsidRPr="00C921CC">
        <w:rPr>
          <w:rFonts w:ascii="Times New Roman" w:hAnsi="Times New Roman"/>
          <w:b/>
          <w:sz w:val="24"/>
          <w:szCs w:val="24"/>
        </w:rPr>
        <w:t xml:space="preserve"> do </w:t>
      </w:r>
      <w:r w:rsidR="00BC0C22">
        <w:rPr>
          <w:rFonts w:ascii="Times New Roman" w:hAnsi="Times New Roman"/>
          <w:b/>
          <w:sz w:val="24"/>
          <w:szCs w:val="24"/>
        </w:rPr>
        <w:t>11. 10. 2019.</w:t>
      </w:r>
      <w:r w:rsidRPr="00C921CC">
        <w:rPr>
          <w:rFonts w:ascii="Times New Roman" w:hAnsi="Times New Roman"/>
          <w:sz w:val="24"/>
          <w:szCs w:val="24"/>
        </w:rPr>
        <w:t xml:space="preserve"> Výsledkem a výstupem této etapy bude </w:t>
      </w:r>
      <w:r w:rsidR="00CC156E">
        <w:rPr>
          <w:rFonts w:ascii="Times New Roman" w:hAnsi="Times New Roman"/>
          <w:sz w:val="24"/>
          <w:szCs w:val="24"/>
        </w:rPr>
        <w:t>t</w:t>
      </w:r>
      <w:r w:rsidRPr="00C921CC">
        <w:rPr>
          <w:rFonts w:ascii="Times New Roman" w:hAnsi="Times New Roman"/>
          <w:sz w:val="24"/>
          <w:szCs w:val="24"/>
        </w:rPr>
        <w:t xml:space="preserve">echnická zpráva obsahující souhrn omezujících parametrů nanášených vrstev dle NF studie. </w:t>
      </w:r>
      <w:r w:rsidR="00A344AA">
        <w:rPr>
          <w:rFonts w:ascii="Times New Roman" w:hAnsi="Times New Roman"/>
          <w:sz w:val="24"/>
          <w:szCs w:val="24"/>
        </w:rPr>
        <w:t>Ve zprávě b</w:t>
      </w:r>
      <w:r w:rsidR="00503011">
        <w:rPr>
          <w:rFonts w:ascii="Times New Roman" w:hAnsi="Times New Roman"/>
          <w:sz w:val="24"/>
          <w:szCs w:val="24"/>
        </w:rPr>
        <w:t xml:space="preserve">ude popsána </w:t>
      </w:r>
      <w:r w:rsidRPr="00C921CC">
        <w:rPr>
          <w:rFonts w:ascii="Times New Roman" w:hAnsi="Times New Roman"/>
          <w:sz w:val="24"/>
          <w:szCs w:val="24"/>
        </w:rPr>
        <w:t>metod</w:t>
      </w:r>
      <w:r w:rsidR="00503011">
        <w:rPr>
          <w:rFonts w:ascii="Times New Roman" w:hAnsi="Times New Roman"/>
          <w:sz w:val="24"/>
          <w:szCs w:val="24"/>
        </w:rPr>
        <w:t>ika</w:t>
      </w:r>
      <w:r w:rsidRPr="00C921CC">
        <w:rPr>
          <w:rFonts w:ascii="Times New Roman" w:hAnsi="Times New Roman"/>
          <w:sz w:val="24"/>
          <w:szCs w:val="24"/>
        </w:rPr>
        <w:t xml:space="preserve"> nanášení tenkých vrstev na připravené zkušební vzorky</w:t>
      </w:r>
      <w:r w:rsidR="00A344AA">
        <w:rPr>
          <w:rFonts w:ascii="Times New Roman" w:hAnsi="Times New Roman"/>
          <w:sz w:val="24"/>
          <w:szCs w:val="24"/>
        </w:rPr>
        <w:t>.</w:t>
      </w:r>
      <w:r w:rsidRPr="00C921CC">
        <w:rPr>
          <w:rFonts w:ascii="Times New Roman" w:hAnsi="Times New Roman"/>
          <w:sz w:val="24"/>
          <w:szCs w:val="24"/>
        </w:rPr>
        <w:t xml:space="preserve"> </w:t>
      </w:r>
      <w:r w:rsidR="00A344AA">
        <w:rPr>
          <w:rFonts w:ascii="Times New Roman" w:hAnsi="Times New Roman"/>
          <w:sz w:val="24"/>
          <w:szCs w:val="24"/>
        </w:rPr>
        <w:t>Na v</w:t>
      </w:r>
      <w:r w:rsidR="00503011">
        <w:rPr>
          <w:rFonts w:ascii="Times New Roman" w:hAnsi="Times New Roman"/>
          <w:sz w:val="24"/>
          <w:szCs w:val="24"/>
        </w:rPr>
        <w:t xml:space="preserve">zorky </w:t>
      </w:r>
      <w:r w:rsidR="00A344AA">
        <w:rPr>
          <w:rFonts w:ascii="Times New Roman" w:hAnsi="Times New Roman"/>
          <w:sz w:val="24"/>
          <w:szCs w:val="24"/>
        </w:rPr>
        <w:t xml:space="preserve">dodané objednatelem zhotovitel </w:t>
      </w:r>
      <w:r w:rsidR="00503011">
        <w:rPr>
          <w:rFonts w:ascii="Times New Roman" w:hAnsi="Times New Roman"/>
          <w:sz w:val="24"/>
          <w:szCs w:val="24"/>
        </w:rPr>
        <w:t>nanese</w:t>
      </w:r>
      <w:r w:rsidR="00A344AA">
        <w:rPr>
          <w:rFonts w:ascii="Times New Roman" w:hAnsi="Times New Roman"/>
          <w:sz w:val="24"/>
          <w:szCs w:val="24"/>
        </w:rPr>
        <w:t xml:space="preserve"> vybrané tenké</w:t>
      </w:r>
      <w:r w:rsidR="00503011">
        <w:rPr>
          <w:rFonts w:ascii="Times New Roman" w:hAnsi="Times New Roman"/>
          <w:sz w:val="24"/>
          <w:szCs w:val="24"/>
        </w:rPr>
        <w:t xml:space="preserve"> vrstv</w:t>
      </w:r>
      <w:r w:rsidR="00A344AA">
        <w:rPr>
          <w:rFonts w:ascii="Times New Roman" w:hAnsi="Times New Roman"/>
          <w:sz w:val="24"/>
          <w:szCs w:val="24"/>
        </w:rPr>
        <w:t>y</w:t>
      </w:r>
      <w:r w:rsidRPr="00C921CC">
        <w:rPr>
          <w:rFonts w:ascii="Times New Roman" w:hAnsi="Times New Roman"/>
          <w:sz w:val="24"/>
          <w:szCs w:val="24"/>
        </w:rPr>
        <w:t>.</w:t>
      </w:r>
    </w:p>
    <w:p w14:paraId="4442FC95" w14:textId="77777777" w:rsidR="00CC156E" w:rsidRDefault="00CC156E" w:rsidP="00CC156E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156E">
        <w:rPr>
          <w:rFonts w:ascii="Times New Roman" w:hAnsi="Times New Roman"/>
          <w:b/>
          <w:sz w:val="24"/>
          <w:szCs w:val="24"/>
        </w:rPr>
        <w:t xml:space="preserve">Druhou etapu díla se zhotovitel zavazuje </w:t>
      </w:r>
      <w:r>
        <w:rPr>
          <w:rFonts w:ascii="Times New Roman" w:hAnsi="Times New Roman"/>
          <w:b/>
          <w:sz w:val="24"/>
          <w:szCs w:val="24"/>
        </w:rPr>
        <w:t>do</w:t>
      </w:r>
      <w:r w:rsidRPr="00CC156E">
        <w:rPr>
          <w:rFonts w:ascii="Times New Roman" w:hAnsi="Times New Roman"/>
          <w:b/>
          <w:sz w:val="24"/>
          <w:szCs w:val="24"/>
        </w:rPr>
        <w:t>končit</w:t>
      </w:r>
      <w:r>
        <w:rPr>
          <w:rFonts w:ascii="Times New Roman" w:hAnsi="Times New Roman"/>
          <w:b/>
          <w:sz w:val="24"/>
          <w:szCs w:val="24"/>
        </w:rPr>
        <w:t xml:space="preserve"> a předat objednateli</w:t>
      </w:r>
      <w:r w:rsidR="00BC0C22">
        <w:rPr>
          <w:rFonts w:ascii="Times New Roman" w:hAnsi="Times New Roman"/>
          <w:b/>
          <w:sz w:val="24"/>
          <w:szCs w:val="24"/>
        </w:rPr>
        <w:t xml:space="preserve"> do 10. 04.2020.</w:t>
      </w:r>
      <w:r w:rsidRPr="00CC156E">
        <w:rPr>
          <w:rFonts w:ascii="Times New Roman" w:hAnsi="Times New Roman"/>
          <w:sz w:val="24"/>
          <w:szCs w:val="24"/>
        </w:rPr>
        <w:t xml:space="preserve"> Výsledkem a výstupem této etapy bude </w:t>
      </w:r>
      <w:r>
        <w:rPr>
          <w:rFonts w:ascii="Times New Roman" w:hAnsi="Times New Roman"/>
          <w:sz w:val="24"/>
          <w:szCs w:val="24"/>
        </w:rPr>
        <w:t>t</w:t>
      </w:r>
      <w:r w:rsidRPr="00CC156E">
        <w:rPr>
          <w:rFonts w:ascii="Times New Roman" w:hAnsi="Times New Roman"/>
          <w:sz w:val="24"/>
          <w:szCs w:val="24"/>
        </w:rPr>
        <w:t>echnická zpráva obsahující</w:t>
      </w:r>
      <w:r w:rsidR="00A344AA">
        <w:rPr>
          <w:rFonts w:ascii="Times New Roman" w:hAnsi="Times New Roman"/>
          <w:sz w:val="24"/>
          <w:szCs w:val="24"/>
        </w:rPr>
        <w:t xml:space="preserve"> popis metodiky nanášení optimalizovaných vrstev a výsledky analýz vzorků v původním stavu a po korozním testu, dle přílohy č. 1</w:t>
      </w:r>
      <w:r w:rsidRPr="00CC156E">
        <w:rPr>
          <w:rFonts w:ascii="Times New Roman" w:hAnsi="Times New Roman"/>
          <w:sz w:val="24"/>
          <w:szCs w:val="24"/>
        </w:rPr>
        <w:t xml:space="preserve">. Modifikovaný kód FAST s možnostmi zahrnutí modelování </w:t>
      </w:r>
      <w:r w:rsidR="00A344AA">
        <w:rPr>
          <w:rFonts w:ascii="Times New Roman" w:hAnsi="Times New Roman"/>
          <w:sz w:val="24"/>
          <w:szCs w:val="24"/>
        </w:rPr>
        <w:t xml:space="preserve">paliva reaktorů </w:t>
      </w:r>
      <w:r w:rsidRPr="00CC156E">
        <w:rPr>
          <w:rFonts w:ascii="Times New Roman" w:hAnsi="Times New Roman"/>
          <w:sz w:val="24"/>
          <w:szCs w:val="24"/>
        </w:rPr>
        <w:t>VVER.</w:t>
      </w:r>
    </w:p>
    <w:p w14:paraId="58E0C1C2" w14:textId="77777777" w:rsidR="00A344AA" w:rsidRDefault="00CC156E" w:rsidP="00BF4BE9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156E">
        <w:rPr>
          <w:rFonts w:ascii="Times New Roman" w:hAnsi="Times New Roman"/>
          <w:b/>
          <w:sz w:val="24"/>
          <w:szCs w:val="24"/>
        </w:rPr>
        <w:t>Třetí etapu díla se zhotovitel zavazuje dokončit a předat objednateli v termínu</w:t>
      </w:r>
      <w:r w:rsidR="00BC0C22">
        <w:rPr>
          <w:rFonts w:ascii="Times New Roman" w:hAnsi="Times New Roman"/>
          <w:b/>
          <w:sz w:val="24"/>
          <w:szCs w:val="24"/>
        </w:rPr>
        <w:t xml:space="preserve"> do 23</w:t>
      </w:r>
      <w:r w:rsidRPr="00CC156E">
        <w:rPr>
          <w:rFonts w:ascii="Times New Roman" w:hAnsi="Times New Roman"/>
          <w:b/>
          <w:sz w:val="24"/>
          <w:szCs w:val="24"/>
        </w:rPr>
        <w:t>. 10. 20</w:t>
      </w:r>
      <w:r w:rsidR="00F41B5B">
        <w:rPr>
          <w:rFonts w:ascii="Times New Roman" w:hAnsi="Times New Roman"/>
          <w:b/>
          <w:sz w:val="24"/>
          <w:szCs w:val="24"/>
        </w:rPr>
        <w:t>2</w:t>
      </w:r>
      <w:r w:rsidRPr="00CC156E">
        <w:rPr>
          <w:rFonts w:ascii="Times New Roman" w:hAnsi="Times New Roman"/>
          <w:b/>
          <w:sz w:val="24"/>
          <w:szCs w:val="24"/>
        </w:rPr>
        <w:t xml:space="preserve">0. </w:t>
      </w:r>
      <w:r w:rsidR="00A344AA" w:rsidRPr="00CC156E">
        <w:rPr>
          <w:rFonts w:ascii="Times New Roman" w:hAnsi="Times New Roman"/>
          <w:sz w:val="24"/>
          <w:szCs w:val="24"/>
        </w:rPr>
        <w:t xml:space="preserve">Výsledkem a výstupem této etapy bude </w:t>
      </w:r>
      <w:r w:rsidR="00A344AA">
        <w:rPr>
          <w:rFonts w:ascii="Times New Roman" w:hAnsi="Times New Roman"/>
          <w:sz w:val="24"/>
          <w:szCs w:val="24"/>
        </w:rPr>
        <w:t>t</w:t>
      </w:r>
      <w:r w:rsidR="00A344AA" w:rsidRPr="00CC156E">
        <w:rPr>
          <w:rFonts w:ascii="Times New Roman" w:hAnsi="Times New Roman"/>
          <w:sz w:val="24"/>
          <w:szCs w:val="24"/>
        </w:rPr>
        <w:t>echnická zpráva obsahující</w:t>
      </w:r>
      <w:r w:rsidR="00A344AA">
        <w:rPr>
          <w:rFonts w:ascii="Times New Roman" w:hAnsi="Times New Roman"/>
          <w:sz w:val="24"/>
          <w:szCs w:val="24"/>
        </w:rPr>
        <w:t xml:space="preserve"> výsledky analýz vzorků po korozním testu, dle přílohy č. 1</w:t>
      </w:r>
      <w:r w:rsidR="00A344AA" w:rsidRPr="00CC156E">
        <w:rPr>
          <w:rFonts w:ascii="Times New Roman" w:hAnsi="Times New Roman"/>
          <w:sz w:val="24"/>
          <w:szCs w:val="24"/>
        </w:rPr>
        <w:t xml:space="preserve">. </w:t>
      </w:r>
      <w:r w:rsidR="00A344AA">
        <w:rPr>
          <w:rFonts w:ascii="Times New Roman" w:hAnsi="Times New Roman"/>
          <w:sz w:val="24"/>
          <w:szCs w:val="24"/>
        </w:rPr>
        <w:t xml:space="preserve">Zpráva bude dále obsahovat </w:t>
      </w:r>
      <w:r w:rsidR="000E31EE">
        <w:rPr>
          <w:rFonts w:ascii="Times New Roman" w:hAnsi="Times New Roman"/>
          <w:sz w:val="24"/>
          <w:szCs w:val="24"/>
        </w:rPr>
        <w:t>popis nově dodaných materiálových vlastností do kódu FAST a výsledky modelování vybraných havarijních scénářů LOCA a RIA</w:t>
      </w:r>
      <w:r w:rsidR="00A344AA" w:rsidRPr="00CC156E">
        <w:rPr>
          <w:rFonts w:ascii="Times New Roman" w:hAnsi="Times New Roman"/>
          <w:sz w:val="24"/>
          <w:szCs w:val="24"/>
        </w:rPr>
        <w:t>.</w:t>
      </w:r>
    </w:p>
    <w:p w14:paraId="41762351" w14:textId="77777777" w:rsidR="00A344AA" w:rsidRPr="004747A0" w:rsidRDefault="00A344AA" w:rsidP="004747A0">
      <w:pPr>
        <w:jc w:val="both"/>
        <w:rPr>
          <w:b/>
          <w:sz w:val="24"/>
          <w:szCs w:val="24"/>
        </w:rPr>
      </w:pPr>
    </w:p>
    <w:p w14:paraId="6C35AD38" w14:textId="77777777" w:rsidR="00EF7E42" w:rsidRDefault="000A5D8D" w:rsidP="000A5D8D">
      <w:pPr>
        <w:pStyle w:val="Zkladntext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</w:t>
      </w:r>
      <w:r w:rsidR="004747A0">
        <w:rPr>
          <w:rFonts w:ascii="Times New Roman" w:hAnsi="Times New Roman"/>
        </w:rPr>
        <w:t xml:space="preserve">Dílo dle této smlouvy se považuje za </w:t>
      </w:r>
      <w:r w:rsidR="00EF7E42">
        <w:rPr>
          <w:rFonts w:ascii="Times New Roman" w:hAnsi="Times New Roman"/>
        </w:rPr>
        <w:t>provedené</w:t>
      </w:r>
      <w:r w:rsidR="004747A0">
        <w:rPr>
          <w:rFonts w:ascii="Times New Roman" w:hAnsi="Times New Roman"/>
        </w:rPr>
        <w:t xml:space="preserve"> jeho řádným</w:t>
      </w:r>
      <w:r w:rsidR="00EF7E42">
        <w:rPr>
          <w:rFonts w:ascii="Times New Roman" w:hAnsi="Times New Roman"/>
        </w:rPr>
        <w:t xml:space="preserve"> dokončením a předáním objednateli ve stavu umožňujícím jeho řádné využití </w:t>
      </w:r>
      <w:r w:rsidR="00A91B91">
        <w:rPr>
          <w:rFonts w:ascii="Times New Roman" w:hAnsi="Times New Roman"/>
        </w:rPr>
        <w:t>pro účely vyplývající ze</w:t>
      </w:r>
      <w:r w:rsidR="00EF7E42">
        <w:rPr>
          <w:rFonts w:ascii="Times New Roman" w:hAnsi="Times New Roman"/>
        </w:rPr>
        <w:t xml:space="preserve"> smluvní</w:t>
      </w:r>
      <w:r w:rsidR="00A91B91">
        <w:rPr>
          <w:rFonts w:ascii="Times New Roman" w:hAnsi="Times New Roman"/>
        </w:rPr>
        <w:t>ho</w:t>
      </w:r>
      <w:r w:rsidR="00EF7E42">
        <w:rPr>
          <w:rFonts w:ascii="Times New Roman" w:hAnsi="Times New Roman"/>
        </w:rPr>
        <w:t xml:space="preserve"> vztahu se zadavatelem veřejné zakázky, firmou ALVEL, a.s.</w:t>
      </w:r>
    </w:p>
    <w:p w14:paraId="62433288" w14:textId="77777777" w:rsidR="00EF7E42" w:rsidRDefault="00EF7E42" w:rsidP="000A5D8D">
      <w:pPr>
        <w:pStyle w:val="Zkladntext"/>
        <w:ind w:left="426" w:hanging="426"/>
        <w:rPr>
          <w:rFonts w:ascii="Times New Roman" w:hAnsi="Times New Roman"/>
        </w:rPr>
      </w:pPr>
    </w:p>
    <w:p w14:paraId="46F6688B" w14:textId="246D56B3" w:rsidR="00EF7E42" w:rsidRDefault="00EF7E42" w:rsidP="000A5D8D">
      <w:pPr>
        <w:pStyle w:val="Zkladntext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2.4. Technické zprávy tvořící výstupy jednotlivých etap budou</w:t>
      </w:r>
      <w:r w:rsidR="00A91B91">
        <w:rPr>
          <w:rFonts w:ascii="Times New Roman" w:hAnsi="Times New Roman"/>
        </w:rPr>
        <w:t xml:space="preserve"> objednateli předány ve stanovených termínech v písemné a elektronické podobě. O předání bude sepsán příslušný předávací protokol, který podepíší zástupci obou smluvních stran</w:t>
      </w:r>
      <w:r w:rsidR="005B1215">
        <w:rPr>
          <w:rFonts w:ascii="Times New Roman" w:hAnsi="Times New Roman"/>
        </w:rPr>
        <w:t>, jehož vzor je přílohou této smlouvy č.2.</w:t>
      </w:r>
    </w:p>
    <w:p w14:paraId="76156DDE" w14:textId="77777777" w:rsidR="00BF4BE9" w:rsidRPr="00BF4BE9" w:rsidRDefault="00EF7E42" w:rsidP="00EF7E42">
      <w:pPr>
        <w:pStyle w:val="Zkladntex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 </w:t>
      </w:r>
    </w:p>
    <w:p w14:paraId="2F24C187" w14:textId="77777777" w:rsidR="003239CE" w:rsidRDefault="003239CE">
      <w:pPr>
        <w:jc w:val="both"/>
        <w:rPr>
          <w:sz w:val="24"/>
          <w:szCs w:val="24"/>
        </w:rPr>
      </w:pPr>
    </w:p>
    <w:p w14:paraId="302136D4" w14:textId="77777777" w:rsidR="003239CE" w:rsidRPr="002923C6" w:rsidRDefault="003239CE">
      <w:pPr>
        <w:jc w:val="both"/>
        <w:rPr>
          <w:sz w:val="24"/>
          <w:szCs w:val="24"/>
        </w:rPr>
      </w:pPr>
    </w:p>
    <w:p w14:paraId="0541343E" w14:textId="77777777" w:rsidR="004A2F96" w:rsidRDefault="000A5D8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</w:t>
      </w:r>
      <w:r w:rsidR="00822F47">
        <w:rPr>
          <w:b/>
          <w:sz w:val="24"/>
          <w:szCs w:val="24"/>
        </w:rPr>
        <w:t>II.</w:t>
      </w:r>
    </w:p>
    <w:p w14:paraId="317DDE1B" w14:textId="77777777" w:rsidR="004A2F96" w:rsidRDefault="00A91B91">
      <w:pPr>
        <w:pStyle w:val="Nadpis3"/>
        <w:rPr>
          <w:rFonts w:ascii="Times New Roman" w:hAnsi="Times New Roman"/>
        </w:rPr>
      </w:pPr>
      <w:r>
        <w:rPr>
          <w:rFonts w:ascii="Times New Roman" w:hAnsi="Times New Roman"/>
          <w:b/>
        </w:rPr>
        <w:t>Cena díla</w:t>
      </w:r>
      <w:r w:rsidR="00F41B5B">
        <w:rPr>
          <w:rFonts w:ascii="Times New Roman" w:hAnsi="Times New Roman"/>
          <w:b/>
        </w:rPr>
        <w:t xml:space="preserve"> a platební podmínky</w:t>
      </w:r>
      <w:r>
        <w:rPr>
          <w:rFonts w:ascii="Times New Roman" w:hAnsi="Times New Roman"/>
          <w:b/>
        </w:rPr>
        <w:t xml:space="preserve"> </w:t>
      </w:r>
    </w:p>
    <w:p w14:paraId="44BE7266" w14:textId="77777777" w:rsidR="004A2F96" w:rsidRDefault="004A2F96">
      <w:pPr>
        <w:jc w:val="center"/>
      </w:pPr>
    </w:p>
    <w:p w14:paraId="59377C8F" w14:textId="11A3D5BD" w:rsidR="004A2F96" w:rsidRDefault="000A5D8D" w:rsidP="00B621AC">
      <w:pPr>
        <w:pStyle w:val="Standardnte"/>
        <w:ind w:left="709" w:hanging="709"/>
        <w:jc w:val="both"/>
      </w:pPr>
      <w:r>
        <w:t>3</w:t>
      </w:r>
      <w:r w:rsidR="004A2F96">
        <w:t>.1</w:t>
      </w:r>
      <w:r w:rsidR="004A2F96">
        <w:tab/>
      </w:r>
      <w:r w:rsidR="00A91B91">
        <w:t xml:space="preserve">Cena díla </w:t>
      </w:r>
      <w:r w:rsidR="005B1215">
        <w:t xml:space="preserve">je </w:t>
      </w:r>
      <w:r w:rsidR="00A91B91">
        <w:t xml:space="preserve">stanovena dohodou smluvních stran částkou </w:t>
      </w:r>
      <w:r w:rsidR="00A91B91" w:rsidRPr="00A91B91">
        <w:rPr>
          <w:b/>
        </w:rPr>
        <w:t>1.000.000,- Kč (slovy: jeden milion korun českých) bez DPH,</w:t>
      </w:r>
      <w:r w:rsidR="00A91B91">
        <w:t xml:space="preserve"> která bude zhotovitelem připočtena k ceně díla v příslušné zákonné výši.</w:t>
      </w:r>
      <w:r w:rsidR="004A2F96">
        <w:t xml:space="preserve"> </w:t>
      </w:r>
    </w:p>
    <w:p w14:paraId="40B25B0E" w14:textId="77777777" w:rsidR="000A5D8D" w:rsidRDefault="000A5D8D" w:rsidP="00B621AC">
      <w:pPr>
        <w:pStyle w:val="Standardnte"/>
        <w:ind w:left="709" w:hanging="709"/>
        <w:jc w:val="both"/>
      </w:pPr>
    </w:p>
    <w:p w14:paraId="155C1183" w14:textId="77777777" w:rsidR="004A2F96" w:rsidRDefault="000A5D8D" w:rsidP="00467BE2">
      <w:pPr>
        <w:pStyle w:val="Standardnte"/>
        <w:ind w:left="709" w:hanging="709"/>
        <w:jc w:val="both"/>
      </w:pPr>
      <w:r>
        <w:t>3</w:t>
      </w:r>
      <w:r w:rsidR="004A2F96">
        <w:t xml:space="preserve">.2. </w:t>
      </w:r>
      <w:r w:rsidR="004A2F96">
        <w:tab/>
      </w:r>
      <w:r w:rsidR="00F41B5B">
        <w:t>V ceně díla jsou již zcela zahrnuty a promítnuty veškeré náklady, které zhotoviteli v</w:t>
      </w:r>
      <w:r w:rsidR="00467BE2">
        <w:t> </w:t>
      </w:r>
      <w:r w:rsidR="00F41B5B">
        <w:t>souvislosti</w:t>
      </w:r>
      <w:r w:rsidR="00467BE2">
        <w:t xml:space="preserve"> s plněním této smlouvy vzniknou.</w:t>
      </w:r>
    </w:p>
    <w:p w14:paraId="081897E0" w14:textId="77777777" w:rsidR="00DE1491" w:rsidRDefault="00DE1491">
      <w:pPr>
        <w:pStyle w:val="Standardnte"/>
        <w:jc w:val="both"/>
      </w:pPr>
    </w:p>
    <w:p w14:paraId="32871237" w14:textId="77777777" w:rsidR="004A2F96" w:rsidRDefault="000A5D8D" w:rsidP="00467BE2">
      <w:pPr>
        <w:pStyle w:val="Standardnte"/>
        <w:ind w:left="851" w:hanging="851"/>
        <w:jc w:val="both"/>
      </w:pPr>
      <w:r>
        <w:t xml:space="preserve">3.3.      </w:t>
      </w:r>
      <w:r w:rsidR="00467BE2">
        <w:t>Cena díla bude objednatelem zhotoviteli placena postupně, a to vždy po dokončení a předání příslušné etapy dle předcházejícího článku této smlouvy.</w:t>
      </w:r>
    </w:p>
    <w:p w14:paraId="02D29769" w14:textId="77777777" w:rsidR="00DE1491" w:rsidRDefault="00DE1491" w:rsidP="000A5D8D">
      <w:pPr>
        <w:pStyle w:val="Standardnte"/>
        <w:jc w:val="both"/>
      </w:pPr>
    </w:p>
    <w:p w14:paraId="640738EF" w14:textId="77777777" w:rsidR="004A2F96" w:rsidRPr="00467BE2" w:rsidRDefault="000A5D8D" w:rsidP="00E859E8">
      <w:pPr>
        <w:pStyle w:val="Standardnte"/>
        <w:ind w:left="709" w:hanging="709"/>
        <w:jc w:val="both"/>
        <w:rPr>
          <w:b/>
        </w:rPr>
      </w:pPr>
      <w:r>
        <w:lastRenderedPageBreak/>
        <w:t>3.4.</w:t>
      </w:r>
      <w:r w:rsidR="004A2F96">
        <w:tab/>
      </w:r>
      <w:r w:rsidR="00467BE2">
        <w:t xml:space="preserve">Po dokončení a předání výsledků </w:t>
      </w:r>
      <w:r w:rsidR="00467BE2" w:rsidRPr="00467BE2">
        <w:rPr>
          <w:b/>
        </w:rPr>
        <w:t>první</w:t>
      </w:r>
      <w:r w:rsidR="00467BE2">
        <w:t xml:space="preserve"> </w:t>
      </w:r>
      <w:r w:rsidR="00467BE2" w:rsidRPr="00467BE2">
        <w:rPr>
          <w:b/>
        </w:rPr>
        <w:t>etapy díla zaplatí objednatel zhotoviteli částku 150.000,- Kč, po předání výsledků druhé etapy 300.000,- a po předání výsledků třetí etapy zbývajících 550.000,- Kč.</w:t>
      </w:r>
    </w:p>
    <w:p w14:paraId="042025F6" w14:textId="77777777" w:rsidR="004A2F96" w:rsidRDefault="004A2F96" w:rsidP="00E83E2D">
      <w:pPr>
        <w:pStyle w:val="Standardnte"/>
        <w:jc w:val="both"/>
      </w:pPr>
    </w:p>
    <w:p w14:paraId="605CFF85" w14:textId="77777777" w:rsidR="004A2F96" w:rsidRDefault="000A5D8D" w:rsidP="00D32775">
      <w:pPr>
        <w:pStyle w:val="Standardnte"/>
        <w:ind w:left="709" w:hanging="709"/>
        <w:jc w:val="both"/>
      </w:pPr>
      <w:r>
        <w:t>3</w:t>
      </w:r>
      <w:r w:rsidR="00E83E2D">
        <w:t>.</w:t>
      </w:r>
      <w:r>
        <w:t>5.</w:t>
      </w:r>
      <w:r w:rsidR="00E859E8">
        <w:tab/>
      </w:r>
      <w:r w:rsidR="0032008A">
        <w:t>Platby budou realizovány na základě zhotovitelem vystavených faktur, které musí obsahovat veškeré náležitosti daňového a účetního dokladu a budou splatné do 30 dnů ode dne jejich doručení objednateli bezhotovostním převodem na zhotovitelem určený bankovní účet.</w:t>
      </w:r>
    </w:p>
    <w:p w14:paraId="6AC37126" w14:textId="77777777" w:rsidR="003239CE" w:rsidRDefault="003239CE">
      <w:pPr>
        <w:tabs>
          <w:tab w:val="center" w:pos="4536"/>
          <w:tab w:val="right" w:pos="9072"/>
        </w:tabs>
        <w:jc w:val="both"/>
        <w:rPr>
          <w:sz w:val="24"/>
          <w:szCs w:val="24"/>
        </w:rPr>
      </w:pPr>
    </w:p>
    <w:p w14:paraId="66D8A4DB" w14:textId="77777777" w:rsidR="00A344AA" w:rsidRPr="002923C6" w:rsidRDefault="00A344AA">
      <w:pPr>
        <w:tabs>
          <w:tab w:val="center" w:pos="4536"/>
          <w:tab w:val="right" w:pos="9072"/>
        </w:tabs>
        <w:jc w:val="both"/>
        <w:rPr>
          <w:sz w:val="24"/>
          <w:szCs w:val="24"/>
        </w:rPr>
      </w:pPr>
    </w:p>
    <w:p w14:paraId="20394E89" w14:textId="77777777" w:rsidR="004A2F96" w:rsidRDefault="00822F47">
      <w:pPr>
        <w:tabs>
          <w:tab w:val="center" w:pos="4536"/>
          <w:tab w:val="right" w:pos="9072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I</w:t>
      </w:r>
      <w:r w:rsidR="001C6B3D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.</w:t>
      </w:r>
    </w:p>
    <w:p w14:paraId="5186A39A" w14:textId="77777777" w:rsidR="004A2F96" w:rsidRDefault="0032008A">
      <w:pPr>
        <w:pStyle w:val="Standardnte"/>
        <w:jc w:val="center"/>
        <w:rPr>
          <w:u w:val="single"/>
        </w:rPr>
      </w:pPr>
      <w:r>
        <w:rPr>
          <w:b/>
          <w:caps/>
          <w:u w:val="single"/>
        </w:rPr>
        <w:t>záruka</w:t>
      </w:r>
    </w:p>
    <w:p w14:paraId="353F2FE0" w14:textId="77777777" w:rsidR="002E428A" w:rsidRDefault="002E428A">
      <w:pPr>
        <w:pStyle w:val="Standardnte"/>
        <w:jc w:val="both"/>
      </w:pPr>
    </w:p>
    <w:p w14:paraId="541C718D" w14:textId="77777777" w:rsidR="004A2F96" w:rsidRDefault="001C6B3D" w:rsidP="001C6B3D">
      <w:pPr>
        <w:pStyle w:val="Standardnte"/>
        <w:tabs>
          <w:tab w:val="left" w:pos="709"/>
          <w:tab w:val="right" w:pos="9072"/>
        </w:tabs>
        <w:ind w:left="709" w:hanging="709"/>
        <w:jc w:val="both"/>
      </w:pPr>
      <w:r>
        <w:t>4</w:t>
      </w:r>
      <w:r w:rsidR="004A2F96">
        <w:t>.1</w:t>
      </w:r>
      <w:r w:rsidR="0008605F">
        <w:t>.</w:t>
      </w:r>
      <w:r w:rsidR="004A2F96">
        <w:tab/>
      </w:r>
      <w:r w:rsidR="0032008A">
        <w:t>Zhotovitel poskytuje objednateli záruku na jím provedené dílo dle této smlouvy a jeho odpovídající kvalitu v délce 24 měsíců ode dne řádného předání a převzetí díla dle ustanovení článku II této smlouvy.</w:t>
      </w:r>
    </w:p>
    <w:p w14:paraId="623D0B82" w14:textId="77777777" w:rsidR="0032008A" w:rsidRDefault="0032008A" w:rsidP="001C6B3D">
      <w:pPr>
        <w:pStyle w:val="Standardnte"/>
        <w:tabs>
          <w:tab w:val="left" w:pos="709"/>
          <w:tab w:val="right" w:pos="9072"/>
        </w:tabs>
        <w:ind w:left="709" w:hanging="709"/>
        <w:jc w:val="both"/>
      </w:pPr>
    </w:p>
    <w:p w14:paraId="5AEF5989" w14:textId="554B7CCA" w:rsidR="0032008A" w:rsidRPr="001C6B3D" w:rsidRDefault="0032008A" w:rsidP="001C6B3D">
      <w:pPr>
        <w:pStyle w:val="Standardnte"/>
        <w:tabs>
          <w:tab w:val="left" w:pos="709"/>
          <w:tab w:val="right" w:pos="9072"/>
        </w:tabs>
        <w:ind w:left="709" w:hanging="709"/>
        <w:jc w:val="both"/>
      </w:pPr>
      <w:r>
        <w:t xml:space="preserve">4.2    V případě výskytu vad v průběhu záruční doby se zhotovitel zavazuje zjištěné vady odstranit do </w:t>
      </w:r>
      <w:r w:rsidR="005B1215">
        <w:t xml:space="preserve">30 </w:t>
      </w:r>
      <w:r>
        <w:t>dnů od jejich písemného oznámení objednatelem.</w:t>
      </w:r>
    </w:p>
    <w:p w14:paraId="2B4AB869" w14:textId="77777777" w:rsidR="004A2F96" w:rsidRDefault="004A2F96">
      <w:pPr>
        <w:tabs>
          <w:tab w:val="center" w:pos="4536"/>
          <w:tab w:val="right" w:pos="9072"/>
        </w:tabs>
        <w:jc w:val="both"/>
        <w:rPr>
          <w:sz w:val="24"/>
          <w:szCs w:val="24"/>
        </w:rPr>
      </w:pPr>
    </w:p>
    <w:p w14:paraId="6C914D3D" w14:textId="77777777" w:rsidR="001C6B3D" w:rsidRDefault="001C6B3D">
      <w:pPr>
        <w:tabs>
          <w:tab w:val="center" w:pos="4536"/>
          <w:tab w:val="right" w:pos="9072"/>
        </w:tabs>
        <w:jc w:val="both"/>
        <w:rPr>
          <w:sz w:val="24"/>
          <w:szCs w:val="24"/>
        </w:rPr>
      </w:pPr>
    </w:p>
    <w:p w14:paraId="1D4D06BD" w14:textId="77777777" w:rsidR="004A2F96" w:rsidRDefault="00822F47">
      <w:pPr>
        <w:tabs>
          <w:tab w:val="center" w:pos="4536"/>
          <w:tab w:val="right" w:pos="9072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V.</w:t>
      </w:r>
    </w:p>
    <w:p w14:paraId="2F083197" w14:textId="77777777" w:rsidR="004A2F96" w:rsidRDefault="004A2F96">
      <w:pPr>
        <w:pStyle w:val="Standardnte"/>
        <w:jc w:val="center"/>
      </w:pPr>
      <w:r>
        <w:rPr>
          <w:b/>
          <w:caps/>
          <w:u w:val="single"/>
        </w:rPr>
        <w:t>S</w:t>
      </w:r>
      <w:r w:rsidR="0032008A">
        <w:rPr>
          <w:b/>
          <w:caps/>
          <w:u w:val="single"/>
        </w:rPr>
        <w:t>mluvní pokuty</w:t>
      </w:r>
    </w:p>
    <w:p w14:paraId="686338C8" w14:textId="77777777" w:rsidR="002E428A" w:rsidRDefault="002E428A">
      <w:pPr>
        <w:pStyle w:val="Standardnte"/>
        <w:jc w:val="both"/>
      </w:pPr>
    </w:p>
    <w:p w14:paraId="41864312" w14:textId="19DB9C13" w:rsidR="00A8206C" w:rsidRDefault="001C6B3D" w:rsidP="00E10C5A">
      <w:pPr>
        <w:pStyle w:val="Standardnte"/>
        <w:tabs>
          <w:tab w:val="left" w:pos="709"/>
          <w:tab w:val="center" w:pos="4536"/>
          <w:tab w:val="right" w:pos="9072"/>
        </w:tabs>
        <w:ind w:left="709" w:hanging="709"/>
        <w:jc w:val="both"/>
        <w:rPr>
          <w:b/>
        </w:rPr>
      </w:pPr>
      <w:r>
        <w:t>5</w:t>
      </w:r>
      <w:r w:rsidR="004A2F96">
        <w:t>.1</w:t>
      </w:r>
      <w:r w:rsidR="0008605F">
        <w:t>.</w:t>
      </w:r>
      <w:r w:rsidR="004A2F96">
        <w:tab/>
        <w:t xml:space="preserve">V případě </w:t>
      </w:r>
      <w:r w:rsidR="00BF1353">
        <w:t xml:space="preserve">prodlení zhotovitele s řádným provedením díla nebo jeho části oproti termínům uvedeným v ustanovení článku II této smlouvy se zhotovitel zavazuje zaplatit objednateli smluvní pokutu ve výši </w:t>
      </w:r>
      <w:r w:rsidR="005B1215">
        <w:t>5</w:t>
      </w:r>
      <w:r w:rsidR="00BF1353">
        <w:t xml:space="preserve">00,- Kč za každý den prodlení. Zaplacením smluvní pokuty není dotčen nárok objednatele na náhradu případně vzniklé škody. </w:t>
      </w:r>
    </w:p>
    <w:p w14:paraId="56C7F163" w14:textId="77777777" w:rsidR="004A2F96" w:rsidRDefault="004A2F96">
      <w:pPr>
        <w:pStyle w:val="Standardnte"/>
        <w:jc w:val="both"/>
      </w:pPr>
    </w:p>
    <w:p w14:paraId="4F8459BA" w14:textId="6426637D" w:rsidR="00BF1353" w:rsidRDefault="001C6B3D">
      <w:pPr>
        <w:pStyle w:val="Standardnte"/>
        <w:ind w:left="709" w:hanging="709"/>
        <w:jc w:val="both"/>
      </w:pPr>
      <w:r>
        <w:t>5</w:t>
      </w:r>
      <w:r w:rsidR="004A2F96">
        <w:t>.</w:t>
      </w:r>
      <w:r w:rsidR="00E10C5A">
        <w:t>2</w:t>
      </w:r>
      <w:r w:rsidR="0008605F">
        <w:t>.</w:t>
      </w:r>
      <w:r w:rsidR="004A2F96">
        <w:tab/>
      </w:r>
      <w:r w:rsidR="00BF1353">
        <w:t xml:space="preserve">V případě prodlení zhotovitele s odstraněním vad díla oproti lhůtě stanovené v článku 4.2 této smlouvy se zhotovitel zavazuje zaplatit objednateli smluvní pokutu ve výši </w:t>
      </w:r>
      <w:r w:rsidR="005B1215">
        <w:t>5</w:t>
      </w:r>
      <w:r w:rsidR="00BF1353">
        <w:t xml:space="preserve">00,- Kč za každý </w:t>
      </w:r>
      <w:r w:rsidR="005B1215">
        <w:t xml:space="preserve">den </w:t>
      </w:r>
      <w:r w:rsidR="00BF1353">
        <w:t>prodlení.</w:t>
      </w:r>
    </w:p>
    <w:p w14:paraId="23730A97" w14:textId="77777777" w:rsidR="00BF1353" w:rsidRDefault="00BF1353">
      <w:pPr>
        <w:pStyle w:val="Standardnte"/>
        <w:ind w:left="709" w:hanging="709"/>
        <w:jc w:val="both"/>
      </w:pPr>
    </w:p>
    <w:p w14:paraId="0F6A0A6A" w14:textId="05053FD2" w:rsidR="004A2F96" w:rsidRDefault="00BF1353">
      <w:pPr>
        <w:pStyle w:val="Standardnte"/>
        <w:ind w:left="709" w:hanging="709"/>
        <w:jc w:val="both"/>
      </w:pPr>
      <w:r>
        <w:t xml:space="preserve">5.3.    V případě prodlení objednatele se zaplacením ceny díla nebo jeho části se objednatel zavazuje zaplatit zhotoviteli smluvní pokutu ve výši </w:t>
      </w:r>
      <w:r w:rsidR="005B1215">
        <w:t>500,- Kč</w:t>
      </w:r>
      <w:r>
        <w:t xml:space="preserve"> za každý den prodlení.</w:t>
      </w:r>
    </w:p>
    <w:p w14:paraId="721E49E4" w14:textId="77777777" w:rsidR="00216E5E" w:rsidRDefault="00216E5E">
      <w:pPr>
        <w:pStyle w:val="Standardnte"/>
        <w:ind w:left="709" w:hanging="709"/>
        <w:jc w:val="both"/>
      </w:pPr>
    </w:p>
    <w:p w14:paraId="0F059150" w14:textId="77777777" w:rsidR="00216E5E" w:rsidRDefault="00216E5E">
      <w:pPr>
        <w:pStyle w:val="Standardnte"/>
        <w:ind w:left="709" w:hanging="709"/>
        <w:jc w:val="both"/>
      </w:pPr>
    </w:p>
    <w:p w14:paraId="63A469AD" w14:textId="77777777" w:rsidR="00A344AA" w:rsidRDefault="00A344AA" w:rsidP="00A344AA">
      <w:pPr>
        <w:tabs>
          <w:tab w:val="center" w:pos="4536"/>
          <w:tab w:val="right" w:pos="9072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VI.</w:t>
      </w:r>
    </w:p>
    <w:p w14:paraId="3576F3DB" w14:textId="77777777" w:rsidR="004A2F96" w:rsidRPr="00A344AA" w:rsidRDefault="00216E5E" w:rsidP="00A344AA">
      <w:pPr>
        <w:pStyle w:val="Standardnte"/>
        <w:jc w:val="center"/>
        <w:rPr>
          <w:b/>
          <w:caps/>
          <w:u w:val="single"/>
        </w:rPr>
      </w:pPr>
      <w:r w:rsidRPr="00A344AA">
        <w:rPr>
          <w:b/>
          <w:caps/>
          <w:u w:val="single"/>
        </w:rPr>
        <w:t>závazek mlčenlivosti</w:t>
      </w:r>
    </w:p>
    <w:p w14:paraId="2F75E284" w14:textId="77777777" w:rsidR="004A2F96" w:rsidRDefault="004A2F96">
      <w:pPr>
        <w:jc w:val="center"/>
      </w:pPr>
    </w:p>
    <w:p w14:paraId="587FA024" w14:textId="77777777" w:rsidR="00216E5E" w:rsidRDefault="001C6B3D">
      <w:pPr>
        <w:pStyle w:val="Zkladntext"/>
        <w:tabs>
          <w:tab w:val="left" w:pos="709"/>
        </w:tabs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A2F96">
        <w:rPr>
          <w:rFonts w:ascii="Times New Roman" w:hAnsi="Times New Roman"/>
        </w:rPr>
        <w:t>.1</w:t>
      </w:r>
      <w:r w:rsidR="0008605F">
        <w:rPr>
          <w:rFonts w:ascii="Times New Roman" w:hAnsi="Times New Roman"/>
        </w:rPr>
        <w:t>.</w:t>
      </w:r>
      <w:r w:rsidR="004A2F96">
        <w:rPr>
          <w:rFonts w:ascii="Times New Roman" w:hAnsi="Times New Roman"/>
        </w:rPr>
        <w:t xml:space="preserve"> </w:t>
      </w:r>
      <w:r w:rsidR="004A2F96">
        <w:rPr>
          <w:rFonts w:ascii="Times New Roman" w:hAnsi="Times New Roman"/>
        </w:rPr>
        <w:tab/>
      </w:r>
      <w:r w:rsidR="00216E5E">
        <w:rPr>
          <w:rFonts w:ascii="Times New Roman" w:hAnsi="Times New Roman"/>
        </w:rPr>
        <w:t xml:space="preserve">Zhotovitel se zavazuje zachovávat mlčenlivost ohledně všech skutečností, s nimiž se seznámí v rámci plnění této smlouvy. Tato povinnost se vztahuje na veškeré osoby, které se na straně zhotovitele budou podílet na plnění této smlouvy. </w:t>
      </w:r>
    </w:p>
    <w:p w14:paraId="332F7C24" w14:textId="77777777" w:rsidR="00216E5E" w:rsidRDefault="00216E5E">
      <w:pPr>
        <w:pStyle w:val="Zkladntext"/>
        <w:tabs>
          <w:tab w:val="left" w:pos="709"/>
        </w:tabs>
        <w:ind w:left="709" w:hanging="709"/>
        <w:rPr>
          <w:rFonts w:ascii="Times New Roman" w:hAnsi="Times New Roman"/>
        </w:rPr>
      </w:pPr>
    </w:p>
    <w:p w14:paraId="3FBA3C9B" w14:textId="77777777" w:rsidR="001C6B3D" w:rsidRPr="00216E5E" w:rsidRDefault="00216E5E" w:rsidP="00216E5E">
      <w:pPr>
        <w:pStyle w:val="Zkladntext"/>
        <w:tabs>
          <w:tab w:val="left" w:pos="709"/>
        </w:tabs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    Zhotovitel se rovněž zavazuje, že </w:t>
      </w:r>
      <w:r w:rsidR="004A2F96">
        <w:rPr>
          <w:rFonts w:ascii="Times New Roman" w:hAnsi="Times New Roman"/>
        </w:rPr>
        <w:t>informace</w:t>
      </w:r>
      <w:r w:rsidR="008214F4">
        <w:rPr>
          <w:rFonts w:ascii="Times New Roman" w:hAnsi="Times New Roman"/>
        </w:rPr>
        <w:t xml:space="preserve"> získané od </w:t>
      </w:r>
      <w:r>
        <w:rPr>
          <w:rFonts w:ascii="Times New Roman" w:hAnsi="Times New Roman"/>
        </w:rPr>
        <w:t xml:space="preserve">objednatele v rámci plnění této smlouvy nepoužije </w:t>
      </w:r>
      <w:r w:rsidR="004A2F96">
        <w:rPr>
          <w:rFonts w:ascii="Times New Roman" w:hAnsi="Times New Roman"/>
        </w:rPr>
        <w:t>k jiným ú</w:t>
      </w:r>
      <w:r w:rsidR="008214F4">
        <w:rPr>
          <w:rFonts w:ascii="Times New Roman" w:hAnsi="Times New Roman"/>
        </w:rPr>
        <w:t xml:space="preserve">čelům než pro </w:t>
      </w:r>
      <w:r w:rsidR="003279AD">
        <w:rPr>
          <w:rFonts w:ascii="Times New Roman" w:hAnsi="Times New Roman"/>
        </w:rPr>
        <w:t xml:space="preserve">realizaci této </w:t>
      </w:r>
      <w:r w:rsidR="00AB2F38">
        <w:rPr>
          <w:rFonts w:ascii="Times New Roman" w:hAnsi="Times New Roman"/>
        </w:rPr>
        <w:t>s</w:t>
      </w:r>
      <w:r w:rsidR="003279AD">
        <w:rPr>
          <w:rFonts w:ascii="Times New Roman" w:hAnsi="Times New Roman"/>
        </w:rPr>
        <w:t xml:space="preserve">mlouvy </w:t>
      </w:r>
      <w:r w:rsidR="004A2F96">
        <w:rPr>
          <w:rFonts w:ascii="Times New Roman" w:hAnsi="Times New Roman"/>
        </w:rPr>
        <w:t>a bude j</w:t>
      </w:r>
      <w:r w:rsidR="00E96C8C">
        <w:rPr>
          <w:rFonts w:ascii="Times New Roman" w:hAnsi="Times New Roman"/>
        </w:rPr>
        <w:t xml:space="preserve">e uchovávat v tajnosti po dobu </w:t>
      </w:r>
      <w:r w:rsidR="00AB2F38">
        <w:rPr>
          <w:rFonts w:ascii="Times New Roman" w:hAnsi="Times New Roman"/>
        </w:rPr>
        <w:t>nejméně 5</w:t>
      </w:r>
      <w:r w:rsidR="004A2F96">
        <w:rPr>
          <w:rFonts w:ascii="Times New Roman" w:hAnsi="Times New Roman"/>
        </w:rPr>
        <w:t xml:space="preserve"> let o</w:t>
      </w:r>
      <w:r w:rsidR="008214F4">
        <w:rPr>
          <w:rFonts w:ascii="Times New Roman" w:hAnsi="Times New Roman"/>
        </w:rPr>
        <w:t xml:space="preserve">d ukončení platnosti této </w:t>
      </w:r>
      <w:r w:rsidR="00193DF6">
        <w:rPr>
          <w:rFonts w:ascii="Times New Roman" w:hAnsi="Times New Roman"/>
        </w:rPr>
        <w:t>s</w:t>
      </w:r>
      <w:r w:rsidR="008214F4">
        <w:rPr>
          <w:rFonts w:ascii="Times New Roman" w:hAnsi="Times New Roman"/>
        </w:rPr>
        <w:t>mlouvy</w:t>
      </w:r>
      <w:r w:rsidR="004A2F96">
        <w:rPr>
          <w:rFonts w:ascii="Times New Roman" w:hAnsi="Times New Roman"/>
        </w:rPr>
        <w:t>.</w:t>
      </w:r>
    </w:p>
    <w:p w14:paraId="66B3E3BE" w14:textId="77777777" w:rsidR="003239CE" w:rsidRDefault="003239CE">
      <w:pPr>
        <w:jc w:val="both"/>
        <w:rPr>
          <w:sz w:val="24"/>
        </w:rPr>
      </w:pPr>
    </w:p>
    <w:p w14:paraId="1E34DD45" w14:textId="77777777" w:rsidR="00A344AA" w:rsidRDefault="00A344AA">
      <w:pPr>
        <w:jc w:val="both"/>
        <w:rPr>
          <w:sz w:val="24"/>
        </w:rPr>
      </w:pPr>
    </w:p>
    <w:p w14:paraId="6D197376" w14:textId="77777777" w:rsidR="004A2F96" w:rsidRDefault="00822F47">
      <w:pPr>
        <w:jc w:val="center"/>
        <w:rPr>
          <w:sz w:val="24"/>
        </w:rPr>
      </w:pPr>
      <w:r>
        <w:rPr>
          <w:b/>
          <w:sz w:val="24"/>
        </w:rPr>
        <w:lastRenderedPageBreak/>
        <w:t>V</w:t>
      </w:r>
      <w:r w:rsidR="001C6B3D">
        <w:rPr>
          <w:b/>
          <w:sz w:val="24"/>
        </w:rPr>
        <w:t>I</w:t>
      </w:r>
      <w:r>
        <w:rPr>
          <w:b/>
          <w:sz w:val="24"/>
        </w:rPr>
        <w:t>I.</w:t>
      </w:r>
    </w:p>
    <w:p w14:paraId="046F5614" w14:textId="77777777" w:rsidR="004A2F96" w:rsidRDefault="0048463E">
      <w:pPr>
        <w:pStyle w:val="Nadpis3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doba </w:t>
      </w:r>
      <w:r w:rsidR="008214F4">
        <w:rPr>
          <w:rFonts w:ascii="Times New Roman" w:hAnsi="Times New Roman"/>
          <w:b/>
        </w:rPr>
        <w:t>TRvání SMlouv</w:t>
      </w:r>
      <w:r w:rsidR="004A2F96">
        <w:rPr>
          <w:rFonts w:ascii="Times New Roman" w:hAnsi="Times New Roman"/>
          <w:b/>
        </w:rPr>
        <w:t>y</w:t>
      </w:r>
    </w:p>
    <w:p w14:paraId="3E45F96F" w14:textId="77777777" w:rsidR="004A2F96" w:rsidRDefault="004A2F96">
      <w:pPr>
        <w:jc w:val="both"/>
        <w:rPr>
          <w:sz w:val="24"/>
        </w:rPr>
      </w:pPr>
    </w:p>
    <w:p w14:paraId="1D7EEBB2" w14:textId="77777777" w:rsidR="004A2F96" w:rsidRDefault="001C6B3D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8214F4">
        <w:rPr>
          <w:rFonts w:ascii="Times New Roman" w:hAnsi="Times New Roman"/>
        </w:rPr>
        <w:t>.1</w:t>
      </w:r>
      <w:r w:rsidR="0008605F">
        <w:rPr>
          <w:rFonts w:ascii="Times New Roman" w:hAnsi="Times New Roman"/>
        </w:rPr>
        <w:t>.</w:t>
      </w:r>
      <w:r w:rsidR="008214F4">
        <w:rPr>
          <w:rFonts w:ascii="Times New Roman" w:hAnsi="Times New Roman"/>
        </w:rPr>
        <w:t xml:space="preserve"> </w:t>
      </w:r>
      <w:r w:rsidR="008214F4">
        <w:rPr>
          <w:rFonts w:ascii="Times New Roman" w:hAnsi="Times New Roman"/>
        </w:rPr>
        <w:tab/>
        <w:t xml:space="preserve">Tato </w:t>
      </w:r>
      <w:r w:rsidR="006F4557">
        <w:rPr>
          <w:rFonts w:ascii="Times New Roman" w:hAnsi="Times New Roman"/>
        </w:rPr>
        <w:t>s</w:t>
      </w:r>
      <w:r w:rsidR="008214F4">
        <w:rPr>
          <w:rFonts w:ascii="Times New Roman" w:hAnsi="Times New Roman"/>
        </w:rPr>
        <w:t>mlouva</w:t>
      </w:r>
      <w:r w:rsidR="004A2F96">
        <w:rPr>
          <w:rFonts w:ascii="Times New Roman" w:hAnsi="Times New Roman"/>
        </w:rPr>
        <w:t xml:space="preserve"> vstupuje v platnost a nabývá účinnosti dnem podpisu stran.</w:t>
      </w:r>
    </w:p>
    <w:p w14:paraId="2924D35F" w14:textId="77777777" w:rsidR="004A2F96" w:rsidRDefault="004A2F96">
      <w:pPr>
        <w:jc w:val="both"/>
        <w:rPr>
          <w:sz w:val="24"/>
        </w:rPr>
      </w:pPr>
    </w:p>
    <w:p w14:paraId="04CDB6D6" w14:textId="77777777" w:rsidR="004A2F96" w:rsidRDefault="001C6B3D">
      <w:pPr>
        <w:tabs>
          <w:tab w:val="left" w:pos="360"/>
          <w:tab w:val="left" w:pos="708"/>
        </w:tabs>
        <w:ind w:left="709" w:hanging="709"/>
        <w:jc w:val="both"/>
        <w:rPr>
          <w:sz w:val="24"/>
        </w:rPr>
      </w:pPr>
      <w:r>
        <w:rPr>
          <w:sz w:val="24"/>
        </w:rPr>
        <w:t>7</w:t>
      </w:r>
      <w:r w:rsidR="008214F4">
        <w:rPr>
          <w:sz w:val="24"/>
        </w:rPr>
        <w:t>.2</w:t>
      </w:r>
      <w:r w:rsidR="0008605F">
        <w:rPr>
          <w:sz w:val="24"/>
        </w:rPr>
        <w:t>.</w:t>
      </w:r>
      <w:r w:rsidR="008214F4">
        <w:rPr>
          <w:sz w:val="24"/>
        </w:rPr>
        <w:tab/>
      </w:r>
      <w:r w:rsidR="00193DF6">
        <w:rPr>
          <w:sz w:val="24"/>
        </w:rPr>
        <w:t xml:space="preserve">Tato smlouva </w:t>
      </w:r>
      <w:r w:rsidR="00216E5E">
        <w:rPr>
          <w:sz w:val="24"/>
        </w:rPr>
        <w:t xml:space="preserve">se uzavírá na dobu </w:t>
      </w:r>
      <w:r w:rsidR="001320E7">
        <w:rPr>
          <w:sz w:val="24"/>
        </w:rPr>
        <w:t xml:space="preserve">nutnou ke splnění závazků obou smluvních stran z ní vyplývajících a </w:t>
      </w:r>
      <w:r w:rsidR="00193DF6">
        <w:rPr>
          <w:sz w:val="24"/>
        </w:rPr>
        <w:t>pozbývá platnosti</w:t>
      </w:r>
      <w:r w:rsidR="004A2F96">
        <w:rPr>
          <w:sz w:val="24"/>
        </w:rPr>
        <w:t xml:space="preserve"> </w:t>
      </w:r>
      <w:r w:rsidR="00261780">
        <w:rPr>
          <w:sz w:val="24"/>
        </w:rPr>
        <w:t xml:space="preserve">dnem </w:t>
      </w:r>
      <w:r w:rsidR="001320E7">
        <w:rPr>
          <w:sz w:val="24"/>
        </w:rPr>
        <w:t xml:space="preserve">uplynutí záruky </w:t>
      </w:r>
      <w:r w:rsidR="009653ED">
        <w:rPr>
          <w:sz w:val="24"/>
        </w:rPr>
        <w:t>z</w:t>
      </w:r>
      <w:r w:rsidR="001320E7">
        <w:rPr>
          <w:sz w:val="24"/>
        </w:rPr>
        <w:t>a kvalitu díla dle ustanovení článku IV.</w:t>
      </w:r>
    </w:p>
    <w:p w14:paraId="62EBE29E" w14:textId="77777777" w:rsidR="00FF1F89" w:rsidRDefault="00FF1F89">
      <w:pPr>
        <w:tabs>
          <w:tab w:val="left" w:pos="360"/>
          <w:tab w:val="left" w:pos="708"/>
        </w:tabs>
        <w:ind w:left="709" w:hanging="709"/>
        <w:jc w:val="both"/>
        <w:rPr>
          <w:sz w:val="24"/>
        </w:rPr>
      </w:pPr>
    </w:p>
    <w:p w14:paraId="0E61AE0E" w14:textId="77777777" w:rsidR="006B0A69" w:rsidRDefault="006B0A69">
      <w:pPr>
        <w:jc w:val="both"/>
        <w:rPr>
          <w:sz w:val="24"/>
        </w:rPr>
      </w:pPr>
    </w:p>
    <w:p w14:paraId="545EFCB7" w14:textId="77777777" w:rsidR="003239CE" w:rsidRDefault="003239CE">
      <w:pPr>
        <w:jc w:val="both"/>
        <w:rPr>
          <w:sz w:val="24"/>
        </w:rPr>
      </w:pPr>
    </w:p>
    <w:p w14:paraId="5B11EA12" w14:textId="77777777" w:rsidR="004A2F96" w:rsidRPr="00822F47" w:rsidRDefault="00822F47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1C6B3D">
        <w:rPr>
          <w:b/>
          <w:sz w:val="24"/>
        </w:rPr>
        <w:t>I</w:t>
      </w:r>
      <w:r>
        <w:rPr>
          <w:b/>
          <w:sz w:val="24"/>
        </w:rPr>
        <w:t>II.</w:t>
      </w:r>
    </w:p>
    <w:p w14:paraId="594D9C77" w14:textId="77777777" w:rsidR="004A2F96" w:rsidRDefault="004A2F96">
      <w:pPr>
        <w:pStyle w:val="Nadpis3"/>
        <w:rPr>
          <w:rFonts w:ascii="Times New Roman" w:hAnsi="Times New Roman"/>
        </w:rPr>
      </w:pPr>
      <w:r>
        <w:rPr>
          <w:rFonts w:ascii="Times New Roman" w:hAnsi="Times New Roman"/>
          <w:b/>
        </w:rPr>
        <w:t>závěrečná</w:t>
      </w:r>
      <w:r w:rsidR="001320E7">
        <w:rPr>
          <w:rFonts w:ascii="Times New Roman" w:hAnsi="Times New Roman"/>
          <w:b/>
        </w:rPr>
        <w:t xml:space="preserve"> ustanovení</w:t>
      </w:r>
    </w:p>
    <w:p w14:paraId="1178589A" w14:textId="77777777" w:rsidR="004A2F96" w:rsidRDefault="004A2F96">
      <w:pPr>
        <w:jc w:val="center"/>
        <w:rPr>
          <w:sz w:val="24"/>
        </w:rPr>
      </w:pPr>
    </w:p>
    <w:p w14:paraId="50EBB77A" w14:textId="77777777" w:rsidR="004A2F96" w:rsidRDefault="001C6B3D">
      <w:pPr>
        <w:pStyle w:val="Zkladntext21"/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8214F4">
        <w:rPr>
          <w:rFonts w:ascii="Times New Roman" w:hAnsi="Times New Roman"/>
        </w:rPr>
        <w:t>.1</w:t>
      </w:r>
      <w:r w:rsidR="0008605F">
        <w:rPr>
          <w:rFonts w:ascii="Times New Roman" w:hAnsi="Times New Roman"/>
        </w:rPr>
        <w:t>.</w:t>
      </w:r>
      <w:r w:rsidR="008214F4">
        <w:rPr>
          <w:rFonts w:ascii="Times New Roman" w:hAnsi="Times New Roman"/>
        </w:rPr>
        <w:tab/>
        <w:t xml:space="preserve">Veškeré změny této </w:t>
      </w:r>
      <w:r w:rsidR="00AB2F38">
        <w:rPr>
          <w:rFonts w:ascii="Times New Roman" w:hAnsi="Times New Roman"/>
        </w:rPr>
        <w:t>s</w:t>
      </w:r>
      <w:r w:rsidR="008214F4">
        <w:rPr>
          <w:rFonts w:ascii="Times New Roman" w:hAnsi="Times New Roman"/>
        </w:rPr>
        <w:t>mlouvy</w:t>
      </w:r>
      <w:r w:rsidR="004A2F96">
        <w:rPr>
          <w:rFonts w:ascii="Times New Roman" w:hAnsi="Times New Roman"/>
        </w:rPr>
        <w:t xml:space="preserve"> jsou možné jen po vzájemné dohodě </w:t>
      </w:r>
      <w:r w:rsidR="009960FA">
        <w:rPr>
          <w:rFonts w:ascii="Times New Roman" w:hAnsi="Times New Roman"/>
        </w:rPr>
        <w:t>obou</w:t>
      </w:r>
      <w:r w:rsidR="004A2F96">
        <w:rPr>
          <w:rFonts w:ascii="Times New Roman" w:hAnsi="Times New Roman"/>
        </w:rPr>
        <w:t xml:space="preserve"> smluvních stran a to pouze písemnou formou.</w:t>
      </w:r>
    </w:p>
    <w:p w14:paraId="7DEAB19C" w14:textId="77777777" w:rsidR="004A2F96" w:rsidRDefault="004A2F96">
      <w:pPr>
        <w:pStyle w:val="Zkladntext21"/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</w:p>
    <w:p w14:paraId="2FACBC43" w14:textId="77777777" w:rsidR="004A2F96" w:rsidRDefault="001C6B3D" w:rsidP="001C6B3D">
      <w:pPr>
        <w:pStyle w:val="Zkladntext21"/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8.2</w:t>
      </w:r>
      <w:r w:rsidR="0008605F">
        <w:rPr>
          <w:rFonts w:ascii="Times New Roman" w:hAnsi="Times New Roman"/>
        </w:rPr>
        <w:t>.</w:t>
      </w:r>
      <w:r w:rsidR="00A344AA">
        <w:rPr>
          <w:rFonts w:ascii="Times New Roman" w:hAnsi="Times New Roman"/>
        </w:rPr>
        <w:tab/>
      </w:r>
      <w:r>
        <w:rPr>
          <w:rFonts w:ascii="Times New Roman" w:hAnsi="Times New Roman"/>
        </w:rPr>
        <w:t>T</w:t>
      </w:r>
      <w:r w:rsidR="008214F4">
        <w:rPr>
          <w:rFonts w:ascii="Times New Roman" w:hAnsi="Times New Roman"/>
        </w:rPr>
        <w:t xml:space="preserve">ato smlouva je vyhotovena ve </w:t>
      </w:r>
      <w:r w:rsidR="001320E7">
        <w:rPr>
          <w:rFonts w:ascii="Times New Roman" w:hAnsi="Times New Roman"/>
        </w:rPr>
        <w:t>dvou</w:t>
      </w:r>
      <w:r w:rsidR="004A2F96">
        <w:rPr>
          <w:rFonts w:ascii="Times New Roman" w:hAnsi="Times New Roman"/>
        </w:rPr>
        <w:t xml:space="preserve"> stejnopisech</w:t>
      </w:r>
      <w:r w:rsidR="003344DC">
        <w:rPr>
          <w:rFonts w:ascii="Times New Roman" w:hAnsi="Times New Roman"/>
        </w:rPr>
        <w:t xml:space="preserve"> rovné právní síly</w:t>
      </w:r>
      <w:r w:rsidR="006B0A69">
        <w:rPr>
          <w:rFonts w:ascii="Times New Roman" w:hAnsi="Times New Roman"/>
        </w:rPr>
        <w:t>,</w:t>
      </w:r>
      <w:r w:rsidR="004A2F96">
        <w:rPr>
          <w:rFonts w:ascii="Times New Roman" w:hAnsi="Times New Roman"/>
        </w:rPr>
        <w:t xml:space="preserve"> </w:t>
      </w:r>
      <w:r w:rsidR="001320E7">
        <w:rPr>
          <w:rFonts w:ascii="Times New Roman" w:hAnsi="Times New Roman"/>
        </w:rPr>
        <w:t>z nichž po jednom obdrží každá ze smluvních stran.</w:t>
      </w:r>
      <w:r w:rsidR="00193DF6">
        <w:rPr>
          <w:rFonts w:ascii="Times New Roman" w:hAnsi="Times New Roman"/>
        </w:rPr>
        <w:t xml:space="preserve"> </w:t>
      </w:r>
    </w:p>
    <w:p w14:paraId="10BF234B" w14:textId="77777777" w:rsidR="00AE25F8" w:rsidRDefault="00AE25F8" w:rsidP="001C6B3D">
      <w:pPr>
        <w:pStyle w:val="Zkladntext21"/>
        <w:ind w:left="709" w:hanging="709"/>
        <w:jc w:val="both"/>
        <w:rPr>
          <w:rFonts w:ascii="Times New Roman" w:hAnsi="Times New Roman"/>
        </w:rPr>
      </w:pPr>
    </w:p>
    <w:p w14:paraId="0FB9BCA1" w14:textId="04B9562F" w:rsidR="00AE25F8" w:rsidRDefault="00AE25F8" w:rsidP="001C6B3D">
      <w:pPr>
        <w:pStyle w:val="Zkladntext21"/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8.3.</w:t>
      </w:r>
      <w:r w:rsidR="00A344AA">
        <w:rPr>
          <w:rFonts w:ascii="Times New Roman" w:hAnsi="Times New Roman"/>
        </w:rPr>
        <w:tab/>
      </w:r>
      <w:r w:rsidR="00B3139E">
        <w:rPr>
          <w:rFonts w:ascii="Times New Roman" w:hAnsi="Times New Roman"/>
        </w:rPr>
        <w:t xml:space="preserve">Integrální součástí této </w:t>
      </w:r>
      <w:r w:rsidR="00AF1C7B">
        <w:rPr>
          <w:rFonts w:ascii="Times New Roman" w:hAnsi="Times New Roman"/>
        </w:rPr>
        <w:t xml:space="preserve">smlouvy </w:t>
      </w:r>
      <w:r w:rsidR="00741691">
        <w:rPr>
          <w:rFonts w:ascii="Times New Roman" w:hAnsi="Times New Roman"/>
        </w:rPr>
        <w:t xml:space="preserve">jsou </w:t>
      </w:r>
      <w:r w:rsidR="00AF1C7B">
        <w:rPr>
          <w:rFonts w:ascii="Times New Roman" w:hAnsi="Times New Roman"/>
        </w:rPr>
        <w:t xml:space="preserve"> příloha č. 1 – specifikace předmětu díla</w:t>
      </w:r>
      <w:r w:rsidR="00741691">
        <w:rPr>
          <w:rFonts w:ascii="Times New Roman" w:hAnsi="Times New Roman"/>
        </w:rPr>
        <w:t xml:space="preserve"> a příloha č. 2 – vzor předávacího protokolu</w:t>
      </w:r>
      <w:r w:rsidR="00AF1C7B">
        <w:rPr>
          <w:rFonts w:ascii="Times New Roman" w:hAnsi="Times New Roman"/>
        </w:rPr>
        <w:t>.</w:t>
      </w:r>
    </w:p>
    <w:p w14:paraId="638631CC" w14:textId="77777777" w:rsidR="004A2F96" w:rsidRDefault="004A2F96">
      <w:pPr>
        <w:pStyle w:val="Zkladntext21"/>
        <w:jc w:val="both"/>
        <w:rPr>
          <w:rFonts w:ascii="Times New Roman" w:hAnsi="Times New Roman"/>
        </w:rPr>
      </w:pPr>
    </w:p>
    <w:p w14:paraId="2E3139A0" w14:textId="77777777" w:rsidR="004A2F96" w:rsidRDefault="001C6B3D" w:rsidP="001C6B3D">
      <w:pPr>
        <w:pStyle w:val="Zkladntext21"/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8.3.</w:t>
      </w:r>
      <w:r w:rsidR="00A344AA">
        <w:rPr>
          <w:rFonts w:ascii="Times New Roman" w:hAnsi="Times New Roman"/>
        </w:rPr>
        <w:tab/>
      </w:r>
      <w:r w:rsidR="004A2F96">
        <w:rPr>
          <w:rFonts w:ascii="Times New Roman" w:hAnsi="Times New Roman"/>
        </w:rPr>
        <w:t>Účastn</w:t>
      </w:r>
      <w:r w:rsidR="00B058F7">
        <w:rPr>
          <w:rFonts w:ascii="Times New Roman" w:hAnsi="Times New Roman"/>
        </w:rPr>
        <w:t xml:space="preserve">íci prohlašují, že si tuto </w:t>
      </w:r>
      <w:r w:rsidR="006F4557">
        <w:rPr>
          <w:rFonts w:ascii="Times New Roman" w:hAnsi="Times New Roman"/>
        </w:rPr>
        <w:t>s</w:t>
      </w:r>
      <w:r w:rsidR="008214F4">
        <w:rPr>
          <w:rFonts w:ascii="Times New Roman" w:hAnsi="Times New Roman"/>
        </w:rPr>
        <w:t>mlouv</w:t>
      </w:r>
      <w:r w:rsidR="004A2F96">
        <w:rPr>
          <w:rFonts w:ascii="Times New Roman" w:hAnsi="Times New Roman"/>
        </w:rPr>
        <w:t>u před jejím podpisem přečetli, je sepsána dle jejich jediné a pravé vůle a na důkaz souhlasu s jejím zněním připojují jejich oprávnění zástupci své podpisy.</w:t>
      </w:r>
    </w:p>
    <w:p w14:paraId="317C72C9" w14:textId="77777777" w:rsidR="004A2F96" w:rsidRDefault="004A2F96">
      <w:pPr>
        <w:pStyle w:val="Zkladntext21"/>
        <w:rPr>
          <w:rFonts w:ascii="Times New Roman" w:hAnsi="Times New Roman"/>
        </w:rPr>
      </w:pPr>
    </w:p>
    <w:p w14:paraId="0E4C63B0" w14:textId="77777777" w:rsidR="00AB2F38" w:rsidRDefault="00AB2F38">
      <w:pPr>
        <w:pStyle w:val="Zkladntext21"/>
        <w:rPr>
          <w:rFonts w:ascii="Times New Roman" w:hAnsi="Times New Roman"/>
          <w:b/>
          <w:i/>
        </w:rPr>
      </w:pPr>
    </w:p>
    <w:p w14:paraId="2399022C" w14:textId="77777777" w:rsidR="0048463E" w:rsidRDefault="0048463E">
      <w:pPr>
        <w:pStyle w:val="Zkladntext21"/>
        <w:rPr>
          <w:rFonts w:ascii="Times New Roman" w:hAnsi="Times New Roman"/>
          <w:b/>
          <w:i/>
        </w:rPr>
      </w:pPr>
    </w:p>
    <w:p w14:paraId="3FF52468" w14:textId="77777777" w:rsidR="004A2F96" w:rsidRPr="00AB3538" w:rsidRDefault="004A2F96">
      <w:pPr>
        <w:pStyle w:val="Zkladntext21"/>
        <w:rPr>
          <w:rFonts w:ascii="Times New Roman" w:hAnsi="Times New Roman"/>
          <w:b/>
          <w:i/>
        </w:rPr>
      </w:pPr>
      <w:r w:rsidRPr="00AB3538">
        <w:rPr>
          <w:rFonts w:ascii="Times New Roman" w:hAnsi="Times New Roman"/>
          <w:b/>
          <w:i/>
        </w:rPr>
        <w:t>V</w:t>
      </w:r>
      <w:r w:rsidR="0008605F">
        <w:rPr>
          <w:rFonts w:ascii="Times New Roman" w:hAnsi="Times New Roman"/>
          <w:b/>
          <w:i/>
        </w:rPr>
        <w:t xml:space="preserve"> Praze </w:t>
      </w:r>
      <w:r w:rsidR="00D21E9A">
        <w:rPr>
          <w:rFonts w:ascii="Times New Roman" w:hAnsi="Times New Roman"/>
          <w:b/>
          <w:i/>
        </w:rPr>
        <w:t xml:space="preserve">dne </w:t>
      </w:r>
      <w:r w:rsidR="001320E7">
        <w:rPr>
          <w:rFonts w:ascii="Times New Roman" w:hAnsi="Times New Roman"/>
          <w:b/>
          <w:i/>
        </w:rPr>
        <w:t>22. května 2019</w:t>
      </w:r>
    </w:p>
    <w:p w14:paraId="3A827C21" w14:textId="77777777" w:rsidR="004A2F96" w:rsidRDefault="004A2F96">
      <w:pPr>
        <w:pStyle w:val="Zkladntext21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5"/>
        <w:gridCol w:w="4586"/>
      </w:tblGrid>
      <w:tr w:rsidR="002B3A4B" w:rsidRPr="00AB3538" w14:paraId="6DF8708F" w14:textId="77777777">
        <w:tc>
          <w:tcPr>
            <w:tcW w:w="4585" w:type="dxa"/>
          </w:tcPr>
          <w:p w14:paraId="3AE0C95E" w14:textId="77777777" w:rsidR="002B3A4B" w:rsidRPr="00AB3538" w:rsidRDefault="002B3A4B" w:rsidP="0048463E">
            <w:pPr>
              <w:pStyle w:val="Zkladntext21"/>
              <w:rPr>
                <w:rFonts w:ascii="Times New Roman" w:hAnsi="Times New Roman"/>
                <w:b/>
              </w:rPr>
            </w:pPr>
          </w:p>
          <w:p w14:paraId="5C99EAA5" w14:textId="77777777" w:rsidR="002B3A4B" w:rsidRPr="00AB3538" w:rsidRDefault="002B3A4B" w:rsidP="00366830">
            <w:pPr>
              <w:pStyle w:val="Zkladntext21"/>
              <w:jc w:val="center"/>
              <w:rPr>
                <w:rFonts w:ascii="Times New Roman" w:hAnsi="Times New Roman"/>
                <w:b/>
              </w:rPr>
            </w:pPr>
          </w:p>
          <w:p w14:paraId="17CBB16F" w14:textId="77777777" w:rsidR="002B3A4B" w:rsidRPr="00AB3538" w:rsidRDefault="002B3A4B" w:rsidP="00366830">
            <w:pPr>
              <w:pStyle w:val="Zkladntext2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86" w:type="dxa"/>
          </w:tcPr>
          <w:p w14:paraId="7C629B9A" w14:textId="77777777" w:rsidR="002B3A4B" w:rsidRPr="00AB3538" w:rsidRDefault="002B3A4B" w:rsidP="00366830">
            <w:pPr>
              <w:pStyle w:val="Zkladntext2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B3A4B" w:rsidRPr="00AB3538" w14:paraId="771A0BEF" w14:textId="77777777">
        <w:tc>
          <w:tcPr>
            <w:tcW w:w="4585" w:type="dxa"/>
          </w:tcPr>
          <w:p w14:paraId="6F030379" w14:textId="6969C0C3" w:rsidR="00E10C5A" w:rsidRPr="00AB3538" w:rsidRDefault="00E10C5A" w:rsidP="00D21E9A">
            <w:pPr>
              <w:pStyle w:val="Zkladntext21"/>
              <w:rPr>
                <w:rFonts w:ascii="Times New Roman" w:hAnsi="Times New Roman"/>
                <w:b/>
              </w:rPr>
            </w:pPr>
          </w:p>
        </w:tc>
        <w:tc>
          <w:tcPr>
            <w:tcW w:w="4586" w:type="dxa"/>
          </w:tcPr>
          <w:p w14:paraId="34BAA35E" w14:textId="436F8013" w:rsidR="003344DC" w:rsidRPr="00AB3538" w:rsidRDefault="003344DC" w:rsidP="009066D5">
            <w:pPr>
              <w:pStyle w:val="Zkladntext2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B3A4B" w:rsidRPr="00AB3538" w14:paraId="70126D36" w14:textId="77777777">
        <w:tc>
          <w:tcPr>
            <w:tcW w:w="4585" w:type="dxa"/>
          </w:tcPr>
          <w:p w14:paraId="3D48D845" w14:textId="64756719" w:rsidR="002B3A4B" w:rsidRPr="001320E7" w:rsidRDefault="002B3A4B" w:rsidP="00D21E9A">
            <w:pPr>
              <w:pStyle w:val="Zkladntext2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86" w:type="dxa"/>
          </w:tcPr>
          <w:p w14:paraId="2E9DA011" w14:textId="37728F1C" w:rsidR="002B3A4B" w:rsidRPr="00AB3538" w:rsidRDefault="002B3A4B" w:rsidP="00AB2F38">
            <w:pPr>
              <w:pStyle w:val="Zkladntext2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B3A4B" w:rsidRPr="00AB3538" w14:paraId="60E0266E" w14:textId="77777777">
        <w:tc>
          <w:tcPr>
            <w:tcW w:w="4585" w:type="dxa"/>
          </w:tcPr>
          <w:p w14:paraId="0DF4A3EF" w14:textId="0701221F" w:rsidR="002B3A4B" w:rsidRPr="001320E7" w:rsidRDefault="002B3A4B" w:rsidP="00A32946">
            <w:pPr>
              <w:pStyle w:val="Zkladntext2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86" w:type="dxa"/>
          </w:tcPr>
          <w:p w14:paraId="7D41D047" w14:textId="279139C9" w:rsidR="002B3A4B" w:rsidRPr="00AB3538" w:rsidRDefault="002B3A4B" w:rsidP="00AB2F38">
            <w:pPr>
              <w:pStyle w:val="Zkladntext2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B3A4B" w:rsidRPr="00AB3538" w14:paraId="2661BCC1" w14:textId="77777777">
        <w:tc>
          <w:tcPr>
            <w:tcW w:w="4585" w:type="dxa"/>
          </w:tcPr>
          <w:p w14:paraId="122F46DF" w14:textId="77777777" w:rsidR="002B3A4B" w:rsidRPr="001320E7" w:rsidRDefault="002B3A4B" w:rsidP="00366830">
            <w:pPr>
              <w:pStyle w:val="Zkladntext2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86" w:type="dxa"/>
          </w:tcPr>
          <w:p w14:paraId="3ABE849F" w14:textId="77777777" w:rsidR="003344DC" w:rsidRDefault="003344DC" w:rsidP="00366830">
            <w:pPr>
              <w:pStyle w:val="Zkladntext21"/>
              <w:jc w:val="center"/>
              <w:rPr>
                <w:rFonts w:ascii="Times New Roman" w:hAnsi="Times New Roman"/>
                <w:b/>
              </w:rPr>
            </w:pPr>
          </w:p>
          <w:p w14:paraId="39F296A9" w14:textId="77777777" w:rsidR="003344DC" w:rsidRDefault="003344DC" w:rsidP="00366830">
            <w:pPr>
              <w:pStyle w:val="Zkladntext21"/>
              <w:jc w:val="center"/>
              <w:rPr>
                <w:rFonts w:ascii="Times New Roman" w:hAnsi="Times New Roman"/>
                <w:b/>
              </w:rPr>
            </w:pPr>
          </w:p>
          <w:p w14:paraId="2A8AB580" w14:textId="77777777" w:rsidR="003344DC" w:rsidRPr="00AB3538" w:rsidRDefault="003344DC" w:rsidP="00366830">
            <w:pPr>
              <w:pStyle w:val="Zkladntext2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B3A4B" w:rsidRPr="00AB3538" w14:paraId="078B47F2" w14:textId="77777777">
        <w:tc>
          <w:tcPr>
            <w:tcW w:w="4585" w:type="dxa"/>
          </w:tcPr>
          <w:p w14:paraId="0E92F602" w14:textId="77777777" w:rsidR="002B3A4B" w:rsidRPr="00AB3538" w:rsidRDefault="002B3A4B" w:rsidP="00366830">
            <w:pPr>
              <w:pStyle w:val="Zkladntext21"/>
              <w:jc w:val="center"/>
              <w:rPr>
                <w:rFonts w:ascii="Times New Roman" w:hAnsi="Times New Roman"/>
                <w:b/>
              </w:rPr>
            </w:pPr>
          </w:p>
          <w:p w14:paraId="36F45F8D" w14:textId="77777777" w:rsidR="002B3A4B" w:rsidRPr="00AB3538" w:rsidRDefault="002B3A4B" w:rsidP="00366830">
            <w:pPr>
              <w:pStyle w:val="Zkladntext21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14:paraId="5802803C" w14:textId="77777777" w:rsidR="002B3A4B" w:rsidRPr="00AB3538" w:rsidRDefault="002B3A4B" w:rsidP="00366830">
            <w:pPr>
              <w:pStyle w:val="Zkladntext21"/>
              <w:jc w:val="center"/>
              <w:rPr>
                <w:rFonts w:ascii="Times New Roman" w:hAnsi="Times New Roman"/>
                <w:b/>
              </w:rPr>
            </w:pPr>
          </w:p>
          <w:p w14:paraId="72FE59BB" w14:textId="77777777" w:rsidR="002B3A4B" w:rsidRPr="00AB3538" w:rsidRDefault="002B3A4B" w:rsidP="00366830">
            <w:pPr>
              <w:pStyle w:val="Zkladntext2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86" w:type="dxa"/>
          </w:tcPr>
          <w:p w14:paraId="22C55645" w14:textId="77777777" w:rsidR="002B3A4B" w:rsidRPr="00AB3538" w:rsidRDefault="002B3A4B" w:rsidP="00366830">
            <w:pPr>
              <w:pStyle w:val="Zkladntext2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553CF35" w14:textId="77777777" w:rsidR="00D21E9A" w:rsidRDefault="00D21E9A" w:rsidP="002B3A4B">
      <w:pPr>
        <w:pStyle w:val="Zkladntext21"/>
        <w:rPr>
          <w:b/>
        </w:rPr>
      </w:pPr>
    </w:p>
    <w:p w14:paraId="44647C19" w14:textId="61713C4E" w:rsidR="00741691" w:rsidRPr="00D21E9A" w:rsidRDefault="00D21E9A" w:rsidP="00D21E9A">
      <w:pPr>
        <w:jc w:val="both"/>
        <w:rPr>
          <w:b/>
          <w:sz w:val="24"/>
          <w:szCs w:val="24"/>
          <w:lang w:eastAsia="ru-RU"/>
        </w:rPr>
      </w:pPr>
      <w:r>
        <w:rPr>
          <w:b/>
        </w:rPr>
        <w:br w:type="page"/>
      </w:r>
    </w:p>
    <w:sectPr w:rsidR="00741691" w:rsidRPr="00D21E9A" w:rsidSect="0047246C">
      <w:footerReference w:type="default" r:id="rId9"/>
      <w:pgSz w:w="11911" w:h="16832"/>
      <w:pgMar w:top="1417" w:right="1440" w:bottom="1417" w:left="1440" w:header="792" w:footer="792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31B6A0" w16cid:durableId="20902873"/>
  <w16cid:commentId w16cid:paraId="1537E049" w16cid:durableId="2090287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8D8B7" w14:textId="77777777" w:rsidR="00876E69" w:rsidRDefault="00876E69">
      <w:r>
        <w:separator/>
      </w:r>
    </w:p>
  </w:endnote>
  <w:endnote w:type="continuationSeparator" w:id="0">
    <w:p w14:paraId="00088F31" w14:textId="77777777" w:rsidR="00876E69" w:rsidRDefault="0087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B339B" w14:textId="77777777" w:rsidR="00EE6333" w:rsidRPr="00AF27EC" w:rsidRDefault="00EE6333">
    <w:pPr>
      <w:pStyle w:val="Standardnte"/>
      <w:pBdr>
        <w:top w:val="single" w:sz="6" w:space="7" w:color="auto"/>
      </w:pBdr>
      <w:rPr>
        <w:b/>
        <w:sz w:val="22"/>
        <w:szCs w:val="22"/>
      </w:rPr>
    </w:pPr>
    <w:r w:rsidRPr="00AF27EC">
      <w:rPr>
        <w:sz w:val="22"/>
        <w:szCs w:val="22"/>
      </w:rPr>
      <w:tab/>
    </w:r>
    <w:r w:rsidRPr="00AF27EC">
      <w:rPr>
        <w:sz w:val="22"/>
        <w:szCs w:val="22"/>
      </w:rPr>
      <w:tab/>
    </w:r>
    <w:r w:rsidRPr="00AF27EC">
      <w:rPr>
        <w:sz w:val="22"/>
        <w:szCs w:val="22"/>
      </w:rPr>
      <w:tab/>
    </w:r>
    <w:r w:rsidRPr="00AF27EC">
      <w:rPr>
        <w:sz w:val="22"/>
        <w:szCs w:val="22"/>
      </w:rPr>
      <w:tab/>
    </w:r>
    <w:r w:rsidRPr="00AF27EC">
      <w:rPr>
        <w:sz w:val="22"/>
        <w:szCs w:val="22"/>
      </w:rPr>
      <w:tab/>
    </w:r>
    <w:r w:rsidRPr="00AF27EC">
      <w:rPr>
        <w:sz w:val="22"/>
        <w:szCs w:val="22"/>
      </w:rPr>
      <w:tab/>
    </w:r>
    <w:r w:rsidR="00741FC6" w:rsidRPr="00AF27EC">
      <w:rPr>
        <w:sz w:val="22"/>
        <w:szCs w:val="22"/>
      </w:rPr>
      <w:fldChar w:fldCharType="begin"/>
    </w:r>
    <w:r w:rsidRPr="00AF27EC">
      <w:rPr>
        <w:sz w:val="22"/>
        <w:szCs w:val="22"/>
      </w:rPr>
      <w:instrText>page  \* MERGEFORMAT</w:instrText>
    </w:r>
    <w:r w:rsidR="00741FC6" w:rsidRPr="00AF27EC">
      <w:rPr>
        <w:sz w:val="22"/>
        <w:szCs w:val="22"/>
      </w:rPr>
      <w:fldChar w:fldCharType="separate"/>
    </w:r>
    <w:r w:rsidR="009066D5">
      <w:rPr>
        <w:sz w:val="22"/>
        <w:szCs w:val="22"/>
      </w:rPr>
      <w:t>5</w:t>
    </w:r>
    <w:r w:rsidR="00741FC6" w:rsidRPr="00AF27EC">
      <w:rPr>
        <w:sz w:val="22"/>
        <w:szCs w:val="22"/>
      </w:rPr>
      <w:fldChar w:fldCharType="end"/>
    </w:r>
    <w:r w:rsidRPr="00AF27EC">
      <w:rPr>
        <w:sz w:val="22"/>
        <w:szCs w:val="22"/>
      </w:rPr>
      <w:tab/>
    </w:r>
    <w:r w:rsidRPr="00AF27EC"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75D84" w14:textId="77777777" w:rsidR="00876E69" w:rsidRDefault="00876E69">
      <w:r>
        <w:separator/>
      </w:r>
    </w:p>
  </w:footnote>
  <w:footnote w:type="continuationSeparator" w:id="0">
    <w:p w14:paraId="761DA7B2" w14:textId="77777777" w:rsidR="00876E69" w:rsidRDefault="00876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54E97C"/>
    <w:lvl w:ilvl="0">
      <w:numFmt w:val="bullet"/>
      <w:lvlText w:val="*"/>
      <w:lvlJc w:val="left"/>
    </w:lvl>
  </w:abstractNum>
  <w:abstractNum w:abstractNumId="1">
    <w:nsid w:val="0A61535C"/>
    <w:multiLevelType w:val="hybridMultilevel"/>
    <w:tmpl w:val="822A2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F556A"/>
    <w:multiLevelType w:val="hybridMultilevel"/>
    <w:tmpl w:val="304E6C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429E8"/>
    <w:multiLevelType w:val="hybridMultilevel"/>
    <w:tmpl w:val="7922A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1090D"/>
    <w:multiLevelType w:val="multilevel"/>
    <w:tmpl w:val="C686C05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C2D6622"/>
    <w:multiLevelType w:val="multilevel"/>
    <w:tmpl w:val="D3F2A7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3045F3D"/>
    <w:multiLevelType w:val="hybridMultilevel"/>
    <w:tmpl w:val="F564C7EC"/>
    <w:lvl w:ilvl="0" w:tplc="9274F99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367E19"/>
    <w:multiLevelType w:val="hybridMultilevel"/>
    <w:tmpl w:val="B658F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3F5740"/>
    <w:multiLevelType w:val="hybridMultilevel"/>
    <w:tmpl w:val="A2B6C7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7D2BFD"/>
    <w:multiLevelType w:val="multilevel"/>
    <w:tmpl w:val="776AC0D6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2EE6097"/>
    <w:multiLevelType w:val="multilevel"/>
    <w:tmpl w:val="79841BD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6EF0B6F"/>
    <w:multiLevelType w:val="hybridMultilevel"/>
    <w:tmpl w:val="BA7A4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9E7196"/>
    <w:multiLevelType w:val="multilevel"/>
    <w:tmpl w:val="CF4AEF4E"/>
    <w:lvl w:ilvl="0">
      <w:start w:val="7"/>
      <w:numFmt w:val="decimal"/>
      <w:lvlText w:val="%1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13">
    <w:nsid w:val="70B23D4E"/>
    <w:multiLevelType w:val="multilevel"/>
    <w:tmpl w:val="48DA2D64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1866174"/>
    <w:multiLevelType w:val="hybridMultilevel"/>
    <w:tmpl w:val="E46E091E"/>
    <w:lvl w:ilvl="0" w:tplc="1F2A17F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6655D56"/>
    <w:multiLevelType w:val="hybridMultilevel"/>
    <w:tmpl w:val="32F2BB36"/>
    <w:lvl w:ilvl="0" w:tplc="604C977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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2">
    <w:abstractNumId w:val="12"/>
  </w:num>
  <w:num w:numId="3">
    <w:abstractNumId w:val="15"/>
  </w:num>
  <w:num w:numId="4">
    <w:abstractNumId w:val="10"/>
  </w:num>
  <w:num w:numId="5">
    <w:abstractNumId w:val="14"/>
  </w:num>
  <w:num w:numId="6">
    <w:abstractNumId w:val="13"/>
  </w:num>
  <w:num w:numId="7">
    <w:abstractNumId w:val="9"/>
  </w:num>
  <w:num w:numId="8">
    <w:abstractNumId w:val="4"/>
  </w:num>
  <w:num w:numId="9">
    <w:abstractNumId w:val="5"/>
  </w:num>
  <w:num w:numId="10">
    <w:abstractNumId w:val="6"/>
  </w:num>
  <w:num w:numId="11">
    <w:abstractNumId w:val="1"/>
  </w:num>
  <w:num w:numId="12">
    <w:abstractNumId w:val="7"/>
  </w:num>
  <w:num w:numId="13">
    <w:abstractNumId w:val="11"/>
  </w:num>
  <w:num w:numId="14">
    <w:abstractNumId w:val="8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wMLawtLQwNzG2MDVT0lEKTi0uzszPAykwrAUARLmoISwAAAA="/>
  </w:docVars>
  <w:rsids>
    <w:rsidRoot w:val="0079684A"/>
    <w:rsid w:val="0006317C"/>
    <w:rsid w:val="00072DD4"/>
    <w:rsid w:val="000819A2"/>
    <w:rsid w:val="0008605F"/>
    <w:rsid w:val="000A557B"/>
    <w:rsid w:val="000A5D8D"/>
    <w:rsid w:val="000B0A56"/>
    <w:rsid w:val="000B1899"/>
    <w:rsid w:val="000B56EF"/>
    <w:rsid w:val="000C32D0"/>
    <w:rsid w:val="000C37E6"/>
    <w:rsid w:val="000D0E29"/>
    <w:rsid w:val="000E31EE"/>
    <w:rsid w:val="0010396B"/>
    <w:rsid w:val="0011564D"/>
    <w:rsid w:val="00116666"/>
    <w:rsid w:val="001320E7"/>
    <w:rsid w:val="001547FF"/>
    <w:rsid w:val="001733BD"/>
    <w:rsid w:val="00174B1A"/>
    <w:rsid w:val="001756F8"/>
    <w:rsid w:val="0018413A"/>
    <w:rsid w:val="00193DF6"/>
    <w:rsid w:val="001C6B3D"/>
    <w:rsid w:val="001E7D32"/>
    <w:rsid w:val="00210448"/>
    <w:rsid w:val="00216E5E"/>
    <w:rsid w:val="00224CBF"/>
    <w:rsid w:val="00226A4E"/>
    <w:rsid w:val="002470E4"/>
    <w:rsid w:val="00250BE4"/>
    <w:rsid w:val="002563C0"/>
    <w:rsid w:val="00261780"/>
    <w:rsid w:val="0027002A"/>
    <w:rsid w:val="00290BF3"/>
    <w:rsid w:val="002923C6"/>
    <w:rsid w:val="002B3A4B"/>
    <w:rsid w:val="002C221D"/>
    <w:rsid w:val="002C5705"/>
    <w:rsid w:val="002E428A"/>
    <w:rsid w:val="002F0BAB"/>
    <w:rsid w:val="00315E22"/>
    <w:rsid w:val="0032008A"/>
    <w:rsid w:val="003239CE"/>
    <w:rsid w:val="00325987"/>
    <w:rsid w:val="003279AD"/>
    <w:rsid w:val="0033429A"/>
    <w:rsid w:val="003344DC"/>
    <w:rsid w:val="00337DC5"/>
    <w:rsid w:val="00355E5F"/>
    <w:rsid w:val="00366830"/>
    <w:rsid w:val="00385984"/>
    <w:rsid w:val="003E1D68"/>
    <w:rsid w:val="003E5396"/>
    <w:rsid w:val="003F2FBE"/>
    <w:rsid w:val="0040737A"/>
    <w:rsid w:val="0041543C"/>
    <w:rsid w:val="00423D5E"/>
    <w:rsid w:val="004313C1"/>
    <w:rsid w:val="00467BE2"/>
    <w:rsid w:val="0047246C"/>
    <w:rsid w:val="004747A0"/>
    <w:rsid w:val="00476434"/>
    <w:rsid w:val="00477CD5"/>
    <w:rsid w:val="0048463E"/>
    <w:rsid w:val="004A2F96"/>
    <w:rsid w:val="00500C51"/>
    <w:rsid w:val="00503011"/>
    <w:rsid w:val="005111DC"/>
    <w:rsid w:val="005305E8"/>
    <w:rsid w:val="00532B91"/>
    <w:rsid w:val="00553EA0"/>
    <w:rsid w:val="00557E9F"/>
    <w:rsid w:val="00575913"/>
    <w:rsid w:val="00576AA2"/>
    <w:rsid w:val="00586AF7"/>
    <w:rsid w:val="005A46D3"/>
    <w:rsid w:val="005A4FAC"/>
    <w:rsid w:val="005B1215"/>
    <w:rsid w:val="005B2572"/>
    <w:rsid w:val="005E02F0"/>
    <w:rsid w:val="005E2685"/>
    <w:rsid w:val="005E2CD9"/>
    <w:rsid w:val="005E7DFC"/>
    <w:rsid w:val="00621957"/>
    <w:rsid w:val="00623C48"/>
    <w:rsid w:val="00650C5D"/>
    <w:rsid w:val="00657F68"/>
    <w:rsid w:val="00667A79"/>
    <w:rsid w:val="00681623"/>
    <w:rsid w:val="00692A25"/>
    <w:rsid w:val="006B0A69"/>
    <w:rsid w:val="006B36E5"/>
    <w:rsid w:val="006C0350"/>
    <w:rsid w:val="006C182D"/>
    <w:rsid w:val="006F4557"/>
    <w:rsid w:val="00713076"/>
    <w:rsid w:val="00717ED9"/>
    <w:rsid w:val="00735468"/>
    <w:rsid w:val="00741691"/>
    <w:rsid w:val="00741FC6"/>
    <w:rsid w:val="0075563E"/>
    <w:rsid w:val="007563DE"/>
    <w:rsid w:val="0076162D"/>
    <w:rsid w:val="00792F1B"/>
    <w:rsid w:val="0079684A"/>
    <w:rsid w:val="007A4E9C"/>
    <w:rsid w:val="007B44EB"/>
    <w:rsid w:val="007B6D87"/>
    <w:rsid w:val="007C3046"/>
    <w:rsid w:val="007D7581"/>
    <w:rsid w:val="007E7DD6"/>
    <w:rsid w:val="007F19D7"/>
    <w:rsid w:val="00801AAF"/>
    <w:rsid w:val="00811612"/>
    <w:rsid w:val="008161E8"/>
    <w:rsid w:val="008214F4"/>
    <w:rsid w:val="00822F47"/>
    <w:rsid w:val="008271D1"/>
    <w:rsid w:val="0084148F"/>
    <w:rsid w:val="00855870"/>
    <w:rsid w:val="00865246"/>
    <w:rsid w:val="0087279E"/>
    <w:rsid w:val="008733A0"/>
    <w:rsid w:val="00876D50"/>
    <w:rsid w:val="00876E69"/>
    <w:rsid w:val="008B70C4"/>
    <w:rsid w:val="008C04F6"/>
    <w:rsid w:val="008D0A15"/>
    <w:rsid w:val="008E07A8"/>
    <w:rsid w:val="009013F8"/>
    <w:rsid w:val="009066D5"/>
    <w:rsid w:val="00911027"/>
    <w:rsid w:val="00911666"/>
    <w:rsid w:val="00915468"/>
    <w:rsid w:val="00930886"/>
    <w:rsid w:val="009356C7"/>
    <w:rsid w:val="00937735"/>
    <w:rsid w:val="00942C4F"/>
    <w:rsid w:val="009601EA"/>
    <w:rsid w:val="009653ED"/>
    <w:rsid w:val="00971B61"/>
    <w:rsid w:val="00973229"/>
    <w:rsid w:val="009857F7"/>
    <w:rsid w:val="009860E6"/>
    <w:rsid w:val="009960FA"/>
    <w:rsid w:val="009A4853"/>
    <w:rsid w:val="009E28BF"/>
    <w:rsid w:val="009E6787"/>
    <w:rsid w:val="00A31754"/>
    <w:rsid w:val="00A319E9"/>
    <w:rsid w:val="00A32946"/>
    <w:rsid w:val="00A344AA"/>
    <w:rsid w:val="00A45D46"/>
    <w:rsid w:val="00A601A8"/>
    <w:rsid w:val="00A60E5B"/>
    <w:rsid w:val="00A8206C"/>
    <w:rsid w:val="00A91B91"/>
    <w:rsid w:val="00AA0B8B"/>
    <w:rsid w:val="00AB2F38"/>
    <w:rsid w:val="00AB3538"/>
    <w:rsid w:val="00AB6130"/>
    <w:rsid w:val="00AD3DF0"/>
    <w:rsid w:val="00AD3E41"/>
    <w:rsid w:val="00AE25F8"/>
    <w:rsid w:val="00AF1C7B"/>
    <w:rsid w:val="00AF27EC"/>
    <w:rsid w:val="00AF75B3"/>
    <w:rsid w:val="00B04053"/>
    <w:rsid w:val="00B058F7"/>
    <w:rsid w:val="00B23122"/>
    <w:rsid w:val="00B3139E"/>
    <w:rsid w:val="00B36B20"/>
    <w:rsid w:val="00B56780"/>
    <w:rsid w:val="00B60824"/>
    <w:rsid w:val="00B621AC"/>
    <w:rsid w:val="00B62BE9"/>
    <w:rsid w:val="00B7643F"/>
    <w:rsid w:val="00B91CAC"/>
    <w:rsid w:val="00BA2CA9"/>
    <w:rsid w:val="00BA6FFB"/>
    <w:rsid w:val="00BC02C0"/>
    <w:rsid w:val="00BC0C22"/>
    <w:rsid w:val="00BC4DAD"/>
    <w:rsid w:val="00BE4260"/>
    <w:rsid w:val="00BE7699"/>
    <w:rsid w:val="00BF015E"/>
    <w:rsid w:val="00BF0762"/>
    <w:rsid w:val="00BF1353"/>
    <w:rsid w:val="00BF4BE9"/>
    <w:rsid w:val="00C14EEF"/>
    <w:rsid w:val="00C20C68"/>
    <w:rsid w:val="00C242E4"/>
    <w:rsid w:val="00C83823"/>
    <w:rsid w:val="00C91898"/>
    <w:rsid w:val="00C921CC"/>
    <w:rsid w:val="00CA2E72"/>
    <w:rsid w:val="00CA5CC9"/>
    <w:rsid w:val="00CC156E"/>
    <w:rsid w:val="00CE6AE1"/>
    <w:rsid w:val="00D05DA2"/>
    <w:rsid w:val="00D1272C"/>
    <w:rsid w:val="00D21E9A"/>
    <w:rsid w:val="00D23044"/>
    <w:rsid w:val="00D32775"/>
    <w:rsid w:val="00D50293"/>
    <w:rsid w:val="00D6511D"/>
    <w:rsid w:val="00D95E6B"/>
    <w:rsid w:val="00DB5E28"/>
    <w:rsid w:val="00DC4221"/>
    <w:rsid w:val="00DD2571"/>
    <w:rsid w:val="00DD5C5E"/>
    <w:rsid w:val="00DE0159"/>
    <w:rsid w:val="00DE036A"/>
    <w:rsid w:val="00DE1491"/>
    <w:rsid w:val="00DF1342"/>
    <w:rsid w:val="00E00B77"/>
    <w:rsid w:val="00E10C5A"/>
    <w:rsid w:val="00E3610E"/>
    <w:rsid w:val="00E83E2D"/>
    <w:rsid w:val="00E859E8"/>
    <w:rsid w:val="00E911B0"/>
    <w:rsid w:val="00E96C8C"/>
    <w:rsid w:val="00E97DFF"/>
    <w:rsid w:val="00EA037C"/>
    <w:rsid w:val="00EB5551"/>
    <w:rsid w:val="00EE6333"/>
    <w:rsid w:val="00EF1435"/>
    <w:rsid w:val="00EF7E42"/>
    <w:rsid w:val="00F21649"/>
    <w:rsid w:val="00F40130"/>
    <w:rsid w:val="00F41B5B"/>
    <w:rsid w:val="00F6036F"/>
    <w:rsid w:val="00F6669B"/>
    <w:rsid w:val="00FA161E"/>
    <w:rsid w:val="00FB338C"/>
    <w:rsid w:val="00FC4F6C"/>
    <w:rsid w:val="00FD2AEA"/>
    <w:rsid w:val="00FE3386"/>
    <w:rsid w:val="00FE4AB9"/>
    <w:rsid w:val="00FF1F89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9B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246C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Nadpis1">
    <w:name w:val="heading 1"/>
    <w:basedOn w:val="Normln"/>
    <w:link w:val="Nadpis1Char"/>
    <w:qFormat/>
    <w:rsid w:val="0047246C"/>
    <w:pPr>
      <w:spacing w:before="394" w:after="197"/>
      <w:outlineLvl w:val="0"/>
    </w:pPr>
    <w:rPr>
      <w:rFonts w:ascii="Arial Black" w:hAnsi="Arial Black"/>
      <w:sz w:val="28"/>
    </w:rPr>
  </w:style>
  <w:style w:type="paragraph" w:styleId="Nadpis2">
    <w:name w:val="heading 2"/>
    <w:basedOn w:val="Normln"/>
    <w:qFormat/>
    <w:rsid w:val="0047246C"/>
    <w:pPr>
      <w:spacing w:before="146" w:after="146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qFormat/>
    <w:rsid w:val="0047246C"/>
    <w:pPr>
      <w:keepNext/>
      <w:keepLines/>
      <w:jc w:val="center"/>
      <w:outlineLvl w:val="2"/>
    </w:pPr>
    <w:rPr>
      <w:rFonts w:ascii="Arial" w:hAnsi="Arial"/>
      <w:cap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7246C"/>
    <w:pPr>
      <w:tabs>
        <w:tab w:val="center" w:pos="4536"/>
        <w:tab w:val="right" w:pos="9072"/>
      </w:tabs>
    </w:pPr>
    <w:rPr>
      <w:rFonts w:ascii="Arial" w:hAnsi="Arial"/>
    </w:rPr>
  </w:style>
  <w:style w:type="paragraph" w:styleId="Zpat">
    <w:name w:val="footer"/>
    <w:basedOn w:val="Normln"/>
    <w:rsid w:val="0047246C"/>
    <w:pPr>
      <w:tabs>
        <w:tab w:val="center" w:pos="4536"/>
        <w:tab w:val="right" w:pos="9072"/>
      </w:tabs>
    </w:pPr>
    <w:rPr>
      <w:rFonts w:ascii="Arial" w:hAnsi="Arial"/>
    </w:rPr>
  </w:style>
  <w:style w:type="paragraph" w:styleId="Zkladntext">
    <w:name w:val="Body Text"/>
    <w:basedOn w:val="Normln"/>
    <w:rsid w:val="0047246C"/>
    <w:pPr>
      <w:jc w:val="both"/>
    </w:pPr>
    <w:rPr>
      <w:rFonts w:ascii="Arial" w:hAnsi="Arial"/>
      <w:sz w:val="24"/>
    </w:rPr>
  </w:style>
  <w:style w:type="paragraph" w:customStyle="1" w:styleId="Nadpis">
    <w:name w:val="Nadpis"/>
    <w:basedOn w:val="Normln"/>
    <w:rsid w:val="0047246C"/>
    <w:pPr>
      <w:spacing w:after="1354"/>
      <w:jc w:val="center"/>
    </w:pPr>
    <w:rPr>
      <w:rFonts w:ascii="Arial Black" w:hAnsi="Arial Black"/>
      <w:sz w:val="48"/>
    </w:rPr>
  </w:style>
  <w:style w:type="paragraph" w:customStyle="1" w:styleId="TabulkaText">
    <w:name w:val="TabulkaText"/>
    <w:basedOn w:val="Normln"/>
    <w:rsid w:val="0047246C"/>
    <w:rPr>
      <w:sz w:val="24"/>
    </w:rPr>
  </w:style>
  <w:style w:type="paragraph" w:customStyle="1" w:styleId="Eslovanosn">
    <w:name w:val="Eíslovaná osn"/>
    <w:basedOn w:val="Normln"/>
    <w:rsid w:val="0047246C"/>
    <w:pPr>
      <w:ind w:left="360" w:hanging="360"/>
    </w:pPr>
    <w:rPr>
      <w:sz w:val="24"/>
    </w:rPr>
  </w:style>
  <w:style w:type="paragraph" w:customStyle="1" w:styleId="Eslovansez">
    <w:name w:val="Eíslovaný sez"/>
    <w:basedOn w:val="Normln"/>
    <w:rsid w:val="0047246C"/>
    <w:pPr>
      <w:ind w:left="360" w:hanging="360"/>
    </w:pPr>
    <w:rPr>
      <w:sz w:val="24"/>
    </w:rPr>
  </w:style>
  <w:style w:type="paragraph" w:customStyle="1" w:styleId="Odsazenprvn">
    <w:name w:val="Odsazený prvn"/>
    <w:basedOn w:val="Normln"/>
    <w:rsid w:val="0047246C"/>
    <w:pPr>
      <w:ind w:firstLine="720"/>
    </w:pPr>
    <w:rPr>
      <w:sz w:val="24"/>
    </w:rPr>
  </w:style>
  <w:style w:type="paragraph" w:customStyle="1" w:styleId="Odrka2">
    <w:name w:val="Odrážka 2"/>
    <w:basedOn w:val="Normln"/>
    <w:rsid w:val="0047246C"/>
    <w:pPr>
      <w:ind w:left="360" w:hanging="360"/>
    </w:pPr>
    <w:rPr>
      <w:sz w:val="24"/>
    </w:rPr>
  </w:style>
  <w:style w:type="paragraph" w:customStyle="1" w:styleId="Odrka1">
    <w:name w:val="Odrážka 1"/>
    <w:basedOn w:val="Normln"/>
    <w:rsid w:val="0047246C"/>
    <w:pPr>
      <w:ind w:left="360"/>
    </w:pPr>
    <w:rPr>
      <w:sz w:val="24"/>
    </w:rPr>
  </w:style>
  <w:style w:type="paragraph" w:customStyle="1" w:styleId="Tilo-osnova">
    <w:name w:val="Tilo - osnova"/>
    <w:basedOn w:val="Normln"/>
    <w:rsid w:val="0047246C"/>
    <w:rPr>
      <w:sz w:val="24"/>
    </w:rPr>
  </w:style>
  <w:style w:type="paragraph" w:customStyle="1" w:styleId="Zkladntext21">
    <w:name w:val="Základní text 21"/>
    <w:basedOn w:val="Normln"/>
    <w:rsid w:val="0047246C"/>
    <w:rPr>
      <w:rFonts w:ascii="Arial" w:hAnsi="Arial"/>
      <w:sz w:val="24"/>
    </w:rPr>
  </w:style>
  <w:style w:type="paragraph" w:customStyle="1" w:styleId="Standardnte">
    <w:name w:val="Standardní te"/>
    <w:basedOn w:val="Normln"/>
    <w:rsid w:val="0047246C"/>
    <w:rPr>
      <w:sz w:val="24"/>
    </w:rPr>
  </w:style>
  <w:style w:type="paragraph" w:customStyle="1" w:styleId="Standardntext">
    <w:name w:val="Standardní text"/>
    <w:basedOn w:val="Normln"/>
    <w:rsid w:val="0047246C"/>
    <w:rPr>
      <w:sz w:val="24"/>
    </w:rPr>
  </w:style>
  <w:style w:type="paragraph" w:customStyle="1" w:styleId="s1">
    <w:name w:val="s1"/>
    <w:basedOn w:val="Normln"/>
    <w:rsid w:val="0047246C"/>
    <w:pPr>
      <w:spacing w:after="360" w:line="360" w:lineRule="atLeast"/>
      <w:ind w:left="709"/>
    </w:pPr>
    <w:rPr>
      <w:rFonts w:ascii="Arial" w:hAnsi="Arial"/>
      <w:noProof w:val="0"/>
      <w:sz w:val="24"/>
      <w:lang w:val="de-DE"/>
    </w:rPr>
  </w:style>
  <w:style w:type="paragraph" w:styleId="Textbubliny">
    <w:name w:val="Balloon Text"/>
    <w:basedOn w:val="Normln"/>
    <w:semiHidden/>
    <w:rsid w:val="00BC4DA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B3A4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576A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6AA2"/>
  </w:style>
  <w:style w:type="character" w:customStyle="1" w:styleId="TextkomenteChar">
    <w:name w:val="Text komentáře Char"/>
    <w:link w:val="Textkomente"/>
    <w:rsid w:val="00576AA2"/>
    <w:rPr>
      <w:noProof/>
    </w:rPr>
  </w:style>
  <w:style w:type="paragraph" w:styleId="Pedmtkomente">
    <w:name w:val="annotation subject"/>
    <w:basedOn w:val="Textkomente"/>
    <w:next w:val="Textkomente"/>
    <w:link w:val="PedmtkomenteChar"/>
    <w:rsid w:val="00576AA2"/>
    <w:rPr>
      <w:b/>
      <w:bCs/>
    </w:rPr>
  </w:style>
  <w:style w:type="character" w:customStyle="1" w:styleId="PedmtkomenteChar">
    <w:name w:val="Předmět komentáře Char"/>
    <w:link w:val="Pedmtkomente"/>
    <w:rsid w:val="00576AA2"/>
    <w:rPr>
      <w:b/>
      <w:bCs/>
      <w:noProof/>
    </w:rPr>
  </w:style>
  <w:style w:type="character" w:customStyle="1" w:styleId="Nadpis1Char">
    <w:name w:val="Nadpis 1 Char"/>
    <w:link w:val="Nadpis1"/>
    <w:locked/>
    <w:rsid w:val="00D21E9A"/>
    <w:rPr>
      <w:rFonts w:ascii="Arial Black" w:hAnsi="Arial Black"/>
      <w:noProof/>
      <w:sz w:val="28"/>
    </w:rPr>
  </w:style>
  <w:style w:type="paragraph" w:styleId="Odstavecseseznamem">
    <w:name w:val="List Paragraph"/>
    <w:basedOn w:val="Normln"/>
    <w:uiPriority w:val="34"/>
    <w:qFormat/>
    <w:rsid w:val="00D21E9A"/>
    <w:pPr>
      <w:overflowPunct/>
      <w:autoSpaceDE/>
      <w:autoSpaceDN/>
      <w:adjustRightInd/>
      <w:spacing w:after="200" w:line="276" w:lineRule="auto"/>
      <w:ind w:left="708"/>
      <w:textAlignment w:val="auto"/>
    </w:pPr>
    <w:rPr>
      <w:rFonts w:ascii="Calibri" w:hAnsi="Calibri"/>
      <w:noProof w:val="0"/>
      <w:sz w:val="22"/>
      <w:szCs w:val="22"/>
    </w:rPr>
  </w:style>
  <w:style w:type="paragraph" w:styleId="Revize">
    <w:name w:val="Revision"/>
    <w:hidden/>
    <w:uiPriority w:val="99"/>
    <w:semiHidden/>
    <w:rsid w:val="00911666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246C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Nadpis1">
    <w:name w:val="heading 1"/>
    <w:basedOn w:val="Normln"/>
    <w:link w:val="Nadpis1Char"/>
    <w:qFormat/>
    <w:rsid w:val="0047246C"/>
    <w:pPr>
      <w:spacing w:before="394" w:after="197"/>
      <w:outlineLvl w:val="0"/>
    </w:pPr>
    <w:rPr>
      <w:rFonts w:ascii="Arial Black" w:hAnsi="Arial Black"/>
      <w:sz w:val="28"/>
    </w:rPr>
  </w:style>
  <w:style w:type="paragraph" w:styleId="Nadpis2">
    <w:name w:val="heading 2"/>
    <w:basedOn w:val="Normln"/>
    <w:qFormat/>
    <w:rsid w:val="0047246C"/>
    <w:pPr>
      <w:spacing w:before="146" w:after="146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qFormat/>
    <w:rsid w:val="0047246C"/>
    <w:pPr>
      <w:keepNext/>
      <w:keepLines/>
      <w:jc w:val="center"/>
      <w:outlineLvl w:val="2"/>
    </w:pPr>
    <w:rPr>
      <w:rFonts w:ascii="Arial" w:hAnsi="Arial"/>
      <w:cap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7246C"/>
    <w:pPr>
      <w:tabs>
        <w:tab w:val="center" w:pos="4536"/>
        <w:tab w:val="right" w:pos="9072"/>
      </w:tabs>
    </w:pPr>
    <w:rPr>
      <w:rFonts w:ascii="Arial" w:hAnsi="Arial"/>
    </w:rPr>
  </w:style>
  <w:style w:type="paragraph" w:styleId="Zpat">
    <w:name w:val="footer"/>
    <w:basedOn w:val="Normln"/>
    <w:rsid w:val="0047246C"/>
    <w:pPr>
      <w:tabs>
        <w:tab w:val="center" w:pos="4536"/>
        <w:tab w:val="right" w:pos="9072"/>
      </w:tabs>
    </w:pPr>
    <w:rPr>
      <w:rFonts w:ascii="Arial" w:hAnsi="Arial"/>
    </w:rPr>
  </w:style>
  <w:style w:type="paragraph" w:styleId="Zkladntext">
    <w:name w:val="Body Text"/>
    <w:basedOn w:val="Normln"/>
    <w:rsid w:val="0047246C"/>
    <w:pPr>
      <w:jc w:val="both"/>
    </w:pPr>
    <w:rPr>
      <w:rFonts w:ascii="Arial" w:hAnsi="Arial"/>
      <w:sz w:val="24"/>
    </w:rPr>
  </w:style>
  <w:style w:type="paragraph" w:customStyle="1" w:styleId="Nadpis">
    <w:name w:val="Nadpis"/>
    <w:basedOn w:val="Normln"/>
    <w:rsid w:val="0047246C"/>
    <w:pPr>
      <w:spacing w:after="1354"/>
      <w:jc w:val="center"/>
    </w:pPr>
    <w:rPr>
      <w:rFonts w:ascii="Arial Black" w:hAnsi="Arial Black"/>
      <w:sz w:val="48"/>
    </w:rPr>
  </w:style>
  <w:style w:type="paragraph" w:customStyle="1" w:styleId="TabulkaText">
    <w:name w:val="TabulkaText"/>
    <w:basedOn w:val="Normln"/>
    <w:rsid w:val="0047246C"/>
    <w:rPr>
      <w:sz w:val="24"/>
    </w:rPr>
  </w:style>
  <w:style w:type="paragraph" w:customStyle="1" w:styleId="Eslovanosn">
    <w:name w:val="Eíslovaná osn"/>
    <w:basedOn w:val="Normln"/>
    <w:rsid w:val="0047246C"/>
    <w:pPr>
      <w:ind w:left="360" w:hanging="360"/>
    </w:pPr>
    <w:rPr>
      <w:sz w:val="24"/>
    </w:rPr>
  </w:style>
  <w:style w:type="paragraph" w:customStyle="1" w:styleId="Eslovansez">
    <w:name w:val="Eíslovaný sez"/>
    <w:basedOn w:val="Normln"/>
    <w:rsid w:val="0047246C"/>
    <w:pPr>
      <w:ind w:left="360" w:hanging="360"/>
    </w:pPr>
    <w:rPr>
      <w:sz w:val="24"/>
    </w:rPr>
  </w:style>
  <w:style w:type="paragraph" w:customStyle="1" w:styleId="Odsazenprvn">
    <w:name w:val="Odsazený prvn"/>
    <w:basedOn w:val="Normln"/>
    <w:rsid w:val="0047246C"/>
    <w:pPr>
      <w:ind w:firstLine="720"/>
    </w:pPr>
    <w:rPr>
      <w:sz w:val="24"/>
    </w:rPr>
  </w:style>
  <w:style w:type="paragraph" w:customStyle="1" w:styleId="Odrka2">
    <w:name w:val="Odrážka 2"/>
    <w:basedOn w:val="Normln"/>
    <w:rsid w:val="0047246C"/>
    <w:pPr>
      <w:ind w:left="360" w:hanging="360"/>
    </w:pPr>
    <w:rPr>
      <w:sz w:val="24"/>
    </w:rPr>
  </w:style>
  <w:style w:type="paragraph" w:customStyle="1" w:styleId="Odrka1">
    <w:name w:val="Odrážka 1"/>
    <w:basedOn w:val="Normln"/>
    <w:rsid w:val="0047246C"/>
    <w:pPr>
      <w:ind w:left="360"/>
    </w:pPr>
    <w:rPr>
      <w:sz w:val="24"/>
    </w:rPr>
  </w:style>
  <w:style w:type="paragraph" w:customStyle="1" w:styleId="Tilo-osnova">
    <w:name w:val="Tilo - osnova"/>
    <w:basedOn w:val="Normln"/>
    <w:rsid w:val="0047246C"/>
    <w:rPr>
      <w:sz w:val="24"/>
    </w:rPr>
  </w:style>
  <w:style w:type="paragraph" w:customStyle="1" w:styleId="Zkladntext21">
    <w:name w:val="Základní text 21"/>
    <w:basedOn w:val="Normln"/>
    <w:rsid w:val="0047246C"/>
    <w:rPr>
      <w:rFonts w:ascii="Arial" w:hAnsi="Arial"/>
      <w:sz w:val="24"/>
    </w:rPr>
  </w:style>
  <w:style w:type="paragraph" w:customStyle="1" w:styleId="Standardnte">
    <w:name w:val="Standardní te"/>
    <w:basedOn w:val="Normln"/>
    <w:rsid w:val="0047246C"/>
    <w:rPr>
      <w:sz w:val="24"/>
    </w:rPr>
  </w:style>
  <w:style w:type="paragraph" w:customStyle="1" w:styleId="Standardntext">
    <w:name w:val="Standardní text"/>
    <w:basedOn w:val="Normln"/>
    <w:rsid w:val="0047246C"/>
    <w:rPr>
      <w:sz w:val="24"/>
    </w:rPr>
  </w:style>
  <w:style w:type="paragraph" w:customStyle="1" w:styleId="s1">
    <w:name w:val="s1"/>
    <w:basedOn w:val="Normln"/>
    <w:rsid w:val="0047246C"/>
    <w:pPr>
      <w:spacing w:after="360" w:line="360" w:lineRule="atLeast"/>
      <w:ind w:left="709"/>
    </w:pPr>
    <w:rPr>
      <w:rFonts w:ascii="Arial" w:hAnsi="Arial"/>
      <w:noProof w:val="0"/>
      <w:sz w:val="24"/>
      <w:lang w:val="de-DE"/>
    </w:rPr>
  </w:style>
  <w:style w:type="paragraph" w:styleId="Textbubliny">
    <w:name w:val="Balloon Text"/>
    <w:basedOn w:val="Normln"/>
    <w:semiHidden/>
    <w:rsid w:val="00BC4DA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B3A4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576A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6AA2"/>
  </w:style>
  <w:style w:type="character" w:customStyle="1" w:styleId="TextkomenteChar">
    <w:name w:val="Text komentáře Char"/>
    <w:link w:val="Textkomente"/>
    <w:rsid w:val="00576AA2"/>
    <w:rPr>
      <w:noProof/>
    </w:rPr>
  </w:style>
  <w:style w:type="paragraph" w:styleId="Pedmtkomente">
    <w:name w:val="annotation subject"/>
    <w:basedOn w:val="Textkomente"/>
    <w:next w:val="Textkomente"/>
    <w:link w:val="PedmtkomenteChar"/>
    <w:rsid w:val="00576AA2"/>
    <w:rPr>
      <w:b/>
      <w:bCs/>
    </w:rPr>
  </w:style>
  <w:style w:type="character" w:customStyle="1" w:styleId="PedmtkomenteChar">
    <w:name w:val="Předmět komentáře Char"/>
    <w:link w:val="Pedmtkomente"/>
    <w:rsid w:val="00576AA2"/>
    <w:rPr>
      <w:b/>
      <w:bCs/>
      <w:noProof/>
    </w:rPr>
  </w:style>
  <w:style w:type="character" w:customStyle="1" w:styleId="Nadpis1Char">
    <w:name w:val="Nadpis 1 Char"/>
    <w:link w:val="Nadpis1"/>
    <w:locked/>
    <w:rsid w:val="00D21E9A"/>
    <w:rPr>
      <w:rFonts w:ascii="Arial Black" w:hAnsi="Arial Black"/>
      <w:noProof/>
      <w:sz w:val="28"/>
    </w:rPr>
  </w:style>
  <w:style w:type="paragraph" w:styleId="Odstavecseseznamem">
    <w:name w:val="List Paragraph"/>
    <w:basedOn w:val="Normln"/>
    <w:uiPriority w:val="34"/>
    <w:qFormat/>
    <w:rsid w:val="00D21E9A"/>
    <w:pPr>
      <w:overflowPunct/>
      <w:autoSpaceDE/>
      <w:autoSpaceDN/>
      <w:adjustRightInd/>
      <w:spacing w:after="200" w:line="276" w:lineRule="auto"/>
      <w:ind w:left="708"/>
      <w:textAlignment w:val="auto"/>
    </w:pPr>
    <w:rPr>
      <w:rFonts w:ascii="Calibri" w:hAnsi="Calibri"/>
      <w:noProof w:val="0"/>
      <w:sz w:val="22"/>
      <w:szCs w:val="22"/>
    </w:rPr>
  </w:style>
  <w:style w:type="paragraph" w:styleId="Revize">
    <w:name w:val="Revision"/>
    <w:hidden/>
    <w:uiPriority w:val="99"/>
    <w:semiHidden/>
    <w:rsid w:val="0091166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86AB4-13DA-4DF3-B0BC-1148DA7D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1032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společném záměru</vt:lpstr>
    </vt:vector>
  </TitlesOfParts>
  <Company>Polytechna</Company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společném záměru</dc:title>
  <dc:creator>PC17</dc:creator>
  <cp:lastModifiedBy>marchkat</cp:lastModifiedBy>
  <cp:revision>4</cp:revision>
  <cp:lastPrinted>2019-05-22T09:27:00Z</cp:lastPrinted>
  <dcterms:created xsi:type="dcterms:W3CDTF">2019-05-24T12:32:00Z</dcterms:created>
  <dcterms:modified xsi:type="dcterms:W3CDTF">2019-06-04T09:52:00Z</dcterms:modified>
</cp:coreProperties>
</file>