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8E" w:rsidRDefault="001517FA">
      <w:pPr>
        <w:pStyle w:val="Heading10"/>
        <w:framePr w:w="9120" w:h="370" w:hRule="exact" w:wrap="none" w:vAnchor="page" w:hAnchor="page" w:x="1406" w:y="1413"/>
        <w:shd w:val="clear" w:color="auto" w:fill="auto"/>
        <w:spacing w:after="0"/>
        <w:ind w:right="60"/>
      </w:pPr>
      <w:bookmarkStart w:id="0" w:name="bookmark0"/>
      <w:r>
        <w:t>Dohoda o narovnání</w:t>
      </w:r>
      <w:bookmarkEnd w:id="0"/>
    </w:p>
    <w:p w:rsidR="003F748E" w:rsidRDefault="001517FA">
      <w:pPr>
        <w:pStyle w:val="Bodytext20"/>
        <w:framePr w:w="9120" w:h="1002" w:hRule="exact" w:wrap="none" w:vAnchor="page" w:hAnchor="page" w:x="1406" w:y="2343"/>
        <w:shd w:val="clear" w:color="auto" w:fill="auto"/>
        <w:spacing w:before="0"/>
        <w:ind w:left="200" w:firstLine="0"/>
      </w:pPr>
      <w:r>
        <w:t>uzavřená dne 20. 3. 2019 podle zákona č. 89/2012 Sb., občanský zákoník, ve znění pozdějších</w:t>
      </w:r>
    </w:p>
    <w:p w:rsidR="003F748E" w:rsidRDefault="001517FA">
      <w:pPr>
        <w:pStyle w:val="Bodytext20"/>
        <w:framePr w:w="9120" w:h="1002" w:hRule="exact" w:wrap="none" w:vAnchor="page" w:hAnchor="page" w:x="1406" w:y="2343"/>
        <w:shd w:val="clear" w:color="auto" w:fill="auto"/>
        <w:spacing w:before="0" w:after="240"/>
        <w:ind w:right="60" w:firstLine="0"/>
        <w:jc w:val="center"/>
      </w:pPr>
      <w:r>
        <w:t>předpisů</w:t>
      </w:r>
    </w:p>
    <w:p w:rsidR="003F748E" w:rsidRDefault="001517FA">
      <w:pPr>
        <w:pStyle w:val="Bodytext20"/>
        <w:framePr w:w="9120" w:h="1002" w:hRule="exact" w:wrap="none" w:vAnchor="page" w:hAnchor="page" w:x="1406" w:y="2343"/>
        <w:shd w:val="clear" w:color="auto" w:fill="auto"/>
        <w:spacing w:before="0"/>
        <w:ind w:right="60" w:firstLine="0"/>
        <w:jc w:val="center"/>
      </w:pPr>
      <w:r>
        <w:t>mezi smluvními stranami</w:t>
      </w:r>
    </w:p>
    <w:p w:rsidR="003F748E" w:rsidRDefault="001517FA">
      <w:pPr>
        <w:pStyle w:val="Heading20"/>
        <w:framePr w:w="9120" w:h="1493" w:hRule="exact" w:wrap="none" w:vAnchor="page" w:hAnchor="page" w:x="1406" w:y="4005"/>
        <w:shd w:val="clear" w:color="auto" w:fill="auto"/>
        <w:spacing w:before="0"/>
      </w:pPr>
      <w:bookmarkStart w:id="1" w:name="bookmark1"/>
      <w:r>
        <w:t>Moravskoslezské inovační centrum Ostrava, a.s.</w:t>
      </w:r>
      <w:bookmarkEnd w:id="1"/>
    </w:p>
    <w:p w:rsidR="003F748E" w:rsidRDefault="001517FA">
      <w:pPr>
        <w:pStyle w:val="Bodytext20"/>
        <w:framePr w:w="9120" w:h="1493" w:hRule="exact" w:wrap="none" w:vAnchor="page" w:hAnchor="page" w:x="1406" w:y="4005"/>
        <w:shd w:val="clear" w:color="auto" w:fill="auto"/>
        <w:tabs>
          <w:tab w:val="left" w:pos="1401"/>
          <w:tab w:val="right" w:pos="6172"/>
          <w:tab w:val="right" w:pos="6272"/>
        </w:tabs>
        <w:spacing w:before="0" w:line="235" w:lineRule="exact"/>
        <w:ind w:firstLine="0"/>
        <w:jc w:val="both"/>
      </w:pPr>
      <w:r>
        <w:t>sídlo:</w:t>
      </w:r>
      <w:r>
        <w:tab/>
        <w:t>Technologická</w:t>
      </w:r>
      <w:r>
        <w:tab/>
        <w:t xml:space="preserve">372/2, 708 00 </w:t>
      </w:r>
      <w:proofErr w:type="gramStart"/>
      <w:r>
        <w:t>Ostrava -</w:t>
      </w:r>
      <w:r>
        <w:tab/>
      </w:r>
      <w:proofErr w:type="spellStart"/>
      <w:r>
        <w:t>Pustkovec</w:t>
      </w:r>
      <w:proofErr w:type="spellEnd"/>
      <w:proofErr w:type="gramEnd"/>
    </w:p>
    <w:p w:rsidR="003F748E" w:rsidRDefault="001517FA">
      <w:pPr>
        <w:pStyle w:val="Bodytext20"/>
        <w:framePr w:w="9120" w:h="1493" w:hRule="exact" w:wrap="none" w:vAnchor="page" w:hAnchor="page" w:x="1406" w:y="4005"/>
        <w:shd w:val="clear" w:color="auto" w:fill="auto"/>
        <w:tabs>
          <w:tab w:val="left" w:pos="1401"/>
        </w:tabs>
        <w:spacing w:before="0" w:line="235" w:lineRule="exact"/>
        <w:ind w:firstLine="0"/>
        <w:jc w:val="both"/>
      </w:pPr>
      <w:r>
        <w:t>IČ:</w:t>
      </w:r>
      <w:r>
        <w:tab/>
        <w:t>25379631</w:t>
      </w:r>
    </w:p>
    <w:p w:rsidR="003F748E" w:rsidRDefault="001517FA">
      <w:pPr>
        <w:pStyle w:val="Bodytext20"/>
        <w:framePr w:w="9120" w:h="1493" w:hRule="exact" w:wrap="none" w:vAnchor="page" w:hAnchor="page" w:x="1406" w:y="4005"/>
        <w:shd w:val="clear" w:color="auto" w:fill="auto"/>
        <w:tabs>
          <w:tab w:val="left" w:pos="1401"/>
        </w:tabs>
        <w:spacing w:before="0" w:line="235" w:lineRule="exact"/>
        <w:ind w:firstLine="0"/>
        <w:jc w:val="both"/>
      </w:pPr>
      <w:r>
        <w:t>DIČ:</w:t>
      </w:r>
      <w:r>
        <w:tab/>
        <w:t>CZ25379631</w:t>
      </w:r>
    </w:p>
    <w:p w:rsidR="003F748E" w:rsidRDefault="001517FA">
      <w:pPr>
        <w:pStyle w:val="Bodytext20"/>
        <w:framePr w:w="9120" w:h="1493" w:hRule="exact" w:wrap="none" w:vAnchor="page" w:hAnchor="page" w:x="1406" w:y="4005"/>
        <w:shd w:val="clear" w:color="auto" w:fill="auto"/>
        <w:tabs>
          <w:tab w:val="left" w:pos="1401"/>
        </w:tabs>
        <w:spacing w:before="0" w:line="235" w:lineRule="exact"/>
        <w:ind w:firstLine="0"/>
        <w:jc w:val="both"/>
      </w:pPr>
      <w:r>
        <w:t>zastoupení:</w:t>
      </w:r>
      <w:r>
        <w:tab/>
        <w:t>Pavel Csank, předseda představenstva</w:t>
      </w:r>
    </w:p>
    <w:p w:rsidR="003F748E" w:rsidRDefault="001517FA">
      <w:pPr>
        <w:pStyle w:val="Bodytext20"/>
        <w:framePr w:w="9120" w:h="1493" w:hRule="exact" w:wrap="none" w:vAnchor="page" w:hAnchor="page" w:x="1406" w:y="4005"/>
        <w:shd w:val="clear" w:color="auto" w:fill="auto"/>
        <w:spacing w:before="0" w:line="235" w:lineRule="exact"/>
        <w:ind w:firstLine="0"/>
        <w:jc w:val="both"/>
      </w:pPr>
      <w:r>
        <w:t>vedená u Krajského soudu v Ostravě, spis. zn. B 1686</w:t>
      </w:r>
    </w:p>
    <w:p w:rsidR="003F748E" w:rsidRDefault="001517FA">
      <w:pPr>
        <w:pStyle w:val="Bodytext20"/>
        <w:framePr w:w="9120" w:h="542" w:hRule="exact" w:wrap="none" w:vAnchor="page" w:hAnchor="page" w:x="1406" w:y="5681"/>
        <w:shd w:val="clear" w:color="auto" w:fill="auto"/>
        <w:spacing w:before="0" w:line="240" w:lineRule="exact"/>
        <w:ind w:right="7480" w:firstLine="0"/>
      </w:pPr>
      <w:r>
        <w:t xml:space="preserve">na straně jedné (dále jen </w:t>
      </w:r>
      <w:r>
        <w:rPr>
          <w:rStyle w:val="Bodytext2Bold"/>
          <w:lang w:val="de-DE" w:eastAsia="de-DE" w:bidi="de-DE"/>
        </w:rPr>
        <w:t>„MSIC“)</w:t>
      </w:r>
    </w:p>
    <w:p w:rsidR="003F748E" w:rsidRDefault="001517FA">
      <w:pPr>
        <w:pStyle w:val="Other0"/>
        <w:framePr w:wrap="none" w:vAnchor="page" w:hAnchor="page" w:x="5918" w:y="6447"/>
        <w:shd w:val="clear" w:color="auto" w:fill="auto"/>
        <w:spacing w:line="200" w:lineRule="exact"/>
        <w:jc w:val="both"/>
      </w:pPr>
      <w:r>
        <w:rPr>
          <w:rStyle w:val="OtherArialBold"/>
        </w:rPr>
        <w:t>a</w:t>
      </w:r>
    </w:p>
    <w:p w:rsidR="003F748E" w:rsidRDefault="001517FA">
      <w:pPr>
        <w:pStyle w:val="Heading20"/>
        <w:framePr w:w="9120" w:h="2214" w:hRule="exact" w:wrap="none" w:vAnchor="page" w:hAnchor="page" w:x="1406" w:y="7134"/>
        <w:shd w:val="clear" w:color="auto" w:fill="auto"/>
        <w:spacing w:before="0" w:line="224" w:lineRule="exact"/>
      </w:pPr>
      <w:bookmarkStart w:id="2" w:name="bookmark2"/>
      <w:r>
        <w:t>ATIC Technology, s.r.o.</w:t>
      </w:r>
      <w:bookmarkEnd w:id="2"/>
    </w:p>
    <w:p w:rsidR="003F748E" w:rsidRDefault="001517FA">
      <w:pPr>
        <w:pStyle w:val="Bodytext20"/>
        <w:framePr w:w="9120" w:h="2214" w:hRule="exact" w:wrap="none" w:vAnchor="page" w:hAnchor="page" w:x="1406" w:y="7134"/>
        <w:shd w:val="clear" w:color="auto" w:fill="auto"/>
        <w:tabs>
          <w:tab w:val="left" w:pos="1401"/>
          <w:tab w:val="right" w:pos="5520"/>
        </w:tabs>
        <w:spacing w:before="0" w:line="240" w:lineRule="exact"/>
        <w:ind w:firstLine="0"/>
        <w:jc w:val="both"/>
      </w:pPr>
      <w:r>
        <w:t>sídlo:</w:t>
      </w:r>
      <w:r>
        <w:tab/>
        <w:t>Kaprova 42/14,</w:t>
      </w:r>
      <w:r>
        <w:tab/>
        <w:t>Staré Město, 110 00 Praha 1</w:t>
      </w:r>
    </w:p>
    <w:p w:rsidR="003F748E" w:rsidRDefault="001517FA">
      <w:pPr>
        <w:pStyle w:val="Bodytext20"/>
        <w:framePr w:w="9120" w:h="2214" w:hRule="exact" w:wrap="none" w:vAnchor="page" w:hAnchor="page" w:x="1406" w:y="7134"/>
        <w:shd w:val="clear" w:color="auto" w:fill="auto"/>
        <w:tabs>
          <w:tab w:val="left" w:pos="1401"/>
        </w:tabs>
        <w:spacing w:before="0" w:line="240" w:lineRule="exact"/>
        <w:ind w:firstLine="0"/>
        <w:jc w:val="both"/>
      </w:pPr>
      <w:r>
        <w:t>IČ:</w:t>
      </w:r>
      <w:r>
        <w:tab/>
        <w:t>28660595</w:t>
      </w:r>
    </w:p>
    <w:p w:rsidR="003F748E" w:rsidRDefault="001517FA">
      <w:pPr>
        <w:pStyle w:val="Bodytext20"/>
        <w:framePr w:w="9120" w:h="2214" w:hRule="exact" w:wrap="none" w:vAnchor="page" w:hAnchor="page" w:x="1406" w:y="7134"/>
        <w:shd w:val="clear" w:color="auto" w:fill="auto"/>
        <w:tabs>
          <w:tab w:val="left" w:pos="1401"/>
        </w:tabs>
        <w:spacing w:before="0" w:line="240" w:lineRule="exact"/>
        <w:ind w:firstLine="0"/>
        <w:jc w:val="both"/>
      </w:pPr>
      <w:r>
        <w:t>DIČ:</w:t>
      </w:r>
      <w:r>
        <w:tab/>
        <w:t>CZ28660595</w:t>
      </w:r>
    </w:p>
    <w:p w:rsidR="003F748E" w:rsidRDefault="001517FA">
      <w:pPr>
        <w:pStyle w:val="Bodytext20"/>
        <w:framePr w:w="9120" w:h="2214" w:hRule="exact" w:wrap="none" w:vAnchor="page" w:hAnchor="page" w:x="1406" w:y="7134"/>
        <w:shd w:val="clear" w:color="auto" w:fill="auto"/>
        <w:tabs>
          <w:tab w:val="left" w:pos="1401"/>
        </w:tabs>
        <w:spacing w:before="0" w:line="240" w:lineRule="exact"/>
        <w:ind w:firstLine="0"/>
        <w:jc w:val="both"/>
      </w:pPr>
      <w:r>
        <w:t>zastoupení:</w:t>
      </w:r>
      <w:r>
        <w:tab/>
        <w:t>Jan Raška, jednatel</w:t>
      </w:r>
    </w:p>
    <w:p w:rsidR="003F748E" w:rsidRDefault="001517FA">
      <w:pPr>
        <w:pStyle w:val="Bodytext20"/>
        <w:framePr w:w="9120" w:h="2214" w:hRule="exact" w:wrap="none" w:vAnchor="page" w:hAnchor="page" w:x="1406" w:y="7134"/>
        <w:shd w:val="clear" w:color="auto" w:fill="auto"/>
        <w:spacing w:before="0" w:after="240" w:line="240" w:lineRule="exact"/>
        <w:ind w:firstLine="0"/>
        <w:jc w:val="both"/>
      </w:pPr>
      <w:r>
        <w:t>vedená u Městského soudu v Praze, spis. zn. C 286134</w:t>
      </w:r>
    </w:p>
    <w:p w:rsidR="003F748E" w:rsidRDefault="001517FA">
      <w:pPr>
        <w:pStyle w:val="Bodytext20"/>
        <w:framePr w:w="9120" w:h="2214" w:hRule="exact" w:wrap="none" w:vAnchor="page" w:hAnchor="page" w:x="1406" w:y="7134"/>
        <w:shd w:val="clear" w:color="auto" w:fill="auto"/>
        <w:spacing w:before="0" w:line="240" w:lineRule="exact"/>
        <w:ind w:right="7480" w:firstLine="0"/>
      </w:pPr>
      <w:r>
        <w:t xml:space="preserve">na straně druhé (dále jen </w:t>
      </w:r>
      <w:r>
        <w:rPr>
          <w:rStyle w:val="Bodytext2Bold"/>
          <w:lang w:val="de-DE" w:eastAsia="de-DE" w:bidi="de-DE"/>
        </w:rPr>
        <w:t>„ATIC“)</w:t>
      </w:r>
    </w:p>
    <w:p w:rsidR="003F748E" w:rsidRDefault="001517FA">
      <w:pPr>
        <w:pStyle w:val="Bodytext20"/>
        <w:framePr w:w="9120" w:h="4619" w:hRule="exact" w:wrap="none" w:vAnchor="page" w:hAnchor="page" w:x="1406" w:y="10024"/>
        <w:shd w:val="clear" w:color="auto" w:fill="auto"/>
        <w:spacing w:before="0" w:after="227"/>
        <w:ind w:firstLine="0"/>
        <w:jc w:val="both"/>
      </w:pPr>
      <w:r>
        <w:t>Vzhledem k tomu, že:</w:t>
      </w:r>
    </w:p>
    <w:p w:rsidR="003F748E" w:rsidRDefault="001517FA">
      <w:pPr>
        <w:pStyle w:val="Bodytext20"/>
        <w:framePr w:w="9120" w:h="4619" w:hRule="exact" w:wrap="none" w:vAnchor="page" w:hAnchor="page" w:x="1406" w:y="10024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240" w:line="240" w:lineRule="exact"/>
        <w:ind w:left="620"/>
      </w:pPr>
      <w:r>
        <w:t xml:space="preserve">ATIC poskytoval v průběhu roku konzultační služby v níže uvedených oblastech a níže </w:t>
      </w:r>
      <w:r>
        <w:t>uvedeném rozsahu,</w:t>
      </w:r>
    </w:p>
    <w:p w:rsidR="003F748E" w:rsidRDefault="001517FA">
      <w:pPr>
        <w:pStyle w:val="Bodytext20"/>
        <w:framePr w:w="9120" w:h="4619" w:hRule="exact" w:wrap="none" w:vAnchor="page" w:hAnchor="page" w:x="1406" w:y="10024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exact"/>
        <w:ind w:firstLine="0"/>
        <w:jc w:val="both"/>
      </w:pPr>
      <w:r>
        <w:t>výše uvedené služby vyústily</w:t>
      </w:r>
    </w:p>
    <w:p w:rsidR="003F748E" w:rsidRDefault="001517FA">
      <w:pPr>
        <w:pStyle w:val="Bodytext20"/>
        <w:framePr w:w="9120" w:h="4619" w:hRule="exact" w:wrap="none" w:vAnchor="page" w:hAnchor="page" w:x="1406" w:y="10024"/>
        <w:numPr>
          <w:ilvl w:val="0"/>
          <w:numId w:val="2"/>
        </w:numPr>
        <w:shd w:val="clear" w:color="auto" w:fill="auto"/>
        <w:tabs>
          <w:tab w:val="left" w:pos="1494"/>
        </w:tabs>
        <w:spacing w:before="0" w:line="240" w:lineRule="exact"/>
        <w:ind w:left="1500" w:hanging="360"/>
      </w:pPr>
      <w:r>
        <w:t>dne 9. listopadu 2018 v uzavření Memorandum o spolupráci v rámci realizace projektu technologického centra ATIC,</w:t>
      </w:r>
    </w:p>
    <w:p w:rsidR="003F748E" w:rsidRDefault="001517FA">
      <w:pPr>
        <w:pStyle w:val="Bodytext20"/>
        <w:framePr w:w="9120" w:h="4619" w:hRule="exact" w:wrap="none" w:vAnchor="page" w:hAnchor="page" w:x="1406" w:y="10024"/>
        <w:numPr>
          <w:ilvl w:val="0"/>
          <w:numId w:val="2"/>
        </w:numPr>
        <w:shd w:val="clear" w:color="auto" w:fill="auto"/>
        <w:tabs>
          <w:tab w:val="left" w:pos="1494"/>
        </w:tabs>
        <w:spacing w:before="0" w:after="240" w:line="240" w:lineRule="exact"/>
        <w:ind w:left="1500" w:hanging="360"/>
      </w:pPr>
      <w:r>
        <w:t>dne 14. prosince 2018 v uzavření Smlouvy o spolupráci, jejímž předmětem je pokračování a prohlub</w:t>
      </w:r>
      <w:r>
        <w:t>ování spolupráce ATIC a M</w:t>
      </w:r>
      <w:r w:rsidR="000D36A1">
        <w:t>S</w:t>
      </w:r>
      <w:bookmarkStart w:id="3" w:name="_GoBack"/>
      <w:bookmarkEnd w:id="3"/>
      <w:r>
        <w:t>IC,</w:t>
      </w:r>
    </w:p>
    <w:p w:rsidR="003F748E" w:rsidRDefault="001517FA">
      <w:pPr>
        <w:pStyle w:val="Bodytext20"/>
        <w:framePr w:w="9120" w:h="4619" w:hRule="exact" w:wrap="none" w:vAnchor="page" w:hAnchor="page" w:x="1406" w:y="10024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240" w:line="240" w:lineRule="exact"/>
        <w:ind w:left="620"/>
      </w:pPr>
      <w:r>
        <w:t>smluvní strany mají zájem nadále zájem, aby spolupráce pokračovala v intencích shora označené smlouvy</w:t>
      </w:r>
    </w:p>
    <w:p w:rsidR="003F748E" w:rsidRDefault="001517FA">
      <w:pPr>
        <w:pStyle w:val="Bodytext20"/>
        <w:framePr w:w="9120" w:h="4619" w:hRule="exact" w:wrap="none" w:vAnchor="page" w:hAnchor="page" w:x="1406" w:y="10024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240" w:line="240" w:lineRule="exact"/>
        <w:ind w:left="620"/>
      </w:pPr>
      <w:r>
        <w:t>existují nevypořádané finanční závazky za poskytnuté konzultační služby v průběhu roku 2018,</w:t>
      </w:r>
    </w:p>
    <w:p w:rsidR="003F748E" w:rsidRDefault="001517FA">
      <w:pPr>
        <w:pStyle w:val="Bodytext20"/>
        <w:framePr w:w="9120" w:h="4619" w:hRule="exact" w:wrap="none" w:vAnchor="page" w:hAnchor="page" w:x="1406" w:y="10024"/>
        <w:shd w:val="clear" w:color="auto" w:fill="auto"/>
        <w:spacing w:before="0" w:line="240" w:lineRule="exact"/>
        <w:ind w:firstLine="0"/>
        <w:jc w:val="both"/>
      </w:pPr>
      <w:r>
        <w:t>dohodly se M</w:t>
      </w:r>
      <w:r w:rsidR="00B948AF">
        <w:t>S</w:t>
      </w:r>
      <w:r>
        <w:t xml:space="preserve">IC a ATIC na </w:t>
      </w:r>
      <w:r>
        <w:t>vypořádání vzájemných práv a povinností ve smyslu ustanovení § 1903 a násl. zákona č. 89/2012 Sb., občanský zákoník, a to takto:</w:t>
      </w:r>
    </w:p>
    <w:p w:rsidR="003F748E" w:rsidRDefault="003F748E">
      <w:pPr>
        <w:rPr>
          <w:sz w:val="2"/>
          <w:szCs w:val="2"/>
        </w:rPr>
        <w:sectPr w:rsidR="003F74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07"/>
        <w:ind w:left="760" w:right="33" w:hanging="360"/>
        <w:jc w:val="both"/>
      </w:pPr>
      <w:r>
        <w:lastRenderedPageBreak/>
        <w:t>Ze strany ATIC došlo k poskytnutí služeb pro M</w:t>
      </w:r>
      <w:r w:rsidR="00C675FA">
        <w:t>S</w:t>
      </w:r>
      <w:r>
        <w:t>IC v následujícím rozsahu: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4"/>
        </w:numPr>
        <w:shd w:val="clear" w:color="auto" w:fill="auto"/>
        <w:tabs>
          <w:tab w:val="left" w:pos="1323"/>
        </w:tabs>
        <w:spacing w:before="0" w:line="240" w:lineRule="exact"/>
        <w:ind w:left="1320" w:right="33" w:hanging="360"/>
        <w:jc w:val="both"/>
      </w:pPr>
      <w:r>
        <w:t xml:space="preserve">konzultace </w:t>
      </w:r>
      <w:r>
        <w:rPr>
          <w:rStyle w:val="Bodytext2Bold"/>
        </w:rPr>
        <w:t>přípravy Centra pr</w:t>
      </w:r>
      <w:r>
        <w:rPr>
          <w:rStyle w:val="Bodytext2Bold"/>
        </w:rPr>
        <w:t xml:space="preserve">ůmyslové kompetence </w:t>
      </w:r>
      <w:r>
        <w:t>podporující digitalizaci</w:t>
      </w:r>
      <w:r>
        <w:br/>
        <w:t>výroby v malých a středních firmách v MS kraji, které vyústily mj. v přípravu M</w:t>
      </w:r>
      <w:r w:rsidR="00C675FA">
        <w:t>S</w:t>
      </w:r>
      <w:r>
        <w:t>IC</w:t>
      </w:r>
      <w:r>
        <w:br/>
        <w:t>spin-</w:t>
      </w:r>
      <w:proofErr w:type="spellStart"/>
      <w:r>
        <w:t>off</w:t>
      </w:r>
      <w:proofErr w:type="spellEnd"/>
      <w:r>
        <w:t xml:space="preserve"> společnosti poskytující služby na ryze komerční bázi (lndustry4Future s.r.o.),</w:t>
      </w:r>
    </w:p>
    <w:p w:rsidR="003F748E" w:rsidRDefault="001517FA">
      <w:pPr>
        <w:pStyle w:val="Bodytext30"/>
        <w:framePr w:w="9120" w:h="12430" w:hRule="exact" w:wrap="none" w:vAnchor="page" w:hAnchor="page" w:x="1406" w:y="1397"/>
        <w:shd w:val="clear" w:color="auto" w:fill="auto"/>
        <w:ind w:left="1320"/>
      </w:pPr>
      <w:r>
        <w:t>v celkovém rozsahu 25 hodin,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4"/>
        </w:numPr>
        <w:shd w:val="clear" w:color="auto" w:fill="auto"/>
        <w:tabs>
          <w:tab w:val="left" w:pos="1323"/>
        </w:tabs>
        <w:spacing w:before="0" w:line="240" w:lineRule="exact"/>
        <w:ind w:left="1320" w:right="33" w:hanging="360"/>
        <w:jc w:val="both"/>
      </w:pPr>
      <w:r>
        <w:rPr>
          <w:rStyle w:val="Bodytext2Bold"/>
        </w:rPr>
        <w:t xml:space="preserve">vyjednávání se zástupci Evropské investiční banky (EIB) </w:t>
      </w:r>
      <w:r>
        <w:t>při koncipování</w:t>
      </w:r>
      <w:r>
        <w:br/>
        <w:t>financování strategických projektů RIS MSK, které vyústilo v přípravu společného</w:t>
      </w:r>
      <w:r>
        <w:br/>
        <w:t>projektu MŠIC, Moravskoslezského kraje a Statutárního města Ostravy pro rozvoj</w:t>
      </w:r>
      <w:r>
        <w:br/>
      </w:r>
      <w:r>
        <w:rPr>
          <w:lang w:val="en-US" w:eastAsia="en-US" w:bidi="en-US"/>
        </w:rPr>
        <w:t xml:space="preserve">science-technology </w:t>
      </w:r>
      <w:r>
        <w:t>parku</w:t>
      </w:r>
      <w:r>
        <w:t xml:space="preserve">, jenž má ambici získat až </w:t>
      </w:r>
      <w:proofErr w:type="gramStart"/>
      <w:r>
        <w:t>100.000.000,-</w:t>
      </w:r>
      <w:proofErr w:type="gramEnd"/>
      <w:r>
        <w:t xml:space="preserve"> EUR právě z EIB,</w:t>
      </w:r>
    </w:p>
    <w:p w:rsidR="003F748E" w:rsidRDefault="001517FA">
      <w:pPr>
        <w:pStyle w:val="Bodytext30"/>
        <w:framePr w:w="9120" w:h="12430" w:hRule="exact" w:wrap="none" w:vAnchor="page" w:hAnchor="page" w:x="1406" w:y="1397"/>
        <w:shd w:val="clear" w:color="auto" w:fill="auto"/>
        <w:ind w:left="1320"/>
      </w:pPr>
      <w:r>
        <w:t>v celkovém rozsahu 15 hodin,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4"/>
        </w:numPr>
        <w:shd w:val="clear" w:color="auto" w:fill="auto"/>
        <w:tabs>
          <w:tab w:val="left" w:pos="1323"/>
        </w:tabs>
        <w:spacing w:before="0" w:after="120" w:line="240" w:lineRule="exact"/>
        <w:ind w:left="1320" w:right="33" w:hanging="360"/>
        <w:jc w:val="both"/>
      </w:pPr>
      <w:r>
        <w:t>příprava návrhu společného projektu M</w:t>
      </w:r>
      <w:r w:rsidR="00C675FA">
        <w:t>S</w:t>
      </w:r>
      <w:r>
        <w:t>IC, Moravskoslezského kraje a Statutárního</w:t>
      </w:r>
      <w:r>
        <w:br/>
        <w:t>města Ostravy na podporu sdílené elektromobility v MSK, s pilotním ověřením</w:t>
      </w:r>
      <w:r>
        <w:br/>
        <w:t>v rámci Ostr</w:t>
      </w:r>
      <w:r>
        <w:t>avy a areálu M</w:t>
      </w:r>
      <w:r w:rsidR="00C675FA">
        <w:t>S</w:t>
      </w:r>
      <w:r>
        <w:t xml:space="preserve">IC v </w:t>
      </w:r>
      <w:proofErr w:type="spellStart"/>
      <w:r>
        <w:t>Porubě</w:t>
      </w:r>
      <w:proofErr w:type="spellEnd"/>
      <w:r>
        <w:t>, s využitím technologií BMW, kterážto</w:t>
      </w:r>
      <w:r>
        <w:br/>
        <w:t>možnost se otevírá v návaznosti na některé projekty budovaného technologického</w:t>
      </w:r>
      <w:r>
        <w:br/>
        <w:t xml:space="preserve">centra ATIC, </w:t>
      </w:r>
      <w:r>
        <w:rPr>
          <w:rStyle w:val="Bodytext2Bold"/>
        </w:rPr>
        <w:t>v celkovém rozsahu 10 hodin.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shd w:val="clear" w:color="auto" w:fill="auto"/>
        <w:spacing w:before="0" w:after="116" w:line="240" w:lineRule="exact"/>
        <w:ind w:left="760" w:right="33" w:firstLine="0"/>
        <w:jc w:val="both"/>
      </w:pPr>
      <w:r>
        <w:t xml:space="preserve">přičemž </w:t>
      </w:r>
      <w:r>
        <w:rPr>
          <w:rStyle w:val="Bodytext2Bold"/>
        </w:rPr>
        <w:t xml:space="preserve">hodinová konzultační sazba ATIC, </w:t>
      </w:r>
      <w:r>
        <w:t>s ohledem na osobu poskytující konzultace,</w:t>
      </w:r>
      <w:r>
        <w:br/>
        <w:t xml:space="preserve">tj. Jana Rašku, </w:t>
      </w:r>
      <w:r>
        <w:rPr>
          <w:rStyle w:val="Bodytext2Bold"/>
        </w:rPr>
        <w:t xml:space="preserve">činí </w:t>
      </w:r>
      <w:proofErr w:type="gramStart"/>
      <w:r>
        <w:rPr>
          <w:rStyle w:val="Bodytext2Bold"/>
        </w:rPr>
        <w:t>4.000,-</w:t>
      </w:r>
      <w:proofErr w:type="gramEnd"/>
      <w:r>
        <w:rPr>
          <w:rStyle w:val="Bodytext2Bold"/>
        </w:rPr>
        <w:t xml:space="preserve"> Kč bez DPH. </w:t>
      </w:r>
      <w:r>
        <w:t>Celková pohledávka ATIC vůči M</w:t>
      </w:r>
      <w:r w:rsidR="00C675FA">
        <w:t>S</w:t>
      </w:r>
      <w:r>
        <w:t>IC činí</w:t>
      </w:r>
      <w:r>
        <w:br/>
        <w:t>200.000,- Kč bez DPH.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37" w:line="245" w:lineRule="exact"/>
        <w:ind w:left="760" w:right="33" w:hanging="360"/>
        <w:jc w:val="both"/>
      </w:pPr>
      <w:r>
        <w:t>M</w:t>
      </w:r>
      <w:r w:rsidR="00C675FA">
        <w:t>S</w:t>
      </w:r>
      <w:r>
        <w:t xml:space="preserve">IC tímto prohlašuje a činí nesporným, že k poskytnutí služeb ve výše </w:t>
      </w:r>
      <w:r>
        <w:t>uvedeném rozsahu</w:t>
      </w:r>
      <w:r>
        <w:br/>
        <w:t>došlo a zavazuje se tímto uhradit dlužnou částku nejpozději do 31. 3. 2019,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00"/>
        <w:ind w:left="760" w:right="33" w:hanging="360"/>
        <w:jc w:val="both"/>
      </w:pPr>
      <w:r>
        <w:t>ATIC svým podpisem stvrzuje, že souhlasí v plném rozsahu s prohlášením M</w:t>
      </w:r>
      <w:r w:rsidR="00C675FA">
        <w:t>S</w:t>
      </w:r>
      <w:r>
        <w:t>IC.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28" w:line="250" w:lineRule="exact"/>
        <w:ind w:left="760" w:right="33" w:hanging="360"/>
        <w:jc w:val="both"/>
      </w:pPr>
      <w:r>
        <w:t>Nesplní-li MŠIC povinnosti vyplývající z této dohody, má ATIC právo od této dohody</w:t>
      </w:r>
      <w:r>
        <w:br/>
        <w:t>ods</w:t>
      </w:r>
      <w:r>
        <w:t>toupit.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20" w:line="240" w:lineRule="exact"/>
        <w:ind w:left="760" w:right="33" w:hanging="360"/>
        <w:jc w:val="both"/>
      </w:pPr>
      <w:r>
        <w:t>Po splnění povinností vyplývajících z této dohody, budou účastníci zcela vyrovnáni</w:t>
      </w:r>
      <w:r>
        <w:br/>
        <w:t>a nebudou mít vůči sobě v souvislosti se smlouvou o dílo, žádné závazky, či nároky.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20" w:line="240" w:lineRule="exact"/>
        <w:ind w:left="760" w:right="33" w:hanging="360"/>
        <w:jc w:val="both"/>
      </w:pPr>
      <w:r>
        <w:t>Veškeré informace, které jedna smluvní strana druhé smluvní straně sdělí, či jina</w:t>
      </w:r>
      <w:r>
        <w:t>k</w:t>
      </w:r>
      <w:r>
        <w:br/>
        <w:t>zpřístupní v souvislosti s jednáním nebo realizací plnění dle této smlouvy, nesmí druhá</w:t>
      </w:r>
      <w:r>
        <w:br/>
        <w:t>smluvní strana zpřístupnit třetí osobě ani je použít v rozporu s jejich účelem pro své potřeby,</w:t>
      </w:r>
      <w:r>
        <w:br/>
        <w:t>nebo pro jiné osoby.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20" w:line="240" w:lineRule="exact"/>
        <w:ind w:left="760" w:right="33" w:hanging="360"/>
        <w:jc w:val="both"/>
      </w:pPr>
      <w:r>
        <w:t>Pro účely doručování písemností souvisejících s t</w:t>
      </w:r>
      <w:r>
        <w:t>outo smlouvou smluvní strany prohlašují</w:t>
      </w:r>
      <w:r>
        <w:br/>
        <w:t>za závazné adresy uvedené v záhlaví této smlouvy. Jejich změnu je smluvní strana povinna</w:t>
      </w:r>
      <w:r>
        <w:br/>
        <w:t>bez zbytečného odkladu prokazatelně oznámit druhé smluvní straně. V opačném případě</w:t>
      </w:r>
      <w:r>
        <w:br/>
        <w:t>platí, že tato smluvní strana zmařila dojit</w:t>
      </w:r>
      <w:r>
        <w:t>í zásilky a ta se má za řádně došlou, nebude-li</w:t>
      </w:r>
      <w:r>
        <w:br/>
        <w:t>prokázán opak.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20" w:line="240" w:lineRule="exact"/>
        <w:ind w:left="760" w:right="33" w:hanging="360"/>
        <w:jc w:val="both"/>
      </w:pPr>
      <w:r>
        <w:t xml:space="preserve">Tuto smlouvu lze měnit pouze písemnými dodatky. K </w:t>
      </w:r>
      <w:proofErr w:type="gramStart"/>
      <w:r>
        <w:t>ujednáním</w:t>
      </w:r>
      <w:proofErr w:type="gramEnd"/>
      <w:r>
        <w:t xml:space="preserve"> byť jen o vedlejších</w:t>
      </w:r>
      <w:r>
        <w:br/>
        <w:t>náležitostech této smlouvy týkajících se práv a povinností smluvních stran v souvislosti</w:t>
      </w:r>
      <w:r>
        <w:br/>
        <w:t xml:space="preserve">s obsahem a </w:t>
      </w:r>
      <w:r>
        <w:t>předmětem této smlouvy učiněným smluvními stranami v jiné než písemné</w:t>
      </w:r>
      <w:r>
        <w:br/>
        <w:t>formě se nepřihlíží. Právní následky nedostatku písemné formy nastanou i v případě, kdy</w:t>
      </w:r>
      <w:r>
        <w:br/>
        <w:t>bylo mezi smluvními stranami započato ve vzájemném plnění práv a povinností.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116" w:line="240" w:lineRule="exact"/>
        <w:ind w:left="760" w:right="33" w:hanging="360"/>
        <w:jc w:val="both"/>
      </w:pPr>
      <w:r>
        <w:t>Smluvní strany shodně</w:t>
      </w:r>
      <w:r>
        <w:t xml:space="preserve"> prohlašují a svými podpisy potvrzují, že si tuto smlouvu před jejím</w:t>
      </w:r>
      <w:r>
        <w:br/>
        <w:t>podpisem přečetly, s jejím obsahem souhlasí a že byla uzavřena po vzájemném</w:t>
      </w:r>
      <w:r>
        <w:br/>
        <w:t>projednání, podle jejich pravé a svobodné vůle, určitě, vážně a srozumitelně, přičemž</w:t>
      </w:r>
      <w:r>
        <w:br/>
        <w:t>autentičnost této smlouvy</w:t>
      </w:r>
      <w:r>
        <w:t xml:space="preserve"> potvrzují svými vlastnoručními podpisy.</w:t>
      </w:r>
    </w:p>
    <w:p w:rsidR="003F748E" w:rsidRDefault="001517FA">
      <w:pPr>
        <w:pStyle w:val="Bodytext20"/>
        <w:framePr w:w="9120" w:h="12430" w:hRule="exact" w:wrap="none" w:vAnchor="page" w:hAnchor="page" w:x="1406" w:y="1397"/>
        <w:numPr>
          <w:ilvl w:val="0"/>
          <w:numId w:val="3"/>
        </w:numPr>
        <w:shd w:val="clear" w:color="auto" w:fill="auto"/>
        <w:tabs>
          <w:tab w:val="left" w:pos="790"/>
        </w:tabs>
        <w:spacing w:before="0" w:line="245" w:lineRule="exact"/>
        <w:ind w:left="760" w:right="33" w:hanging="360"/>
        <w:jc w:val="both"/>
      </w:pPr>
      <w:r>
        <w:t>Tato smlouva je vyhotovena ve dvou vyhotoveních, kdy každá ze smluvních stran obdrží</w:t>
      </w:r>
      <w:r>
        <w:br/>
        <w:t>po jednom originále.</w:t>
      </w:r>
    </w:p>
    <w:p w:rsidR="003F748E" w:rsidRDefault="001517FA">
      <w:pPr>
        <w:pStyle w:val="Picturecaption20"/>
        <w:framePr w:w="3677" w:h="748" w:hRule="exact" w:wrap="none" w:vAnchor="page" w:hAnchor="page" w:x="1977" w:y="14612"/>
        <w:shd w:val="clear" w:color="auto" w:fill="auto"/>
      </w:pPr>
      <w:r>
        <w:t>Moravskoslezské inovační centrum Ostrava, a.s.</w:t>
      </w:r>
    </w:p>
    <w:p w:rsidR="003F748E" w:rsidRDefault="001517FA">
      <w:pPr>
        <w:pStyle w:val="Picturecaption0"/>
        <w:framePr w:w="3677" w:h="748" w:hRule="exact" w:wrap="none" w:vAnchor="page" w:hAnchor="page" w:x="1977" w:y="14612"/>
        <w:shd w:val="clear" w:color="auto" w:fill="auto"/>
        <w:spacing w:line="226" w:lineRule="exact"/>
      </w:pPr>
      <w:r>
        <w:t>Pavel Csank, předseda představenstva</w:t>
      </w:r>
    </w:p>
    <w:p w:rsidR="003F748E" w:rsidRDefault="001517FA">
      <w:pPr>
        <w:pStyle w:val="Picturecaption0"/>
        <w:framePr w:wrap="none" w:vAnchor="page" w:hAnchor="page" w:x="7050" w:y="14838"/>
        <w:shd w:val="clear" w:color="auto" w:fill="auto"/>
      </w:pPr>
      <w:r>
        <w:t>Jan Raška, jednatel</w:t>
      </w:r>
    </w:p>
    <w:p w:rsidR="003F748E" w:rsidRDefault="003F748E">
      <w:pPr>
        <w:rPr>
          <w:sz w:val="2"/>
          <w:szCs w:val="2"/>
        </w:rPr>
      </w:pPr>
    </w:p>
    <w:sectPr w:rsidR="003F74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7FA" w:rsidRDefault="001517FA">
      <w:r>
        <w:separator/>
      </w:r>
    </w:p>
  </w:endnote>
  <w:endnote w:type="continuationSeparator" w:id="0">
    <w:p w:rsidR="001517FA" w:rsidRDefault="0015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7FA" w:rsidRDefault="001517FA"/>
  </w:footnote>
  <w:footnote w:type="continuationSeparator" w:id="0">
    <w:p w:rsidR="001517FA" w:rsidRDefault="001517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7958"/>
    <w:multiLevelType w:val="multilevel"/>
    <w:tmpl w:val="F95A9F9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8C1DAF"/>
    <w:multiLevelType w:val="multilevel"/>
    <w:tmpl w:val="0230563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975B5"/>
    <w:multiLevelType w:val="multilevel"/>
    <w:tmpl w:val="F084AF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883801"/>
    <w:multiLevelType w:val="multilevel"/>
    <w:tmpl w:val="7C9852D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8E"/>
    <w:rsid w:val="000D36A1"/>
    <w:rsid w:val="001517FA"/>
    <w:rsid w:val="003F748E"/>
    <w:rsid w:val="008F2A00"/>
    <w:rsid w:val="00B948AF"/>
    <w:rsid w:val="00C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23F4"/>
  <w15:docId w15:val="{39132BB8-CDD8-4E32-8F41-0AF8361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12ptItalic">
    <w:name w:val="Other + Arial;12 pt;Italic"/>
    <w:basedOn w:val="Oth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ArialBold">
    <w:name w:val="Other + Arial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4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40" w:line="224" w:lineRule="exact"/>
      <w:ind w:hanging="620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20" w:line="235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20"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Pálová</dc:creator>
  <cp:lastModifiedBy>Olga Palová</cp:lastModifiedBy>
  <cp:revision>3</cp:revision>
  <dcterms:created xsi:type="dcterms:W3CDTF">2019-03-28T08:50:00Z</dcterms:created>
  <dcterms:modified xsi:type="dcterms:W3CDTF">2019-03-28T08:52:00Z</dcterms:modified>
</cp:coreProperties>
</file>