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257810" distB="213360" distL="1304925" distR="1012825" simplePos="0" relativeHeight="125829378" behindDoc="0" locked="0" layoutInCell="1" allowOverlap="1">
                <wp:simplePos x="0" y="0"/>
                <wp:positionH relativeFrom="page">
                  <wp:posOffset>2941320</wp:posOffset>
                </wp:positionH>
                <wp:positionV relativeFrom="paragraph">
                  <wp:posOffset>485140</wp:posOffset>
                </wp:positionV>
                <wp:extent cx="1173480" cy="22860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348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Dodatek 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1.59999999999999pt;margin-top:38.200000000000003pt;width:92.400000000000006pt;height:18.pt;z-index:-125829375;mso-wrap-distance-left:102.75pt;mso-wrap-distance-top:20.300000000000001pt;mso-wrap-distance-right:79.75pt;mso-wrap-distance-bottom:16.8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Dodatek 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8475" distB="0" distL="88900" distR="951865" simplePos="0" relativeHeight="125829380" behindDoc="0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725805</wp:posOffset>
                </wp:positionV>
                <wp:extent cx="2450465" cy="20129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5046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ke Smlouvě o kontrolní 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35.84999999999999pt;margin-top:57.149999999999999pt;width:192.94999999999999pt;height:15.85pt;z-index:-125829373;mso-wrap-distance-left:7.pt;mso-wrap-distance-top:39.25pt;mso-wrap-distance-right:74.95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ke Smlouvě o kontrolní 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90500" distB="30480" distL="2542540" distR="88900" simplePos="0" relativeHeight="125829382" behindDoc="0" locked="0" layoutInCell="1" allowOverlap="1">
            <wp:simplePos x="0" y="0"/>
            <wp:positionH relativeFrom="page">
              <wp:posOffset>4178935</wp:posOffset>
            </wp:positionH>
            <wp:positionV relativeFrom="paragraph">
              <wp:posOffset>417830</wp:posOffset>
            </wp:positionV>
            <wp:extent cx="859790" cy="48133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59790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14300" distL="0" distR="0" simplePos="0" relativeHeight="125829383" behindDoc="0" locked="0" layoutInCell="1" allowOverlap="1">
            <wp:simplePos x="0" y="0"/>
            <wp:positionH relativeFrom="page">
              <wp:posOffset>6437630</wp:posOffset>
            </wp:positionH>
            <wp:positionV relativeFrom="paragraph">
              <wp:posOffset>579120</wp:posOffset>
            </wp:positionV>
            <wp:extent cx="372110" cy="20701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72110" cy="2070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6 ke smlouvě č. 090120239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č.: 1 Z1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cs-CZ" w:eastAsia="cs-CZ" w:bidi="cs-CZ"/>
        </w:rPr>
        <w:t>ČINY příspěvková organizace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2240" w:h="20160"/>
          <w:pgMar w:top="206" w:left="4474" w:right="797" w:bottom="4564" w:header="0" w:footer="4136" w:gutter="0"/>
          <w:pgNumType w:start="1"/>
          <w:cols w:num="2" w:space="355"/>
          <w:noEndnote/>
          <w:rtlGutter w:val="0"/>
          <w:docGrid w:linePitch="360"/>
        </w:sectPr>
      </w:pPr>
      <w:r>
        <w:rPr>
          <w:smallCap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SMLOUVA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registpována</w:t>
      </w:r>
    </w:p>
    <w:tbl>
      <w:tblPr>
        <w:tblOverlap w:val="never"/>
        <w:jc w:val="center"/>
        <w:tblLayout w:type="fixed"/>
      </w:tblPr>
      <w:tblGrid>
        <w:gridCol w:w="1781"/>
        <w:gridCol w:w="3168"/>
        <w:gridCol w:w="1824"/>
        <w:gridCol w:w="3130"/>
      </w:tblGrid>
      <w:tr>
        <w:trPr>
          <w:trHeight w:val="33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Kontrolor: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</w:tr>
      <w:tr>
        <w:trPr>
          <w:trHeight w:val="43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Technický a zkušební ústav stavební Praha, s.p.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Krajská správa a údržba silnic Vysočiny, p.o.</w:t>
            </w:r>
          </w:p>
        </w:tc>
      </w:tr>
      <w:tr>
        <w:trPr>
          <w:trHeight w:val="442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Autorizovaná osoba 204 dle zák. č. 22/1997 Sb.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Prosecká 76a, 190 00 Praha 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Kosovská 1122/16,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586 01 Jihlava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IČ:00015679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DIČ : CZ00015679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 00090450 DIČ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: CZ00090450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Komerční banka a.s.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KB Jihlava</w:t>
            </w:r>
          </w:p>
        </w:tc>
      </w:tr>
      <w:tr>
        <w:trPr>
          <w:trHeight w:val="19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číslo účtu: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č.účtu: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Ing. Janem Mikou</w:t>
            </w:r>
          </w:p>
        </w:tc>
      </w:tr>
      <w:tr>
        <w:trPr>
          <w:trHeight w:val="59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40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ředitelem pobočky TZÚS - TIS Prosecká 76a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40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190 00 Praha 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ředitelem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vedoucí těch, správ, odd.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vedoucí posuzovatelé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Zápis v Obchodním rejstříku vedeném Městským soudem v Praze, oddíl ALX, vložka 711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20160"/>
          <w:pgMar w:top="206" w:left="1080" w:right="797" w:bottom="456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95910" distB="1654810" distL="126365" distR="6243955" simplePos="0" relativeHeight="12582938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margin">
                  <wp:posOffset>3983990</wp:posOffset>
                </wp:positionV>
                <wp:extent cx="125095" cy="161290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09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7.600000000000001pt;margin-top:313.69999999999999pt;width:9.8499999999999996pt;height:12.699999999999999pt;z-index:-125829369;mso-wrap-distance-left:9.9499999999999993pt;mso-wrap-distance-top:23.300000000000001pt;mso-wrap-distance-right:491.64999999999998pt;mso-wrap-distance-bottom:130.3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73150" distB="877570" distL="117475" distR="6243955" simplePos="0" relativeHeight="125829386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margin">
                  <wp:posOffset>4761230</wp:posOffset>
                </wp:positionV>
                <wp:extent cx="133985" cy="161290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98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6.899999999999999pt;margin-top:374.89999999999998pt;width:10.550000000000001pt;height:12.699999999999999pt;z-index:-125829367;mso-wrap-distance-left:9.25pt;mso-wrap-distance-top:84.5pt;mso-wrap-distance-right:491.64999999999998pt;mso-wrap-distance-bottom:69.09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59535" distB="591185" distL="117475" distR="6243955" simplePos="0" relativeHeight="125829388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margin">
                  <wp:posOffset>5047615</wp:posOffset>
                </wp:positionV>
                <wp:extent cx="133985" cy="16129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98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56.899999999999999pt;margin-top:397.44999999999999pt;width:10.550000000000001pt;height:12.699999999999999pt;z-index:-125829365;mso-wrap-distance-left:9.25pt;mso-wrap-distance-top:107.05pt;mso-wrap-distance-right:491.64999999999998pt;mso-wrap-distance-bottom:46.54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52270" distB="298450" distL="114300" distR="6243955" simplePos="0" relativeHeight="12582939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margin">
                  <wp:posOffset>5340350</wp:posOffset>
                </wp:positionV>
                <wp:extent cx="137160" cy="161290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16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56.649999999999999pt;margin-top:420.5pt;width:10.800000000000001pt;height:12.699999999999999pt;z-index:-125829363;mso-wrap-distance-left:9.pt;mso-wrap-distance-top:130.09999999999999pt;mso-wrap-distance-right:491.64999999999998pt;mso-wrap-distance-bottom:23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334010" distR="114300" simplePos="0" relativeHeight="125829392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margin">
                  <wp:posOffset>3688080</wp:posOffset>
                </wp:positionV>
                <wp:extent cx="6047105" cy="2112010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47105" cy="2112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ČI. I.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Předmět plnění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Kontrolor jako autorizovaná osoba 204 provede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kontrolu dodržení stanovených požadavků na výrobky,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tj. Dohled nad řádným fungováním systému řízení výroby u výrobce na výrobky: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424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Výrobek: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OKVS 8 (obalované kamenivo pro výspravu asfaltových vozovek za studená)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Technická specifikace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ČSN 73 6121, příslušný TPD, Stavební technické osvědčení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410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výroby.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Obalovna pracoviště Jihlava, Kosovská 1122/16, 586 01 Jihlava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Kontrolor vypracuje zprávy autorizované osoby o provedení dohledu objednateli, ve které na základě vyhodnocení výsledků dohledu potvrdí platnost nebo neplatnost dosud vydaného certifikátu.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Kontrolor vydá zprávu autorizované osoby objednateli za předpokladu uhrazení úplaty podle vystavené faktury.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 předmětného výrobku končí platnost STO k 30.06.2018, z tohoto důvodu bude provedena nová certifikace výrobku dle nařízení vlády č. 163/2002 Sb., ve znění nařízení vlády č. 312/2005 Sb. a nařízení vlády č. 215/2016 Sb.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73.950000000000003pt;margin-top:290.39999999999998pt;width:476.14999999999998pt;height:166.30000000000001pt;z-index:-125829361;mso-wrap-distance-left:26.300000000000001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ČI. I.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Předmět plnění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Kontrolor jako autorizovaná osoba 204 provede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kontrolu dodržení stanovených požadavků na výrobky,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tj. Dohled nad řádným fungováním systému řízení výroby u výrobce na výrobky: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24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Výrobek: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OKVS 8 (obalované kamenivo pro výspravu asfaltových vozovek za studená)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Technická specifikace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ČSN 73 6121, příslušný TPD, Stavební technické osvědčení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10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 výroby.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Obalovna pracoviště Jihlava, Kosovská 1122/16, 586 01 Jihlava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Kontrolor vypracuje zprávy autorizované osoby o provedení dohledu objednateli, ve které na základě vyhodnocení výsledků dohledu potvrdí platnost nebo neplatnost dosud vydaného certifikátu.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Kontrolor vydá zprávu autorizované osoby objednateli za předpokladu uhrazení úplaty podle vystavené faktury.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 předmětného výrobku končí platnost STO k 30.06.2018, z tohoto důvodu bude provedena nová certifikace výrobku dle nařízení vlády č. 163/2002 Sb., ve znění nařízení vlády č. 312/2005 Sb. a nařízení vlády č. 215/2016 Sb.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dohodli na těchto ustanoveních dodatku k výše uvedené smlouvě:</w:t>
      </w:r>
    </w:p>
    <w:p>
      <w:pPr>
        <w:widowControl w:val="0"/>
        <w:spacing w:before="2" w:after="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20160"/>
          <w:pgMar w:top="206" w:left="0" w:right="0" w:bottom="20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II.</w:t>
        <w:br/>
        <w:t>Doba plnění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0" w:val="left"/>
        </w:tabs>
        <w:bidi w:val="0"/>
        <w:spacing w:before="0" w:after="48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Kontrolor provede u objednavatele dohled v termínu do 2 měsíce ode dne úhrady faktury dle čl. III.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left="47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III.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Úplata za kontrolní činnost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/>
        <w:ind w:left="3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1. Za provedení dohledu v rozsahu plnění dle čl. I odst. 1, 2, 3 a 4 tohoto dodatku smlouvy sjednávají objednavatel a kontrolor v souladu se zákonem o cenách úplatu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30 000,-Kč + 21% DPH a cestovní náklady.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částka může být zvýšena v případě zjištění neshod o cenu prací potřebných k došetření a ověření účinnosti přijatých nápravných opatření, respektive namátkových kontrol provedených kontrolorem.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left="47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IV.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</w:p>
    <w:p>
      <w:pPr>
        <w:pStyle w:val="Style1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0" w:val="left"/>
        </w:tabs>
        <w:bidi w:val="0"/>
        <w:spacing w:before="0" w:after="0" w:line="259" w:lineRule="auto"/>
        <w:ind w:left="420" w:right="0" w:hanging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srozuměn, že v případě nesplnění ustanovení čl. I. odst. 3 zmařil vlastním zaviněním možnost vydání zprávy o provedení dohledu autorizovanou osobou.</w:t>
      </w:r>
    </w:p>
    <w:p>
      <w:pPr>
        <w:pStyle w:val="Style1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4" w:val="left"/>
        </w:tabs>
        <w:bidi w:val="0"/>
        <w:spacing w:before="0" w:after="18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Tímto dodatkem nejsou dotčena ustanovení Smlouvy o kontrolní činnosti č. 090120239.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6501" w:val="left"/>
        </w:tabs>
        <w:bidi w:val="0"/>
        <w:spacing w:before="0" w:after="78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\/ HhiowA </w:t>
      </w:r>
      <w:r>
        <w:rPr>
          <w:smallCap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r™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LwA+no on-i a</w:t>
        <w:tab/>
        <w:t>V Praze dne 28. května 2018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 Mika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zastupující objednával</w:t>
      </w:r>
    </w:p>
    <w:sectPr>
      <w:footnotePr>
        <w:pos w:val="pageBottom"/>
        <w:numFmt w:val="decimal"/>
        <w:numRestart w:val="continuous"/>
      </w:footnotePr>
      <w:type w:val="continuous"/>
      <w:pgSz w:w="12240" w:h="20160"/>
      <w:pgMar w:top="206" w:left="1080" w:right="797" w:bottom="20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740410</wp:posOffset>
              </wp:positionH>
              <wp:positionV relativeFrom="page">
                <wp:posOffset>155575</wp:posOffset>
              </wp:positionV>
              <wp:extent cx="1652270" cy="13081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5227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TZÚS Praha, s.p. - pobočka TIS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8.299999999999997pt;margin-top:12.25pt;width:130.09999999999999pt;height:10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TZÚS Praha, s.p. - pobočka TIS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421005</wp:posOffset>
              </wp:positionV>
              <wp:extent cx="6266815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668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649999999999999pt;margin-top:33.149999999999999pt;width:49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6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Základní text (4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 (3)_"/>
    <w:basedOn w:val="DefaultParagraphFont"/>
    <w:link w:val="Style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CharStyle15">
    <w:name w:val="Základní text (5)_"/>
    <w:basedOn w:val="DefaultParagraphFont"/>
    <w:link w:val="Style14"/>
    <w:rPr>
      <w:rFonts w:ascii="Segoe UI" w:eastAsia="Segoe UI" w:hAnsi="Segoe UI" w:cs="Segoe UI"/>
      <w:b w:val="0"/>
      <w:bCs w:val="0"/>
      <w:i w:val="0"/>
      <w:iCs w:val="0"/>
      <w:smallCaps/>
      <w:strike w:val="0"/>
      <w:sz w:val="19"/>
      <w:szCs w:val="19"/>
      <w:u w:val="none"/>
    </w:rPr>
  </w:style>
  <w:style w:type="character" w:customStyle="1" w:styleId="CharStyle18">
    <w:name w:val="Základní text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">
    <w:name w:val="Titulek tabulky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4">
    <w:name w:val="Jiné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6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Základní text (4)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spacing w:line="286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paragraph" w:customStyle="1" w:styleId="Style14">
    <w:name w:val="Základní text (5)"/>
    <w:basedOn w:val="Normal"/>
    <w:link w:val="CharStyle15"/>
    <w:pPr>
      <w:widowControl w:val="0"/>
      <w:shd w:val="clear" w:color="auto" w:fill="FFFFFF"/>
    </w:pPr>
    <w:rPr>
      <w:rFonts w:ascii="Segoe UI" w:eastAsia="Segoe UI" w:hAnsi="Segoe UI" w:cs="Segoe UI"/>
      <w:b w:val="0"/>
      <w:bCs w:val="0"/>
      <w:i w:val="0"/>
      <w:iCs w:val="0"/>
      <w:smallCaps/>
      <w:strike w:val="0"/>
      <w:sz w:val="19"/>
      <w:szCs w:val="19"/>
      <w:u w:val="none"/>
    </w:rPr>
  </w:style>
  <w:style w:type="paragraph" w:customStyle="1" w:styleId="Style17">
    <w:name w:val="Základní text"/>
    <w:basedOn w:val="Normal"/>
    <w:link w:val="CharStyle18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1">
    <w:name w:val="Titulek tabulky"/>
    <w:basedOn w:val="Normal"/>
    <w:link w:val="CharStyle2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3">
    <w:name w:val="Jiné"/>
    <w:basedOn w:val="Normal"/>
    <w:link w:val="CharStyle24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header" Target="header1.xml"/></Relationships>
</file>