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494665</wp:posOffset>
                </wp:positionH>
                <wp:positionV relativeFrom="paragraph">
                  <wp:posOffset>12700</wp:posOffset>
                </wp:positionV>
                <wp:extent cx="2409190" cy="5854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919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950000000000003pt;margin-top:1.pt;width:189.69999999999999pt;height:46.1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1983105</wp:posOffset>
            </wp:positionH>
            <wp:positionV relativeFrom="paragraph">
              <wp:posOffset>285750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07" w:val="left"/>
        </w:tabs>
        <w:bidi w:val="0"/>
        <w:spacing w:before="0" w:after="0" w:line="276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35" w:val="left"/>
        </w:tabs>
        <w:bidi w:val="0"/>
        <w:spacing w:before="0" w:after="16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244" w:val="left"/>
        </w:tabs>
        <w:bidi w:val="0"/>
        <w:spacing w:before="0" w:after="0" w:line="240" w:lineRule="auto"/>
        <w:ind w:left="0" w:right="0" w:hanging="372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66" w:left="4574" w:right="803" w:bottom="2106" w:header="538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objednávky; 75090865</w:t>
        <w:tab/>
        <w:t xml:space="preserve">Ze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dne: 31.05.2019</w:t>
      </w:r>
    </w:p>
    <w:tbl>
      <w:tblPr>
        <w:tblOverlap w:val="never"/>
        <w:jc w:val="center"/>
        <w:tblLayout w:type="fixed"/>
      </w:tblPr>
      <w:tblGrid>
        <w:gridCol w:w="1685"/>
        <w:gridCol w:w="2239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75090865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30.06.2019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ZR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Žďár nad Sázavou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430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Jihlavská</w:t>
        <w:tab/>
        <w:t>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591 01 Žďár nad Sázavou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2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CS,a.s. se sídlem Praha 1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 MUCODE 1528 závod Emulze Kolín Praha 6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54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 DIČ: CZ45274924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420" w:right="0" w:hanging="22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6" w:left="826" w:right="2588" w:bottom="2106" w:header="0" w:footer="3" w:gutter="0"/>
          <w:cols w:num="2" w:space="720" w:equalWidth="0">
            <w:col w:w="3924" w:space="202"/>
            <w:col w:w="4360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Žďár nad Sázavou Jihlavská 1 Žďár nad Sázavou 591 14</w:t>
      </w:r>
    </w:p>
    <w:p>
      <w:pPr>
        <w:pStyle w:val="Style16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2"/>
      <w:bookmarkEnd w:id="3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skutečnosti uvedené v této objednávce nepovažují za obchodní tajemství a udělují svolení k jejich zpřístupnění ve smyslu zák. č. 106/1999 Sb. a zveřejnění bez stanovení jakýchkoliv dalších podmínek.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bere na vědomi, že objednávka bude zveřejněna v informačním registru verejn správy v souladu se zák. č. 340/2015 Sb. o registru smluv. Současně se smluvní strany dohodly, že tuto zákonnou povinnost splní objednatel. Dodavatel výslovně souhlasí se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vztah se řídí zák. č. 89/2012 Sb. občanský zákoník.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se zavazuje, že v případě nesplnění termínu dodání zaplatí objednateli smluvní pokutu ve výši 0,02% z celkové ceny dodávky bez DPH za každ započatý den prodlení.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 w:line="266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 w:line="266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12" w:val="left"/>
          <w:tab w:pos="7641" w:val="left"/>
        </w:tabs>
        <w:bidi w:val="0"/>
        <w:spacing w:before="0" w:after="0" w:line="26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7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7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 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7" w:val="left"/>
        </w:tabs>
        <w:bidi w:val="0"/>
        <w:spacing w:before="0" w:after="0" w:line="266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č.N-D -1-201 -4 ID 805239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7" w:val="left"/>
        </w:tabs>
        <w:bidi w:val="0"/>
        <w:spacing w:before="0" w:after="0" w:line="288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mohou v souladu s § 2894 a násl. občanského zákoníku uplatnit i svá práva na náhradu škod v prokázané výši, která jim v souvislostí s porušením smluvní povinnosti druhou smluvní stranou vznikla;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povinnostem, k nimž se vztahují popsané smluvní pokuty, pak i vedle nároku na smluvní pokutu. V případě, že kterékoliv ze stran této smlouvy vznikne povinnost nahradit druhé straně škodu, je povinna nahradit škodu skutečnou i ušlý zisk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 w:line="266" w:lineRule="auto"/>
        <w:ind w:left="0" w:right="0" w:firstLine="0"/>
        <w:jc w:val="left"/>
      </w:pPr>
      <w:r>
        <mc:AlternateContent>
          <mc:Choice Requires="wps">
            <w:drawing>
              <wp:anchor distT="0" distB="342900" distL="76200" distR="76200" simplePos="0" relativeHeight="125829381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margin">
                  <wp:posOffset>-3810</wp:posOffset>
                </wp:positionV>
                <wp:extent cx="2391410" cy="23304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141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1.399999999999999pt;margin-top:-0.29999999999999999pt;width:188.30000000000001pt;height:18.350000000000001pt;z-index:-125829372;mso-wrap-distance-left:6.pt;mso-wrap-distance-right:6.pt;mso-wrap-distance-bottom:27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5750" distB="18415" distL="1559560" distR="101600" simplePos="0" relativeHeight="125829383" behindDoc="0" locked="0" layoutInCell="1" allowOverlap="1">
            <wp:simplePos x="0" y="0"/>
            <wp:positionH relativeFrom="page">
              <wp:posOffset>2009140</wp:posOffset>
            </wp:positionH>
            <wp:positionV relativeFrom="margin">
              <wp:posOffset>281940</wp:posOffset>
            </wp:positionV>
            <wp:extent cx="883920" cy="27432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margin">
                  <wp:posOffset>220345</wp:posOffset>
                </wp:positionV>
                <wp:extent cx="1481455" cy="35179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351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.399999999999999pt;margin-top:17.350000000000001pt;width:116.65000000000001pt;height:27.6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004" w:val="left"/>
        </w:tabs>
        <w:bidi w:val="0"/>
        <w:spacing w:before="0" w:after="100" w:line="266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935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4" w:left="826" w:right="793" w:bottom="1234" w:header="496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752475" distL="114300" distR="2985135" simplePos="0" relativeHeight="12582938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margin">
                  <wp:posOffset>946785</wp:posOffset>
                </wp:positionV>
                <wp:extent cx="2482850" cy="122745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2850" cy="122745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4"/>
                              <w:gridCol w:w="2236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75090865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30.06.2019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.75pt;margin-top:74.549999999999997pt;width:195.5pt;height:96.650000000000006pt;z-index:-125829369;mso-wrap-distance-left:9.pt;mso-wrap-distance-right:235.05000000000001pt;mso-wrap-distance-bottom:59.2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4"/>
                        <w:gridCol w:w="2236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750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75090865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30.06.2019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ZR</w:t>
                            </w:r>
                          </w:p>
                        </w:tc>
                      </w:tr>
                      <w:tr>
                        <w:trPr>
                          <w:trHeight w:val="34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430" distB="978535" distL="2717800" distR="114300" simplePos="0" relativeHeight="125829386" behindDoc="0" locked="0" layoutInCell="1" allowOverlap="1">
                <wp:simplePos x="0" y="0"/>
                <wp:positionH relativeFrom="page">
                  <wp:posOffset>3159125</wp:posOffset>
                </wp:positionH>
                <wp:positionV relativeFrom="margin">
                  <wp:posOffset>958215</wp:posOffset>
                </wp:positionV>
                <wp:extent cx="2750185" cy="98996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0185" cy="9899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4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EUROVIA CS,a.s. se sídlem Praha 1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Národní 138/10 PO Box 202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16041 MUCODE 1528 závod Emulze Kolín Praha 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45274924</w:t>
                              <w:tab/>
                              <w:t>DIČ: CZ45274924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8.75pt;margin-top:75.450000000000003pt;width:216.55000000000001pt;height:77.950000000000003pt;z-index:-125829367;mso-wrap-distance-left:214.pt;mso-wrap-distance-top:0.90000000000000002pt;mso-wrap-distance-right:9.pt;mso-wrap-distance-bottom:77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EUROVIA CS,a.s. se sídlem Praha 1</w:t>
                      </w:r>
                      <w:bookmarkEnd w:id="0"/>
                      <w:bookmarkEnd w:id="1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138/10 PO Box 202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16041 MUCODE 1528 závod Emulze Kolín Praha 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45274924</w:t>
                        <w:tab/>
                        <w:t>DIČ: CZ45274924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37310" distB="25400" distL="132715" distR="3497580" simplePos="0" relativeHeight="125829388" behindDoc="0" locked="0" layoutInCell="1" allowOverlap="1">
                <wp:simplePos x="0" y="0"/>
                <wp:positionH relativeFrom="page">
                  <wp:posOffset>574040</wp:posOffset>
                </wp:positionH>
                <wp:positionV relativeFrom="margin">
                  <wp:posOffset>2284095</wp:posOffset>
                </wp:positionV>
                <wp:extent cx="1951990" cy="61722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1990" cy="617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Žďár nad Sázavou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7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Jihlavská</w:t>
                              <w:tab/>
                              <w:t>1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591 01 Žďár nad Sázavou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5.200000000000003pt;margin-top:179.84999999999999pt;width:153.69999999999999pt;height:48.600000000000001pt;z-index:-125829365;mso-wrap-distance-left:10.449999999999999pt;mso-wrap-distance-top:105.3pt;mso-wrap-distance-right:275.39999999999998pt;mso-wrap-distance-bottom: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Žďár nad Sázavou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76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Jihlavská</w:t>
                        <w:tab/>
                        <w:t>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591 01 Žďár nad Sázavou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44295" distB="0" distL="2791460" distR="321945" simplePos="0" relativeHeight="125829390" behindDoc="0" locked="0" layoutInCell="1" allowOverlap="1">
                <wp:simplePos x="0" y="0"/>
                <wp:positionH relativeFrom="page">
                  <wp:posOffset>3232785</wp:posOffset>
                </wp:positionH>
                <wp:positionV relativeFrom="margin">
                  <wp:posOffset>2291080</wp:posOffset>
                </wp:positionV>
                <wp:extent cx="2468880" cy="63563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8880" cy="6356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2280" w:right="0" w:hanging="2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Korespondenční adresa: Žďár nad Sázavou Jihlavská 1 Žďár nad Sázavou 591 14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54.55000000000001pt;margin-top:180.40000000000001pt;width:194.40000000000001pt;height:50.049999999999997pt;z-index:-125829363;mso-wrap-distance-left:219.80000000000001pt;mso-wrap-distance-top:105.84999999999999pt;mso-wrap-distance-right:25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2280" w:right="0" w:hanging="2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Žďár nad Sázavou Jihlavská 1 Žďár nad Sázavou 591 14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75090865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31 05.2019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7" w:left="0" w:right="0" w:bottom="120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Předběžná měsíční objednávka, jedná se o předpokládané množství emulze na měsíc červen 2019 na základě článku 2.2. smlouvy N-DO-1-2019-4.</w:t>
      </w:r>
      <w:bookmarkEnd w:id="4"/>
      <w:bookmarkEnd w:id="5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Přesné množství emulze v jednotlivých dodávkách bude upřesněno emailovou objednávkou dle článku 2.3. smlouvy N-DO-1-2019-4.</w:t>
      </w:r>
      <w:bookmarkEnd w:id="6"/>
      <w:bookmarkEnd w:id="7"/>
    </w:p>
    <w:tbl>
      <w:tblPr>
        <w:tblOverlap w:val="never"/>
        <w:jc w:val="left"/>
        <w:tblLayout w:type="fixed"/>
      </w:tblPr>
      <w:tblGrid>
        <w:gridCol w:w="3190"/>
        <w:gridCol w:w="1138"/>
        <w:gridCol w:w="994"/>
        <w:gridCol w:w="569"/>
        <w:gridCol w:w="1242"/>
        <w:gridCol w:w="947"/>
        <w:gridCol w:w="1033"/>
        <w:gridCol w:w="1080"/>
      </w:tblGrid>
      <w:tr>
        <w:trPr>
          <w:trHeight w:val="7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92" w:h="727" w:vSpace="853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92" w:h="727" w:vSpace="853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92" w:h="727" w:vSpace="853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92" w:h="727" w:vSpace="853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92" w:h="727" w:vSpace="853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92" w:h="727" w:vSpace="853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92" w:h="727" w:vSpace="853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92" w:h="727" w:vSpace="853" w:wrap="notBeside" w:vAnchor="text" w:hAnchor="text" w:x="1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22"/>
        <w:keepNext w:val="0"/>
        <w:keepLines w:val="0"/>
        <w:framePr w:w="2855" w:h="850" w:hSpace="14" w:wrap="notBeside" w:vAnchor="text" w:hAnchor="text" w:x="40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Kationaktivní asfaltová emulze C65 B3 - předběžná objednávka, jedná se o předpokládané množství na měsíc červen 2019</w:t>
      </w:r>
    </w:p>
    <w:p>
      <w:pPr>
        <w:pStyle w:val="Style22"/>
        <w:keepNext w:val="0"/>
        <w:keepLines w:val="0"/>
        <w:framePr w:w="3643" w:h="252" w:hSpace="14" w:wrap="notBeside" w:vAnchor="text" w:hAnchor="text" w:x="3489" w:y="728"/>
        <w:widowControl w:val="0"/>
        <w:shd w:val="clear" w:color="auto" w:fill="auto"/>
        <w:tabs>
          <w:tab w:pos="123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10 970,00</w:t>
        <w:tab/>
        <w:t>150,00 t 1 645 500,00</w:t>
      </w:r>
    </w:p>
    <w:p>
      <w:pPr>
        <w:pStyle w:val="Style22"/>
        <w:keepNext w:val="0"/>
        <w:keepLines w:val="0"/>
        <w:framePr w:w="2358" w:h="461" w:hSpace="14" w:wrap="notBeside" w:vAnchor="text" w:hAnchor="text" w:x="7831" w:y="732"/>
        <w:widowControl w:val="0"/>
        <w:shd w:val="clear" w:color="auto" w:fill="auto"/>
        <w:tabs>
          <w:tab w:pos="428" w:val="left"/>
          <w:tab w:pos="1465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345 555,0</w:t>
        <w:tab/>
        <w:t>1 991 055,</w:t>
      </w:r>
    </w:p>
    <w:p>
      <w:pPr>
        <w:pStyle w:val="Style22"/>
        <w:keepNext w:val="0"/>
        <w:keepLines w:val="0"/>
        <w:framePr w:w="2358" w:h="461" w:hSpace="14" w:wrap="notBeside" w:vAnchor="text" w:hAnchor="text" w:x="7831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widowControl w:val="0"/>
        <w:spacing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N-DO-1-2019-4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03.06.2019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" distB="635" distL="0" distR="0" simplePos="0" relativeHeight="125829392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8890</wp:posOffset>
                </wp:positionV>
                <wp:extent cx="3020060" cy="67183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0060" cy="671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3"/>
                              <w:gridCol w:w="3323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1.649999999999999pt;margin-top:0.69999999999999996pt;width:237.80000000000001pt;height:52.899999999999999pt;z-index:-125829361;mso-wrap-distance-left:0;mso-wrap-distance-top:0.69999999999999996pt;mso-wrap-distance-right:0;mso-wrap-distance-bottom:5.0000000000000003e-002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3"/>
                        <w:gridCol w:w="3323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4350" distL="0" distR="0" simplePos="0" relativeHeight="125829394" behindDoc="0" locked="0" layoutInCell="1" allowOverlap="1">
                <wp:simplePos x="0" y="0"/>
                <wp:positionH relativeFrom="page">
                  <wp:posOffset>3735070</wp:posOffset>
                </wp:positionH>
                <wp:positionV relativeFrom="paragraph">
                  <wp:posOffset>0</wp:posOffset>
                </wp:positionV>
                <wp:extent cx="2651760" cy="16700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176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1 991 055,00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4.10000000000002pt;margin-top:0;width:208.80000000000001pt;height:13.15pt;z-index:-125829359;mso-wrap-distance-left:0;mso-wrap-distance-right:0;mso-wrap-distance-bottom:4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1 991 055,00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17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7" w:left="853" w:right="826" w:bottom="120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* Inertní posyp silnic.* Manipulace s nebezpečným odpadem. Nejvyšší míry rizika BOZP v naší organizaci jsou * Dopravní nehoda nebo havárie ve veřejném dopravním provozu. • Činnosti spojené s obsluhou motorové pity v souvislosti s nepříznivými klimatickými podmínkami. V případě provádění stavební činnosti budete písemně seznámeni s riziky prostřednictvím stavbyvedoucího.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38" w:val="left"/>
          <w:tab w:pos="442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  <w:t>,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g)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eurovia.cz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Monday, June 3, 2019 9:20 AM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0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Cc: , _ _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§)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eurovia.cz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FW: 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Potvrzujeme objednávku číslo: 75090865.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EUROVIA,</w:t>
      </w:r>
      <w:bookmarkEnd w:id="8"/>
      <w:bookmarkEnd w:id="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výroby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 a.s.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odštěpný závod oblast Čechy střed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2ávod Emulze Kolín</w:t>
      </w:r>
      <w:bookmarkEnd w:id="10"/>
      <w:bookmarkEnd w:id="1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Veltrubská 1527, 280 02 Kolín 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T/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F/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E/.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54" w:lineRule="auto"/>
        <w:ind w:left="0" w:right="0" w:firstLine="0"/>
        <w:jc w:val="left"/>
      </w:pPr>
      <w:r>
        <w:fldChar w:fldCharType="begin"/>
      </w:r>
      <w:r>
        <w:rPr/>
        <w:instrText> HYPERLINK "http://www.eurovia.cz"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www.eurovia.cz</w:t>
      </w:r>
      <w:r>
        <w:fldChar w:fldCharType="end"/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Informace o zpracování osobních údajů, které odesílatel tohoto e-mailu („odesílatel") v rámci této korespondence od Vás jako od subjektu osobních údajů anebo od Vás jako od správce osobních údajů získal, jsou uvedeny</w:t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informačním memorandu zveřejněném na internetových stránkách odesílatele, popřípadě na </w:t>
      </w:r>
      <w:r>
        <w:fldChar w:fldCharType="begin"/>
      </w:r>
      <w:r>
        <w:rPr/>
        <w:instrText> HYPERLINK "http://www.eurovia.cz"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www.eurovia.cz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záložce „GDPR". Nepokračujte v komunikaci s odesílatelem v případě, že se a) s těmito informacemi neseznámíte; b) že s nimi neseznámíte osoby, jejichž údaje hodláte odesílateli zpřístupnit.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je tento e-mail součástí obchodního jednání, jehož výsledkem může být dojednání obsahu smlouvy mezi odesílatelem tohoto e- mailu (resp. společností vlastníci e-mailový účet) a Vámi (Vaší společností), dojde k platnému a účinnému uzavřeni smlouvy až jejím podpisem zástupci oprávněnými jednat za smluvní strany podle obchodního rejstříku. Ukončení jednání o obsahu smlouvy v jakékoliv fázi před jejím podpisem není považováno za nepoctivé ukončení jednání o smlouvě ve smyslu zákona.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4077" w:left="700" w:right="818" w:bottom="3868" w:header="364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6230620</wp:posOffset>
              </wp:positionH>
              <wp:positionV relativeFrom="page">
                <wp:posOffset>9951720</wp:posOffset>
              </wp:positionV>
              <wp:extent cx="539750" cy="939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0.60000000000002pt;margin-top:783.60000000000002pt;width:42.5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3800475</wp:posOffset>
              </wp:positionH>
              <wp:positionV relativeFrom="page">
                <wp:posOffset>10109835</wp:posOffset>
              </wp:positionV>
              <wp:extent cx="27305" cy="7302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99.25pt;margin-top:796.04999999999995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Titulek obrázku_"/>
    <w:basedOn w:val="DefaultParagraphFont"/>
    <w:link w:val="Style13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7">
    <w:name w:val="Nadpis #3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Nadpis #2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Titulek tabulky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8">
    <w:name w:val="Nadpis #1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1">
    <w:name w:val="Základní text (2)_"/>
    <w:basedOn w:val="DefaultParagraphFont"/>
    <w:link w:val="Style3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Titulek obrázku"/>
    <w:basedOn w:val="Normal"/>
    <w:link w:val="CharStyle14"/>
    <w:pPr>
      <w:widowControl w:val="0"/>
      <w:shd w:val="clear" w:color="auto" w:fill="FFFFFF"/>
      <w:spacing w:line="211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FFFFFF"/>
      <w:spacing w:line="247" w:lineRule="auto"/>
      <w:ind w:left="12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spacing w:after="3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Titulek tabulky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ind w:left="18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7">
    <w:name w:val="Nadpis #1"/>
    <w:basedOn w:val="Normal"/>
    <w:link w:val="CharStyle28"/>
    <w:pPr>
      <w:widowControl w:val="0"/>
      <w:shd w:val="clear" w:color="auto" w:fill="FFFFFF"/>
      <w:spacing w:after="6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30">
    <w:name w:val="Základní text (2)"/>
    <w:basedOn w:val="Normal"/>
    <w:link w:val="CharStyle31"/>
    <w:pPr>
      <w:widowControl w:val="0"/>
      <w:shd w:val="clear" w:color="auto" w:fill="FFFFFF"/>
      <w:spacing w:after="110"/>
    </w:pPr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