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686" w:h="508" w:wrap="none" w:hAnchor="page" w:x="4182" w:y="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</w:t>
      </w:r>
      <w:bookmarkEnd w:id="0"/>
      <w:bookmarkEnd w:id="1"/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5071745</wp:posOffset>
            </wp:positionH>
            <wp:positionV relativeFrom="margin">
              <wp:posOffset>0</wp:posOffset>
            </wp:positionV>
            <wp:extent cx="2109470" cy="85344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09470" cy="853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25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641" w:left="1442" w:right="591" w:bottom="843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zhotovení díla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„SERVIS SÍTĚ SILNIČNÍCH METEOROLOGICKÝCH</w:t>
        <w:br/>
        <w:t>STANIC-HLÁSIČŮ NÁLEDÍ“</w:t>
      </w:r>
      <w:bookmarkEnd w:id="2"/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348" w:lineRule="auto"/>
        <w:ind w:left="620" w:right="0" w:firstLine="1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uzavřená podle zákona č.89/2012 Sb., ve znění pozdějších předpisů (dále jen „občanský zákoník“).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Objednatel: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Krajská správa a údržba silnic Vysočiny, příspěvková organizace</w:t>
      </w:r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2266315</wp:posOffset>
                </wp:positionH>
                <wp:positionV relativeFrom="paragraph">
                  <wp:posOffset>190500</wp:posOffset>
                </wp:positionV>
                <wp:extent cx="1380490" cy="75438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7543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 Vysočina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00090450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CZ00090450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Komerční banka, a. 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8.44999999999999pt;margin-top:15.pt;width:108.7pt;height:59.3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 Vysočina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Komerční banka, a. 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v administrativním registru ekonomických subjektů Zřizovatel: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12700</wp:posOffset>
                </wp:positionV>
                <wp:extent cx="850265" cy="19431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2.799999999999997pt;margin-top:1.pt;width:66.950000000000003pt;height:15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5514975</wp:posOffset>
                </wp:positionH>
                <wp:positionV relativeFrom="paragraph">
                  <wp:posOffset>330200</wp:posOffset>
                </wp:positionV>
                <wp:extent cx="1229995" cy="20574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9995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vedoucí výrobního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4.25pt;margin-top:26.pt;width:96.849999999999994pt;height:16.1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vedoucí výrobního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Janem Míkou, MBA, ředitelem organizace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Osoba oprávněná jednat ve věcech technických: oddělení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MEDIPO-ZT, s. r. o.,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Kohoutova 24, 613 00 Brno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3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</w:t>
        <w:tab/>
        <w:t>25301411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3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CZ25301411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Komerční banka Brno, Černá Pole, č.ú.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Společnost je zapsaná v obchodním rejstříku u Krajského obchodního soudu v Brně oddíl C, vložka 23567 ze dne 5. 6. 1996.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20" w:val="left"/>
        </w:tabs>
        <w:bidi w:val="0"/>
        <w:spacing w:before="0" w:after="280" w:line="259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Zastoupený :</w:t>
        <w:tab/>
        <w:t>Ing. Jiřím Podhorským, jednatelem společnosti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Osoba oprávněná jednat ve věcech technických 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o dílo, kterou se dodavatel zavazuje provádět servis na dodaném zařízení specifikovaném v článku 1. této smlouvy a objednatel zaplatit cenu podle článku II. této smlouvy za řádné a včasné provedení servisního zásahu a to za podmínek dále ve smlouvě uvedených.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Servisní služby, které jsou předmětem této smlouvy, dodavatel provede v takovém rozsahu a jakosti, aby výsledkem byl funkční systém sítě meteostanic podle článku I této smlouvy. Smluvní strany berou na vědomí, že objednatel je povinným subjektem podle § 2 zákona č. 340/2015 Sb. a že smlouva podléhá povinnosti uveřejnění v registru.</w:t>
      </w:r>
    </w:p>
    <w:p>
      <w:pPr>
        <w:pStyle w:val="Style14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Článek I.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a účel smlouvy</w:t>
      </w:r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72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Předmětem smlouvy je zajištění servisu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sítě silničních meteorologických stanic - hlásičů náledí”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 potřeby Krajské správy a údržby silnic Vysočiny, příspěvkové organizace. Síť meteorologických stanic se sestává z těchto stanic umístěných na dále uvedených stanovištích.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after="28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Umístění silničních meteostanic-hlásičů náledí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oblast Třebíč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720" w:right="0" w:firstLine="20"/>
        <w:jc w:val="both"/>
      </w:pPr>
      <w:r>
        <mc:AlternateContent>
          <mc:Choice Requires="wps">
            <w:drawing>
              <wp:anchor distT="0" distB="0" distL="50800" distR="50800" simplePos="0" relativeHeight="125829384" behindDoc="0" locked="0" layoutInCell="1" allowOverlap="1">
                <wp:simplePos x="0" y="0"/>
                <wp:positionH relativeFrom="page">
                  <wp:posOffset>2706370</wp:posOffset>
                </wp:positionH>
                <wp:positionV relativeFrom="paragraph">
                  <wp:posOffset>25400</wp:posOffset>
                </wp:positionV>
                <wp:extent cx="557530" cy="56007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560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Nadjezd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Penny Colas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13.09999999999999pt;margin-top:2.pt;width:43.899999999999999pt;height:44.100000000000001pt;z-index:-125829369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Nadjezd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Penny Colas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silnice 1/23 silnice 11/360 silnice 11/360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72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Součástí servisních prací je současně zajistit činnost centrálního serveru dodavatele a dispečerských pracovišť.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after="900" w:line="240" w:lineRule="auto"/>
        <w:ind w:left="72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 zahájením zimní sezóny, bude podle požadavků objednatele, provedena kalibrace vozovkových sond a atmosférických snímačů.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Článek II.</w:t>
      </w:r>
      <w:bookmarkEnd w:id="10"/>
      <w:bookmarkEnd w:id="11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340" w:line="23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servisních služeb a servisní podmínky</w:t>
      </w:r>
      <w:bookmarkEnd w:id="12"/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72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Servisní zásah je zahájen do 48 hod po telefonickém nebo písemném oznámení závady, případně po dohodě s uživatelem.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Servisní práce se účtují sazbou 550.00 Kč za lhod. práce.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Sazba za Ikm na místo servisního zásahu se účtuje sazbou 13.00 Kč za lkm.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2" w:val="left"/>
        </w:tabs>
        <w:bidi w:val="0"/>
        <w:spacing w:before="0" w:after="0" w:line="240" w:lineRule="auto"/>
        <w:ind w:left="72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bude objednatelem hrazena na základě faktury vystavené dodavatelem se splatností 30 kalendářních dnů, s tím že faktura musí být doručena do tří kalendářních dnů od vystavení.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7" w:val="left"/>
          <w:tab w:pos="9093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Faktury budou vystavovány emailovou formou na emailovou adresu</w:t>
        <w:tab/>
        <w:t>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 tím že na místě odběratele bude název objednatele v plném znění dle hlavičky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2" w:val="left"/>
        </w:tabs>
        <w:bidi w:val="0"/>
        <w:spacing w:before="0" w:after="140" w:line="240" w:lineRule="auto"/>
        <w:ind w:left="72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budou údaje uvedené ve faktuře neúplné nebo nesprávné, je oprávněn objednatel fakturu vrátit k opravě a požadovat vystavení faktury s novou lhůtou splatnosti 30 kalendářních dnů. Dodavatel je povinen tyto opravy provést.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350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Článek III.</w:t>
      </w:r>
      <w:bookmarkEnd w:id="14"/>
      <w:bookmarkEnd w:id="15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Závazky dodavatele při provádění předmětu smlouvy</w:t>
      </w:r>
      <w:bookmarkEnd w:id="16"/>
      <w:bookmarkEnd w:id="17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226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odpovídá za bezpečnost práce a ochranu zdraví svých zaměstnanců, a za jejich vybavení ochrannými pomůckami.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4" w:val="left"/>
        </w:tabs>
        <w:bidi w:val="0"/>
        <w:spacing w:before="0" w:after="64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bude odpovídat za veškeré odpady vzniklé v souvislosti s plněním předmětu díla. Bude s nimi nakládat podle ustanovení zákona č. 185/2001 Sb. o odpadech a vyhlášky č. 383/2001 Sb. o podrobnostech nakládání s odpady. Dále je povinen v souladu s výše uvedenými zákony zabezpečit jejich uskladnění a následnou likvidaci na vlastní náklady.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Článek IV.</w:t>
      </w:r>
      <w:bookmarkEnd w:id="18"/>
      <w:bookmarkEnd w:id="19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Spolupůsobení objednatele</w:t>
      </w:r>
      <w:bookmarkEnd w:id="20"/>
      <w:bookmarkEnd w:id="21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0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předá dodavateli místo určené k provádění díla v dohodnutém termínu.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53" w:val="left"/>
        </w:tabs>
        <w:bidi w:val="0"/>
        <w:spacing w:before="0" w:after="30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zajistí pracoviště v souladu s dopravními předpisy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Článek VI.</w:t>
      </w:r>
      <w:bookmarkEnd w:id="22"/>
      <w:bookmarkEnd w:id="23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závazků</w:t>
      </w:r>
      <w:bookmarkEnd w:id="24"/>
      <w:bookmarkEnd w:id="25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zajištění včasného a řádného dokončení díla a dalších závazků dle této smlouvy se dodavatel a objednatel zavazuje k níže uvedenému způsobu vypořádání: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6" w:val="left"/>
        </w:tabs>
        <w:bidi w:val="0"/>
        <w:spacing w:before="0" w:after="0" w:line="240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Bude-li dodavatel v prodlení s plněním závazku dle čl. II poskytne objednateli slevu z ceny díla ve výši 0,03 % z ceny díla za každý i započatý den prodlení.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1380" w:line="240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Bude-li objednatel v prodlení s úhradou faktury, je dodavatel oprávněn požadovat úrok z prodlení ve výši 0,03% z ceny díla za každý i započatý den prodlení.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3500" w:right="0" w:firstLine="0"/>
        <w:jc w:val="left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Článek VII.</w:t>
      </w:r>
      <w:bookmarkEnd w:id="26"/>
      <w:bookmarkEnd w:id="27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Délka trvání smluvního vztahu</w:t>
      </w:r>
      <w:bookmarkEnd w:id="28"/>
      <w:bookmarkEnd w:id="29"/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uzavírána na dobu neurčitou s možností výpovědi bez udání důvodů, s výpovědní lhůtou jeden měsíc, která započne běžet první den kalendářního měsíce následujícího po měsíci, v němž byla písemná výpověď doručena druhé smluvní straně.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6" w:val="left"/>
        </w:tabs>
        <w:bidi w:val="0"/>
        <w:spacing w:before="0" w:after="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mohou odstoupit od smlouvy z důvodu podstatného porušení smlouvy. Za podstatné porušení smlouvy ze strany dodavatele se považuje zejména nedodržení termínu plnění předmětu smlouvy podle čl. II. této smlouvy, nedodržení jakosti, nedodržení garantovaných parametrů jakož i závažné porušování technologické kázně. Objednatel je oprávněn odstoupit od smlouvy i v případě, že dodavatel je v konkursním nebo vyrovnávacím řízení nebo v likvidaci.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68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odstoupení objednatele od smlouvy, z důvodu na straně dodavatele, uhradí objednatel dodavateli pouze prokazatelné a účelně vynaložené náklady, které dodavateli vznikly v souvislosti s přípravou plnění předmětu smlouvy.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14" w:lineRule="auto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se ruší třetí kalendářní den od doručení oznámení o odstoupení s účinky ex tuno.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9" w:val="left"/>
        </w:tabs>
        <w:bidi w:val="0"/>
        <w:spacing w:before="0" w:after="14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pochybnosti nebo v případě, že smluvní strana odmítne oznámení o odstoupení či výpověď převzít, se má za to, že výpověď nebo oznámení bylo doručeno třetí den od jeho odeslání.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9" w:val="left"/>
        </w:tabs>
        <w:bidi w:val="0"/>
        <w:spacing w:before="0" w:after="60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Odstoupením od smlouvy není dotčen nárok na náhradu případné škody (pokud není v jiných ustanoveních smlouvy dohodnuto jinak).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Článek VIII.</w:t>
      </w:r>
      <w:bookmarkEnd w:id="30"/>
      <w:bookmarkEnd w:id="31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32"/>
      <w:bookmarkEnd w:id="33"/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není oprávněn přenést bez písemného souhlasu objednatele na třetí osobu závazky, které vyplývají z této smlouvy. To se však nedotýká subdodávek. Tyto závazky je však dodavatel povinen převést na svého případného právního nástupce.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jsou platné pouze tehdy, jestliže byly dohodnuty formou číslovaného dodatku k této smlouvě podepsaného oběma smluvními stranami. Tyto dodatky budou tvořit nedílnou součást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Změny kontaktních osob, telefonních a faxových čísel se považují za provedené dnem doručení doporučeného dopisu druhé smluvní straně.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souhlasí se zveřejněním této smlouvy v jejím plném znění podle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stranou a účinnosti dnem uveřejnění v registru smluv podle zákona o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objednatel bezodkladně (nejpozději však do 30 pracovních dní) po uzavření této smlouvy odešle smlouvu k řádnému uveřejnění do registru smluv vedeného Ministerstvem vnitra ČR. O uveřejnění smlouvy objednatel bezodkladně informuje druhou smluvní stranu, nebyl-li kontaktní údaj této smluvní strany uveden přímo do registru smluv jako kontakt pro notifikaci o uveřejnění.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0" w:right="0" w:firstLine="3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3" w:left="1428" w:right="1270" w:bottom="135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čtyřech stejnopisech, z nichž každá strana obdrží dva.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24" w:left="0" w:right="0" w:bottom="33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1433" w:h="317" w:wrap="none" w:vAnchor="text" w:hAnchor="page" w:x="213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dne:</w:t>
      </w:r>
    </w:p>
    <w:p>
      <w:pPr>
        <w:pStyle w:val="Style19"/>
        <w:keepNext w:val="0"/>
        <w:keepLines w:val="0"/>
        <w:framePr w:w="1202" w:h="320" w:wrap="none" w:vAnchor="text" w:hAnchor="page" w:x="3982" w:y="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cs-CZ" w:eastAsia="cs-CZ" w:bidi="cs-CZ"/>
        </w:rPr>
        <w:t>3 0. 05 2019</w:t>
      </w:r>
    </w:p>
    <w:p>
      <w:pPr>
        <w:pStyle w:val="Style21"/>
        <w:keepNext/>
        <w:keepLines/>
        <w:framePr w:w="328" w:h="457" w:wrap="none" w:vAnchor="text" w:hAnchor="page" w:x="2146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7'j</w:t>
      </w:r>
      <w:bookmarkEnd w:id="34"/>
      <w:bookmarkEnd w:id="35"/>
    </w:p>
    <w:p>
      <w:pPr>
        <w:pStyle w:val="Style9"/>
        <w:keepNext w:val="0"/>
        <w:keepLines w:val="0"/>
        <w:framePr w:w="1519" w:h="860" w:wrap="none" w:vAnchor="text" w:hAnchor="page" w:x="7081" w:y="2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Brně dne:</w:t>
      </w:r>
    </w:p>
    <w:p>
      <w:pPr>
        <w:pStyle w:val="Style9"/>
        <w:keepNext w:val="0"/>
        <w:keepLines w:val="0"/>
        <w:framePr w:w="1519" w:h="860" w:wrap="none" w:vAnchor="text" w:hAnchor="page" w:x="708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dodavatele:</w:t>
      </w: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24" w:left="1440" w:right="1259" w:bottom="339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40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24" w:left="0" w:right="0" w:bottom="152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1087755</wp:posOffset>
                </wp:positionH>
                <wp:positionV relativeFrom="paragraph">
                  <wp:posOffset>144145</wp:posOffset>
                </wp:positionV>
                <wp:extent cx="1311910" cy="37973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1910" cy="379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Jan Mika, MBA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5.650000000000006pt;margin-top:11.35pt;width:103.3pt;height:29.899999999999999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Jan Mika, MBA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hyphen" w:pos="4407" w:val="left"/>
          <w:tab w:leader="hyphen" w:pos="5994" w:val="left"/>
        </w:tabs>
        <w:bidi w:val="0"/>
        <w:spacing w:before="0" w:after="0" w:line="240" w:lineRule="auto"/>
        <w:ind w:left="32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8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Jiří Podhorský jednatel MEDIPO-ZT, s.r.o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524" w:left="3790" w:right="1294" w:bottom="152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6649085</wp:posOffset>
              </wp:positionH>
              <wp:positionV relativeFrom="page">
                <wp:posOffset>10094595</wp:posOffset>
              </wp:positionV>
              <wp:extent cx="86995" cy="1873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6995" cy="1873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  <w:shd w:val="clear" w:color="auto" w:fill="auto"/>
                              <w:lang w:val="cs-CZ" w:eastAsia="cs-CZ" w:bidi="cs-CZ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3.54999999999995pt;margin-top:794.85000000000002pt;width:6.8499999999999996pt;height:14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Nadpis #3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5">
    <w:name w:val="Nadpis #4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CharStyle20">
    <w:name w:val="Základní text (3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CharStyle22">
    <w:name w:val="Nadpis #2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Nadpis #3"/>
    <w:basedOn w:val="Normal"/>
    <w:link w:val="CharStyle13"/>
    <w:pPr>
      <w:widowControl w:val="0"/>
      <w:shd w:val="clear" w:color="auto" w:fill="FFFFFF"/>
      <w:spacing w:after="40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4">
    <w:name w:val="Nadpis #4"/>
    <w:basedOn w:val="Normal"/>
    <w:link w:val="CharStyle15"/>
    <w:pPr>
      <w:widowControl w:val="0"/>
      <w:shd w:val="clear" w:color="auto" w:fill="FFFFFF"/>
      <w:spacing w:after="14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4"/>
      <w:szCs w:val="24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