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093" w:h="1973" w:wrap="none" w:hAnchor="page" w:x="2256" w:y="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4 k SMLOUVĚ O DÍLO</w:t>
      </w:r>
    </w:p>
    <w:p>
      <w:pPr>
        <w:pStyle w:val="Style5"/>
        <w:keepNext/>
        <w:keepLines/>
        <w:framePr w:w="8093" w:h="1973" w:wrap="none" w:hAnchor="page" w:x="2256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 na dopravní stavby</w:t>
        <w:br/>
        <w:t>v Kraji Vysočina</w:t>
      </w:r>
      <w:bookmarkEnd w:id="0"/>
      <w:bookmarkEnd w:id="1"/>
    </w:p>
    <w:p>
      <w:pPr>
        <w:pStyle w:val="Style5"/>
        <w:keepNext/>
        <w:keepLines/>
        <w:framePr w:w="8093" w:h="1973" w:wrap="none" w:hAnchor="page" w:x="2256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akci: „III/12916 Hořepník průtah - část 18“</w:t>
      </w:r>
      <w:bookmarkEnd w:id="2"/>
      <w:bookmarkEnd w:id="3"/>
    </w:p>
    <w:p>
      <w:pPr>
        <w:pStyle w:val="Style2"/>
        <w:keepNext w:val="0"/>
        <w:keepLines w:val="0"/>
        <w:framePr w:w="4914" w:h="630" w:wrap="none" w:hAnchor="page" w:x="1137" w:y="2766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19/2017/OŘN/D2/KSÚSV/S,M/1</w:t>
      </w:r>
    </w:p>
    <w:p>
      <w:pPr>
        <w:pStyle w:val="Style2"/>
        <w:keepNext w:val="0"/>
        <w:keepLines w:val="0"/>
        <w:framePr w:w="4914" w:h="630" w:wrap="none" w:hAnchor="page" w:x="1137" w:y="2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zhotovitele:</w:t>
      </w:r>
    </w:p>
    <w:p>
      <w:pPr>
        <w:pStyle w:val="Style8"/>
        <w:keepNext w:val="0"/>
        <w:keepLines w:val="0"/>
        <w:framePr w:w="10418" w:h="1152" w:wrap="none" w:hAnchor="page" w:x="1130" w:y="37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pStyle w:val="Style10"/>
        <w:keepNext/>
        <w:keepLines/>
        <w:framePr w:w="1649" w:h="608" w:wrap="none" w:hAnchor="page" w:x="5889" w:y="52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1</w:t>
        <w:br/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696"/>
        <w:gridCol w:w="7218"/>
      </w:tblGrid>
      <w:tr>
        <w:trPr>
          <w:trHeight w:val="2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14" w:h="547" w:hSpace="14" w:vSpace="277" w:wrap="none" w:hAnchor="page" w:x="1144" w:y="5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14" w:h="547" w:hSpace="14" w:vSpace="277" w:wrap="none" w:hAnchor="page" w:x="1144" w:y="5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14" w:h="547" w:hSpace="14" w:vSpace="277" w:wrap="none" w:hAnchor="page" w:x="1144" w:y="5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14" w:h="547" w:hSpace="14" w:vSpace="277" w:wrap="none" w:hAnchor="page" w:x="1144" w:y="5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framePr w:w="8914" w:h="547" w:hSpace="14" w:vSpace="277" w:wrap="none" w:hAnchor="page" w:x="1144" w:y="5948"/>
        <w:widowControl w:val="0"/>
        <w:spacing w:line="1" w:lineRule="exact"/>
      </w:pPr>
    </w:p>
    <w:p>
      <w:pPr>
        <w:pStyle w:val="Style13"/>
        <w:keepNext w:val="0"/>
        <w:keepLines w:val="0"/>
        <w:framePr w:w="5321" w:h="277" w:wrap="none" w:hAnchor="page" w:x="1130" w:y="6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pStyle w:val="Style8"/>
        <w:keepNext w:val="0"/>
        <w:keepLines w:val="0"/>
        <w:framePr w:w="1832" w:h="1688" w:wrap="none" w:hAnchor="page" w:x="1119" w:y="6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smluvních: Bankovní spojení: Číslo účtu:</w:t>
      </w:r>
    </w:p>
    <w:p>
      <w:pPr>
        <w:pStyle w:val="Style8"/>
        <w:keepNext w:val="0"/>
        <w:keepLines w:val="0"/>
        <w:framePr w:w="1832" w:h="1688" w:wrap="none" w:hAnchor="page" w:x="1119" w:y="6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</w:t>
      </w:r>
    </w:p>
    <w:p>
      <w:pPr>
        <w:pStyle w:val="Style8"/>
        <w:keepNext w:val="0"/>
        <w:keepLines w:val="0"/>
        <w:framePr w:w="1832" w:h="1688" w:wrap="none" w:hAnchor="page" w:x="1119" w:y="6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framePr w:w="1832" w:h="1688" w:wrap="none" w:hAnchor="page" w:x="1119" w:y="6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0"/>
        <w:keepNext/>
        <w:keepLines/>
        <w:framePr w:w="4180" w:h="1422" w:wrap="none" w:hAnchor="page" w:x="3261" w:y="6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Jan Mika, MBA, ředitel organizace</w:t>
      </w:r>
      <w:bookmarkEnd w:id="6"/>
      <w:bookmarkEnd w:id="7"/>
    </w:p>
    <w:p>
      <w:pPr>
        <w:pStyle w:val="Style8"/>
        <w:keepNext w:val="0"/>
        <w:keepLines w:val="0"/>
        <w:framePr w:w="4180" w:h="1422" w:wrap="none" w:hAnchor="page" w:x="3261" w:y="6773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Komerční banka, a.s.</w:t>
      </w:r>
    </w:p>
    <w:p>
      <w:pPr>
        <w:pStyle w:val="Style8"/>
        <w:keepNext w:val="0"/>
        <w:keepLines w:val="0"/>
        <w:framePr w:w="4180" w:h="1422" w:wrap="none" w:hAnchor="page" w:x="3261" w:y="6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00090450</w:t>
      </w:r>
    </w:p>
    <w:p>
      <w:pPr>
        <w:pStyle w:val="Style8"/>
        <w:keepNext w:val="0"/>
        <w:keepLines w:val="0"/>
        <w:framePr w:w="4180" w:h="1422" w:wrap="none" w:hAnchor="page" w:x="3261" w:y="6773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CZ00090450</w:t>
      </w:r>
    </w:p>
    <w:p>
      <w:pPr>
        <w:pStyle w:val="Style8"/>
        <w:keepNext w:val="0"/>
        <w:keepLines w:val="0"/>
        <w:framePr w:w="3622" w:h="1156" w:wrap="none" w:hAnchor="page" w:x="1115" w:y="8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Fax:</w:t>
      </w:r>
    </w:p>
    <w:p>
      <w:pPr>
        <w:pStyle w:val="Style8"/>
        <w:keepNext w:val="0"/>
        <w:keepLines w:val="0"/>
        <w:framePr w:w="3622" w:h="1156" w:wrap="none" w:hAnchor="page" w:x="1115" w:y="8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framePr w:w="3622" w:h="1156" w:wrap="none" w:hAnchor="page" w:x="1115" w:y="8407"/>
        <w:widowControl w:val="0"/>
        <w:shd w:val="clear" w:color="auto" w:fill="auto"/>
        <w:tabs>
          <w:tab w:pos="21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8"/>
        <w:keepNext w:val="0"/>
        <w:keepLines w:val="0"/>
        <w:framePr w:w="3622" w:h="1156" w:wrap="none" w:hAnchor="page" w:x="1115" w:y="840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..Objednatel“)</w:t>
      </w:r>
    </w:p>
    <w:p>
      <w:pPr>
        <w:pStyle w:val="Style10"/>
        <w:keepNext/>
        <w:keepLines/>
        <w:framePr w:w="5306" w:h="3640" w:wrap="none" w:hAnchor="page" w:x="1086" w:y="9887"/>
        <w:widowControl w:val="0"/>
        <w:shd w:val="clear" w:color="auto" w:fill="auto"/>
        <w:tabs>
          <w:tab w:pos="2081" w:val="left"/>
        </w:tabs>
        <w:bidi w:val="0"/>
        <w:spacing w:before="0" w:after="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Zhotovitel:</w:t>
        <w:tab/>
        <w:t>Ing. Robert Juřina</w:t>
      </w:r>
      <w:bookmarkEnd w:id="8"/>
      <w:bookmarkEnd w:id="9"/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tabs>
          <w:tab w:pos="20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Převrátilská 330, 390 01 Tábor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fyzická osoba nezapsána v obchodním rejstříku Osoby pověřené jednat jménem zhotovitele ve věcech smluvních: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technických: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tabs>
          <w:tab w:pos="20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Bankovní spojení:</w:t>
        <w:tab/>
        <w:t>inuuiirk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tabs>
          <w:tab w:pos="20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</w:t>
        <w:tab/>
        <w:t>880 67 483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tabs>
          <w:tab w:pos="20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  <w:tab/>
        <w:t>neplátce DPH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framePr w:w="5306" w:h="3640" w:wrap="none" w:hAnchor="page" w:x="1086" w:y="9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0"/>
        <w:keepNext/>
        <w:keepLines/>
        <w:framePr w:w="5306" w:h="3640" w:wrap="none" w:hAnchor="page" w:x="1086" w:y="9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  <w:bookmarkEnd w:id="10"/>
      <w:bookmarkEnd w:id="11"/>
    </w:p>
    <w:p>
      <w:pPr>
        <w:pStyle w:val="Style2"/>
        <w:keepNext w:val="0"/>
        <w:keepLines w:val="0"/>
        <w:framePr w:w="1656" w:h="558" w:wrap="none" w:hAnchor="page" w:x="8099" w:y="7827"/>
        <w:widowControl w:val="0"/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48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Krápat</w:t>
        <w:tab/>
        <w:t>• ■</w:t>
      </w:r>
    </w:p>
    <w:p>
      <w:pPr>
        <w:pStyle w:val="Style2"/>
        <w:keepNext w:val="0"/>
        <w:keepLines w:val="0"/>
        <w:framePr w:w="1656" w:h="558" w:wrap="none" w:hAnchor="page" w:x="8099" w:y="7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(Hok Vysočiny,</w:t>
      </w:r>
    </w:p>
    <w:p>
      <w:pPr>
        <w:pStyle w:val="Style2"/>
        <w:keepNext w:val="0"/>
        <w:keepLines w:val="0"/>
        <w:framePr w:w="1656" w:h="558" w:wrap="none" w:hAnchor="page" w:x="8099" w:y="7827"/>
        <w:widowControl w:val="0"/>
        <w:shd w:val="clear" w:color="auto" w:fill="auto"/>
        <w:tabs>
          <w:tab w:pos="1180" w:val="left"/>
        </w:tabs>
        <w:bidi w:val="0"/>
        <w:spacing w:before="0" w:after="0" w:line="214" w:lineRule="auto"/>
        <w:ind w:left="0" w:right="0" w:firstLine="24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Košový i’</w:t>
        <w:tab/>
        <w:t>A. 5í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vertAlign w:val="superscript"/>
          <w:lang w:val="cs-CZ" w:eastAsia="cs-CZ" w:bidi="cs-CZ"/>
        </w:rPr>
        <w:t>lr</w:t>
      </w:r>
    </w:p>
    <w:p>
      <w:pPr>
        <w:pStyle w:val="Style2"/>
        <w:keepNext w:val="0"/>
        <w:keepLines w:val="0"/>
        <w:framePr w:w="1966" w:h="342" w:wrap="none" w:hAnchor="page" w:x="8528" w:y="8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it “05” 2019 /</w:t>
      </w:r>
    </w:p>
    <w:p>
      <w:pPr>
        <w:pStyle w:val="Style8"/>
        <w:keepNext w:val="0"/>
        <w:keepLines w:val="0"/>
        <w:framePr w:w="7157" w:h="331" w:wrap="none" w:hAnchor="page" w:x="1097" w:y="13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.Smluvní strany"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.Smluvní strana“)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3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19" w:left="1085" w:right="353" w:bottom="1714" w:header="59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smluvních podmínek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52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 na tomto Dodatku č. 4 z důvodu uvedeného v Žádosti o prodloužení termínu ze dne 7. 5. 2019, viz příloha.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návaznosti na výše uvedené dochází ke změně termínu tímto způsobem: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Příloze AI8 — Technické podmínky, v části Lhůty plnění: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190500</wp:posOffset>
                </wp:positionV>
                <wp:extent cx="2386330" cy="37465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633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75 dnů od doložení souhlasu vlastníků pozemků na stavební úřad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78.75pt;margin-top:15.pt;width:187.90000000000001pt;height:29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75 dnů od doložení souhlasu vlastníků pozemků na stavební úřad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PDPS včetně zapracování případných připomínek ze stavebního řízení a včetně soupisů prací, odsouhlasená objednatelem - předat do: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30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ruší a nahrazuje novým zněním:</w:t>
      </w:r>
      <w:bookmarkEnd w:id="12"/>
      <w:bookmarkEnd w:id="13"/>
    </w:p>
    <w:p>
      <w:pPr>
        <w:pStyle w:val="Style8"/>
        <w:keepNext w:val="0"/>
        <w:keepLines w:val="0"/>
        <w:widowControl w:val="0"/>
        <w:shd w:val="clear" w:color="auto" w:fill="auto"/>
        <w:tabs>
          <w:tab w:pos="6386" w:val="left"/>
        </w:tabs>
        <w:bidi w:val="0"/>
        <w:spacing w:before="0" w:after="780" w:line="240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PDPS včetně zapracování případných připomínek ze stavebního řízení a včetně soupisů prací, odsouhlasená objednatelem - předat do:</w:t>
        <w:tab/>
        <w:t>31.5. 2019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9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 Smlouvy o dílo č. objednatele 19/2017/OŘN/D2/KSÚSV/S,M/1 - část 18 ve znění platných dodatků jsou tímto Dodatkem č. 4 nedotčené a zůstávají v platnosti v původním znění.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4 je nedílnou součástí Smlouvy o dílo č. objednatele 19/2017/OŘN/D2/KSÚSV/S,M/1 uzavřené dne 30. 1. 2018 podle ustanovení § 2586 a násl. OZ a dále Obchodními podmínkami zadavatele pro veřejné zakázky na vypracování projektových dokumentací dle § 37 odst. 1 písm. c) ZZVZ, vydanými dle § 1751 a násl. OZ.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4 je vyhotoven ve čtyřech stejnopisech, z nichž dva výtisky obdrží objednatel a 2 zhotovitel.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5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42" w:left="1200" w:right="304" w:bottom="1800" w:header="91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framePr w:w="10393" w:h="1274" w:wrap="none" w:hAnchor="page" w:x="1200" w:y="1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si Dodatek č. 4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8"/>
        <w:keepNext w:val="0"/>
        <w:keepLines w:val="0"/>
        <w:framePr w:w="10393" w:h="1274" w:wrap="none" w:hAnchor="page" w:x="1200" w:y="1"/>
        <w:widowControl w:val="0"/>
        <w:numPr>
          <w:ilvl w:val="0"/>
          <w:numId w:val="3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Nedílnou přílohou je Žádost o prodloužení termínu ze dne 7. 5. 2019.</w:t>
      </w:r>
    </w:p>
    <w:p>
      <w:pPr>
        <w:pStyle w:val="Style8"/>
        <w:keepNext w:val="0"/>
        <w:keepLines w:val="0"/>
        <w:framePr w:w="6066" w:h="328" w:wrap="none" w:hAnchor="page" w:x="1197" w:y="2532"/>
        <w:widowControl w:val="0"/>
        <w:shd w:val="clear" w:color="auto" w:fill="auto"/>
        <w:tabs>
          <w:tab w:pos="14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Přílohy:</w:t>
        <w:tab/>
        <w:t>Žádost o prodloužení termínu ze dne 7. 5. 2019</w:t>
      </w:r>
    </w:p>
    <w:p>
      <w:pPr>
        <w:pStyle w:val="Style8"/>
        <w:keepNext w:val="0"/>
        <w:keepLines w:val="0"/>
        <w:framePr w:w="1130" w:h="317" w:wrap="none" w:hAnchor="page" w:x="1197" w:y="36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Zhotovitel:</w:t>
      </w:r>
    </w:p>
    <w:p>
      <w:pPr>
        <w:pStyle w:val="Style8"/>
        <w:keepNext w:val="0"/>
        <w:keepLines w:val="0"/>
        <w:framePr w:w="1447" w:h="317" w:wrap="none" w:hAnchor="page" w:x="1197" w:y="4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Táboře dne:</w:t>
      </w:r>
    </w:p>
    <w:p>
      <w:pPr>
        <w:pStyle w:val="Style8"/>
        <w:keepNext w:val="0"/>
        <w:keepLines w:val="0"/>
        <w:framePr w:w="2034" w:h="1415" w:wrap="none" w:hAnchor="page" w:x="6168" w:y="3633"/>
        <w:widowControl w:val="0"/>
        <w:shd w:val="clear" w:color="auto" w:fill="auto"/>
        <w:bidi w:val="0"/>
        <w:spacing w:before="0" w:after="82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</w:t>
      </w:r>
    </w:p>
    <w:p>
      <w:pPr>
        <w:pStyle w:val="Style8"/>
        <w:keepNext w:val="0"/>
        <w:keepLines w:val="0"/>
        <w:framePr w:w="2034" w:h="1415" w:wrap="none" w:hAnchor="page" w:x="6168" w:y="3633"/>
        <w:widowControl w:val="0"/>
        <w:shd w:val="clear" w:color="auto" w:fill="auto"/>
        <w:tabs>
          <w:tab w:leader="dot" w:pos="191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dne:</w:t>
        <w:tab/>
      </w:r>
    </w:p>
    <w:p>
      <w:pPr>
        <w:pStyle w:val="Style8"/>
        <w:keepNext w:val="0"/>
        <w:keepLines w:val="0"/>
        <w:framePr w:w="1829" w:h="320" w:wrap="none" w:hAnchor="page" w:x="2655" w:y="63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Ing^ Robert Juřina</w:t>
      </w:r>
    </w:p>
    <w:p>
      <w:pPr>
        <w:pStyle w:val="Style8"/>
        <w:keepNext w:val="0"/>
        <w:keepLines w:val="0"/>
        <w:framePr w:w="2052" w:h="594" w:wrap="none" w:hAnchor="page" w:x="7547" w:y="63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Jan Mika, MBA</w:t>
        <w:br/>
        <w:t>ředitel organizace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37" w:left="1170" w:right="307" w:bottom="1702" w:header="509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739"/>
        <w:gridCol w:w="4637"/>
      </w:tblGrid>
      <w:tr>
        <w:trPr>
          <w:trHeight w:val="1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Od: Odesláno: Komu: Kopie: Předmět: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9. května 2019 11:15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Dodatky ke smlouvám na PD s Ing. Juřinou</w:t>
            </w:r>
          </w:p>
        </w:tc>
      </w:tr>
      <w:tr>
        <w:trPr>
          <w:trHeight w:val="4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Dobrý den,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56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ještě se na Vás obracím s prosbou o dodatek ke smlouvám s projektantem p, Ing. Juřinou. Týká se to PD 11/409 Křeč, a 111/12916 Hořepník, průtah, šlo by o prodloužení termínu odevzdání do konce května 2019. Níže zasílám žádost projektanta.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From: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Tuesday, May 7, 2019 4:09 PM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4475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pksusv.cz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&gt;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Fwd: zásilka služby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Úschovna.cz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 paní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telefonické dohody přeposílám oznámení o uložení zásilky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Žádám tímto o dodatek SOD k akcím 11/409 Křeč průtah - termín odevzdání PDPS, 111/12916 Hořepník průtah - termín odevzdání PDPS a 111/11260,111/11261 Mrákotín průtah - termín podání konceptu na vyjádření dotčených orgánů z důvodu zdržení vyjádření vašeho zřizovatele.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další zprávě pošlu ještě další zprávy pro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Děkují předem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Robert Juřina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referent přípravy a realizace staveb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28" w:val="left"/>
        </w:tabs>
        <w:bidi w:val="0"/>
        <w:spacing w:before="0" w:after="18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r\UŮUVt&gt;Kčl t</w:t>
      </w: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ab/>
        <w:t xml:space="preserve">300 Ol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JiniHVU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Tech nicko-s právní oddělení Pelhřimov Myslotínská 1887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4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Pelhřimov 393 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Týká-li se tato e-mailová zpráva jednání o smlouvě, bere její adresát v návaznosti na ust. § 1729 odst. 1 zákona č. 89/2012 Sb., občanský zákoník, na vědomi, že v organizaci Krajská správa a údržba silnic Vysočiny, příspěvkové organizaci podléhá uzavírání smluv stanoveným interním pravidlům a důvodné očekávání uzavření smlouvy je tak možné až po příslušném interním schváleni smlouvy. Přijetí návrhu na uzavření smlouvy (nabídky) s dodatkem nebo odchylkou se v souladu s ust. § 1740 odst. 3 občanského zákoníku vylučuje.</w:t>
      </w:r>
    </w:p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1513" w:left="661" w:right="721" w:bottom="1513" w:header="108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9554845</wp:posOffset>
              </wp:positionV>
              <wp:extent cx="652399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239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4 k SoD č. 19/2017/OŘN/D2/KSÚSV/S,M/1 - část 18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149999999999999pt;margin-top:752.35000000000002pt;width:513.70000000000005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4 k SoD č. 19/2017/OŘN/D2/KSÚSV/S,M/1 - část 18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9518650</wp:posOffset>
              </wp:positionV>
              <wp:extent cx="655637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563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99999999999997pt;margin-top:749.5pt;width:51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10104755</wp:posOffset>
              </wp:positionV>
              <wp:extent cx="356870" cy="9842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[Strana]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83.25pt;margin-top:795.64999999999998pt;width:28.100000000000001pt;height: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[Strana]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5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Nadpis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Záhlaví nebo zápatí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Záhlaví nebo zápatí (2)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