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2F" w:rsidRDefault="004270EE" w:rsidP="007A662F">
      <w:pPr>
        <w:pStyle w:val="Bezmezer"/>
        <w:rPr>
          <w:rFonts w:ascii="Arial" w:hAnsi="Arial" w:cs="Arial"/>
          <w:sz w:val="72"/>
          <w:szCs w:val="72"/>
        </w:rPr>
      </w:pPr>
      <w:fldSimple w:instr=" DOCPROPERTY  KOD.KOD_EVC_BARCODE  \* MERGEFORMAT ">
        <w:r w:rsidRPr="00F54195">
          <w:rPr>
            <w:rFonts w:ascii="Code 128 Notext" w:hAnsi="Code 128 Notext" w:cs="Arial"/>
            <w:sz w:val="72"/>
            <w:szCs w:val="72"/>
          </w:rPr>
          <w:t>µ#7312/BHO/2018-BHOM@-¸</w:t>
        </w:r>
      </w:fldSimple>
    </w:p>
    <w:p w:rsidR="007A662F" w:rsidRPr="008E2E34" w:rsidRDefault="004270EE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7312/BHO/2018-BHOM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4270EE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UZSVM/BHO/8991/2018-BHOM</w:t>
      </w:r>
      <w:r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CF3713" w:rsidP="006B5A0C">
      <w:pPr>
        <w:spacing w:after="0"/>
      </w:pPr>
    </w:p>
    <w:p w:rsidR="003772C7" w:rsidRDefault="004270EE" w:rsidP="003772C7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:rsidR="003772C7" w:rsidRDefault="004270EE" w:rsidP="003772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 sídlem Rašínovo nábřeží 390/42, Nové Město, 128 00 Praha 2,</w:t>
      </w:r>
    </w:p>
    <w:p w:rsidR="003772C7" w:rsidRDefault="004270EE" w:rsidP="003772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 kterou právně jedná Mgr. Pavla Keňová, ředitelka odboru Odloučené pracoviště Hodonín</w:t>
      </w:r>
    </w:p>
    <w:p w:rsidR="003772C7" w:rsidRDefault="004270EE" w:rsidP="003772C7">
      <w:pPr>
        <w:autoSpaceDE w:val="0"/>
        <w:autoSpaceDN w:val="0"/>
        <w:adjustRightInd w:val="0"/>
        <w:spacing w:after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na základě Příkazu generálního ředitele č. 6/2014 v platném znění </w:t>
      </w:r>
    </w:p>
    <w:p w:rsidR="003772C7" w:rsidRDefault="004270EE" w:rsidP="003772C7">
      <w:pPr>
        <w:autoSpaceDE w:val="0"/>
        <w:autoSpaceDN w:val="0"/>
        <w:adjustRightInd w:val="0"/>
        <w:spacing w:after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Územní pracoviště Brno,</w:t>
      </w:r>
    </w:p>
    <w:p w:rsidR="003772C7" w:rsidRDefault="004270EE" w:rsidP="003772C7">
      <w:pPr>
        <w:autoSpaceDE w:val="0"/>
        <w:autoSpaceDN w:val="0"/>
        <w:adjustRightInd w:val="0"/>
        <w:spacing w:after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odbor Odloučené pracoviště Hodonín, Štefánikova 28, 695 01 Hodonín</w:t>
      </w:r>
    </w:p>
    <w:p w:rsidR="003772C7" w:rsidRDefault="004270EE" w:rsidP="003772C7">
      <w:p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IČO: 69797111</w:t>
      </w:r>
    </w:p>
    <w:p w:rsidR="003772C7" w:rsidRDefault="004270EE" w:rsidP="003772C7">
      <w:pPr>
        <w:spacing w:after="0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(dále jen „převodce“)</w:t>
      </w:r>
    </w:p>
    <w:p w:rsidR="003772C7" w:rsidRDefault="004270EE" w:rsidP="003772C7">
      <w:pPr>
        <w:spacing w:before="220" w:after="2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3772C7" w:rsidRDefault="004270EE" w:rsidP="003772C7">
      <w:pPr>
        <w:pStyle w:val="adresa"/>
        <w:tabs>
          <w:tab w:val="left" w:pos="120"/>
        </w:tabs>
        <w:ind w:left="505" w:hanging="505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Jihomoravský kraj</w:t>
      </w:r>
    </w:p>
    <w:p w:rsidR="003772C7" w:rsidRDefault="004270EE" w:rsidP="003772C7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 sídlem Žerotínovo náměstí 449/3, 601 82 Brno,</w:t>
      </w:r>
    </w:p>
    <w:p w:rsidR="003772C7" w:rsidRDefault="004270EE" w:rsidP="003772C7">
      <w:pPr>
        <w:spacing w:after="0"/>
        <w:ind w:right="-14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který zastupuje JUDr. Bohumil Šimek, hejtman</w:t>
      </w:r>
    </w:p>
    <w:p w:rsidR="003772C7" w:rsidRDefault="004270EE" w:rsidP="003772C7">
      <w:pPr>
        <w:spacing w:after="0"/>
        <w:ind w:right="-142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k podpisu smlouvy pověřená Mgr. Ing. Taťána Malá, náměstkyně hejtmana Jihomoravského kraje na základě pověření ze dne 19. 12. 2016</w:t>
      </w:r>
    </w:p>
    <w:p w:rsidR="003772C7" w:rsidRDefault="004270EE" w:rsidP="003772C7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IČO: 70888337, DIČ: CZ70888337,</w:t>
      </w:r>
    </w:p>
    <w:p w:rsidR="003772C7" w:rsidRDefault="004270EE" w:rsidP="003772C7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bankovní spojení: Komerční banka, a. s., číslo účtu: </w:t>
      </w:r>
      <w:r w:rsidR="004B419F">
        <w:rPr>
          <w:rFonts w:ascii="Arial" w:hAnsi="Arial" w:cs="Arial"/>
          <w:color w:val="000000" w:themeColor="text1"/>
        </w:rPr>
        <w:t>XX</w:t>
      </w:r>
      <w:r>
        <w:rPr>
          <w:rFonts w:ascii="Arial" w:hAnsi="Arial" w:cs="Arial"/>
          <w:color w:val="000000" w:themeColor="text1"/>
        </w:rPr>
        <w:t>-</w:t>
      </w:r>
      <w:r w:rsidR="004B419F">
        <w:rPr>
          <w:rFonts w:ascii="Arial" w:hAnsi="Arial" w:cs="Arial"/>
          <w:color w:val="000000" w:themeColor="text1"/>
        </w:rPr>
        <w:t>XXXXXXXXXX</w:t>
      </w:r>
      <w:r>
        <w:rPr>
          <w:rFonts w:ascii="Arial" w:hAnsi="Arial" w:cs="Arial"/>
          <w:color w:val="000000" w:themeColor="text1"/>
        </w:rPr>
        <w:t>/</w:t>
      </w:r>
      <w:r w:rsidR="004B419F">
        <w:rPr>
          <w:rFonts w:ascii="Arial" w:hAnsi="Arial" w:cs="Arial"/>
          <w:color w:val="000000" w:themeColor="text1"/>
        </w:rPr>
        <w:t>XXXX</w:t>
      </w:r>
    </w:p>
    <w:p w:rsidR="003772C7" w:rsidRDefault="004270EE" w:rsidP="003772C7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(dále jen „nabyvatel“)</w:t>
      </w:r>
    </w:p>
    <w:p w:rsidR="003772C7" w:rsidRDefault="00CF3713" w:rsidP="003772C7">
      <w:pPr>
        <w:spacing w:after="0" w:line="276" w:lineRule="auto"/>
        <w:jc w:val="both"/>
        <w:rPr>
          <w:rFonts w:ascii="Arial" w:hAnsi="Arial" w:cs="Arial"/>
          <w:b/>
        </w:rPr>
      </w:pPr>
    </w:p>
    <w:p w:rsidR="003772C7" w:rsidRDefault="004270EE" w:rsidP="003772C7">
      <w:pPr>
        <w:pStyle w:val="Zkladntext2"/>
        <w:rPr>
          <w:rFonts w:ascii="Arial" w:hAnsi="Arial" w:cs="Arial"/>
          <w:i w:val="0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 w:val="0"/>
          <w:iCs/>
          <w:color w:val="000000" w:themeColor="text1"/>
          <w:sz w:val="22"/>
          <w:szCs w:val="22"/>
        </w:rPr>
        <w:t>uzavírají podle ustanovení § 2055 a násl. zákona č. 89/2012 Sb., občanský zákoník, v platném znění (dále jen „zákon č. 89/2012 Sb.“) a podle ustanovení § 22 zákona č. 219/2000 Sb., o majetku České republiky a jejím vystupování v právních vztazích, v platném znění (dále jen „zákon č. 219/2000 Sb.“) tuto</w:t>
      </w:r>
    </w:p>
    <w:p w:rsidR="003772C7" w:rsidRDefault="00CF3713" w:rsidP="003772C7">
      <w:pPr>
        <w:pStyle w:val="para"/>
        <w:ind w:left="3828" w:hanging="3828"/>
        <w:jc w:val="both"/>
        <w:rPr>
          <w:rFonts w:ascii="Arial" w:hAnsi="Arial" w:cs="Arial"/>
          <w:spacing w:val="60"/>
          <w:sz w:val="22"/>
          <w:szCs w:val="28"/>
        </w:rPr>
      </w:pPr>
    </w:p>
    <w:p w:rsidR="003772C7" w:rsidRDefault="00CF3713" w:rsidP="003772C7">
      <w:pPr>
        <w:pStyle w:val="para"/>
        <w:ind w:left="3828" w:hanging="3828"/>
        <w:jc w:val="both"/>
        <w:rPr>
          <w:rFonts w:ascii="Arial" w:hAnsi="Arial" w:cs="Arial"/>
          <w:spacing w:val="60"/>
          <w:sz w:val="22"/>
          <w:szCs w:val="28"/>
        </w:rPr>
      </w:pPr>
    </w:p>
    <w:p w:rsidR="003772C7" w:rsidRDefault="004270EE" w:rsidP="003772C7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SMLOUVU O BEZÚPLATNÉM PŘEVODU VLASTNICKÉHO  PRÁVA K  NEMOVITÉ VĚCI</w:t>
      </w:r>
    </w:p>
    <w:p w:rsidR="003772C7" w:rsidRDefault="00CF3713" w:rsidP="003772C7">
      <w:pPr>
        <w:pStyle w:val="para"/>
        <w:jc w:val="left"/>
        <w:rPr>
          <w:rFonts w:ascii="Arial" w:hAnsi="Arial" w:cs="Arial"/>
          <w:spacing w:val="60"/>
          <w:sz w:val="22"/>
          <w:szCs w:val="22"/>
        </w:rPr>
      </w:pPr>
    </w:p>
    <w:p w:rsidR="003772C7" w:rsidRDefault="004270EE" w:rsidP="003772C7">
      <w:pPr>
        <w:pStyle w:val="para"/>
        <w:tabs>
          <w:tab w:val="left" w:pos="311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č. UZSVM/BHO/8991/2018-BHOM</w:t>
      </w:r>
    </w:p>
    <w:p w:rsidR="003772C7" w:rsidRDefault="00CF3713" w:rsidP="003772C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3772C7" w:rsidRDefault="00CF3713" w:rsidP="003772C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3772C7" w:rsidRDefault="004270EE" w:rsidP="003772C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:rsidR="003772C7" w:rsidRDefault="00CF3713" w:rsidP="003772C7">
      <w:pPr>
        <w:pStyle w:val="para"/>
        <w:jc w:val="both"/>
        <w:rPr>
          <w:rFonts w:ascii="Arial" w:hAnsi="Arial" w:cs="Arial"/>
          <w:b w:val="0"/>
          <w:sz w:val="12"/>
        </w:rPr>
      </w:pPr>
    </w:p>
    <w:p w:rsidR="003772C7" w:rsidRDefault="004270EE" w:rsidP="003772C7">
      <w:pPr>
        <w:pStyle w:val="Textvbloku"/>
        <w:numPr>
          <w:ilvl w:val="0"/>
          <w:numId w:val="1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Česká republika je vlastníkem níže uvedených nemovitých věcí:</w:t>
      </w:r>
    </w:p>
    <w:p w:rsidR="003772C7" w:rsidRDefault="00CF3713" w:rsidP="003772C7">
      <w:pPr>
        <w:pStyle w:val="para"/>
        <w:tabs>
          <w:tab w:val="clear" w:pos="709"/>
          <w:tab w:val="center" w:pos="4536"/>
          <w:tab w:val="left" w:pos="5222"/>
        </w:tabs>
        <w:spacing w:before="60"/>
        <w:jc w:val="both"/>
        <w:rPr>
          <w:rFonts w:ascii="Arial" w:hAnsi="Arial" w:cs="Arial"/>
          <w:b w:val="0"/>
          <w:bCs/>
          <w:sz w:val="12"/>
        </w:rPr>
      </w:pPr>
    </w:p>
    <w:p w:rsidR="003772C7" w:rsidRDefault="004270EE" w:rsidP="003772C7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Pozemky:</w:t>
      </w:r>
    </w:p>
    <w:p w:rsidR="003772C7" w:rsidRDefault="004270EE" w:rsidP="003772C7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pozemková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parcela číslo: 1446/1, druh pozemku: ostatní plocha, způsob využití: silnice</w:t>
      </w:r>
    </w:p>
    <w:p w:rsidR="009A60F5" w:rsidRDefault="004270EE" w:rsidP="009A60F5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pozemková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parcela číslo: 1446/3, druh pozemku: ostatní plocha, způsob využití: silnice</w:t>
      </w:r>
    </w:p>
    <w:p w:rsidR="009A60F5" w:rsidRDefault="004270EE" w:rsidP="009A60F5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pozemková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parcela číslo: 1458/1, druh pozemku: ostatní plocha, způsob využití: silnice</w:t>
      </w:r>
    </w:p>
    <w:p w:rsidR="009A60F5" w:rsidRDefault="004270EE" w:rsidP="009A60F5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pozemková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parcela číslo: 1459/1, druh pozemku: ostatní plocha, způsob využití: silnice</w:t>
      </w:r>
    </w:p>
    <w:p w:rsidR="009A60F5" w:rsidRDefault="004270EE" w:rsidP="009A60F5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pozemková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parcela číslo: 1460, druh pozemku: ostatní plocha, způsob využití: silnice</w:t>
      </w:r>
    </w:p>
    <w:p w:rsidR="009A60F5" w:rsidRDefault="004270EE" w:rsidP="009A60F5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pozemková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parcela číslo: 1466, druh pozemku: ostatní plocha, způsob využití: silnice</w:t>
      </w:r>
    </w:p>
    <w:p w:rsidR="009A60F5" w:rsidRDefault="004270EE" w:rsidP="009A60F5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pozemková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parcela číslo: 1467/1, druh pozemku: ostatní plocha, způsob využití: silnice,</w:t>
      </w:r>
    </w:p>
    <w:p w:rsidR="009A60F5" w:rsidRDefault="00CF3713" w:rsidP="003772C7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3772C7" w:rsidRDefault="004270EE" w:rsidP="003772C7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zapsané na listu vlastnictví č. 60000, pro kat. území Hýsly, obec Hýsly, v katastru nemovitostí vedeném Katastrálním úřadem pro Jihomoravský kraj, Katastrálním pracovištěm Kyjov.</w:t>
      </w:r>
    </w:p>
    <w:p w:rsidR="003772C7" w:rsidRDefault="004270EE" w:rsidP="003772C7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outlineLv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„převáděný majetek“)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3772C7" w:rsidRDefault="00CF3713" w:rsidP="003772C7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:rsidR="0011099F" w:rsidRPr="00BE0583" w:rsidRDefault="004270EE" w:rsidP="0011099F">
      <w:pPr>
        <w:pStyle w:val="para"/>
        <w:numPr>
          <w:ilvl w:val="0"/>
          <w:numId w:val="2"/>
        </w:numPr>
        <w:tabs>
          <w:tab w:val="clear" w:pos="720"/>
          <w:tab w:val="num" w:pos="426"/>
          <w:tab w:val="center" w:pos="4536"/>
          <w:tab w:val="left" w:pos="5222"/>
        </w:tabs>
        <w:spacing w:before="60"/>
        <w:ind w:left="426" w:hanging="426"/>
        <w:jc w:val="both"/>
        <w:rPr>
          <w:rFonts w:ascii="Arial" w:hAnsi="Arial" w:cs="Arial"/>
          <w:b w:val="0"/>
          <w:bCs/>
          <w:i/>
          <w:color w:val="000000"/>
          <w:sz w:val="22"/>
          <w:szCs w:val="22"/>
          <w:u w:val="single"/>
        </w:rPr>
      </w:pPr>
      <w:r w:rsidRPr="00BE0583">
        <w:rPr>
          <w:rFonts w:ascii="Arial" w:hAnsi="Arial" w:cs="Arial"/>
          <w:b w:val="0"/>
          <w:color w:val="000000"/>
          <w:sz w:val="22"/>
          <w:szCs w:val="22"/>
        </w:rPr>
        <w:t xml:space="preserve">Úřad pro zastupování státu ve věcech majetkových je na základě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Ohlášení příslušnosti k hospodaření s majetkem státu č. j. UZSVM/BHO/1656/2006-BHOO/Rp2082 ze dne </w:t>
      </w:r>
      <w:r>
        <w:rPr>
          <w:rFonts w:ascii="Arial" w:hAnsi="Arial" w:cs="Arial"/>
          <w:b w:val="0"/>
          <w:color w:val="000000"/>
          <w:sz w:val="22"/>
          <w:szCs w:val="22"/>
        </w:rPr>
        <w:br/>
      </w:r>
      <w:r>
        <w:rPr>
          <w:rFonts w:ascii="Arial" w:hAnsi="Arial" w:cs="Arial"/>
          <w:b w:val="0"/>
          <w:color w:val="000000"/>
          <w:sz w:val="22"/>
          <w:szCs w:val="22"/>
        </w:rPr>
        <w:lastRenderedPageBreak/>
        <w:t xml:space="preserve">8. 9. 2006 </w:t>
      </w:r>
      <w:r w:rsidRPr="00BE0583">
        <w:rPr>
          <w:rFonts w:ascii="Arial" w:hAnsi="Arial" w:cs="Arial"/>
          <w:b w:val="0"/>
          <w:color w:val="000000"/>
          <w:sz w:val="22"/>
          <w:szCs w:val="22"/>
        </w:rPr>
        <w:t>příslušný s převáděným ma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jetkem hospodařit, </w:t>
      </w:r>
      <w:r w:rsidRPr="00BE0583">
        <w:rPr>
          <w:rFonts w:ascii="Arial" w:hAnsi="Arial" w:cs="Arial"/>
          <w:b w:val="0"/>
          <w:color w:val="000000"/>
          <w:sz w:val="22"/>
          <w:szCs w:val="22"/>
        </w:rPr>
        <w:t>a to ve smyslu § 9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BE0583">
        <w:rPr>
          <w:rFonts w:ascii="Arial" w:hAnsi="Arial" w:cs="Arial"/>
          <w:b w:val="0"/>
          <w:color w:val="000000"/>
          <w:sz w:val="22"/>
          <w:szCs w:val="22"/>
        </w:rPr>
        <w:t xml:space="preserve">zákona č. 219/2000 Sb. </w:t>
      </w:r>
    </w:p>
    <w:p w:rsidR="003772C7" w:rsidRDefault="00CF3713" w:rsidP="003772C7">
      <w:pPr>
        <w:pStyle w:val="para"/>
        <w:tabs>
          <w:tab w:val="clear" w:pos="709"/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sz w:val="20"/>
        </w:rPr>
      </w:pPr>
    </w:p>
    <w:p w:rsidR="003772C7" w:rsidRDefault="004270EE" w:rsidP="003772C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:rsidR="003772C7" w:rsidRDefault="00CF3713" w:rsidP="003772C7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12"/>
          <w:szCs w:val="22"/>
        </w:rPr>
      </w:pPr>
    </w:p>
    <w:p w:rsidR="003772C7" w:rsidRDefault="004270EE" w:rsidP="003772C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Převodce touto smlouvou bezúplatně převádí nabyvateli vlastnické právo k převáděnému majetku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a nabyvatel je do svého výlučného vlastnictví přijímá.</w:t>
      </w:r>
    </w:p>
    <w:p w:rsidR="003772C7" w:rsidRDefault="00CF3713" w:rsidP="003772C7">
      <w:pPr>
        <w:spacing w:after="0"/>
        <w:ind w:left="357"/>
        <w:jc w:val="both"/>
        <w:rPr>
          <w:rFonts w:ascii="Arial" w:hAnsi="Arial" w:cs="Arial"/>
          <w:bCs/>
        </w:rPr>
      </w:pPr>
    </w:p>
    <w:p w:rsidR="003772C7" w:rsidRDefault="004270EE" w:rsidP="003772C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Vlastnické právo k převáděnému majetku se bezúplatně převádí z důvodu veřejného zájmu v souladu s ustanovením § 22 odst. 3 zákona č. 219/2000 Sb. a § 9 zákona č. 13/1997 Sb., o pozemních komunikacích, ve znění pozdějších předpisů. Na převáděném majetku se nachází silnice třetí třídy č. III/42210, č. III/42213 a č. III/42216 a silniční pomocný pozemek silnice č. III/42210, ve vlastnictví nabyvatele. </w:t>
      </w:r>
    </w:p>
    <w:p w:rsidR="003772C7" w:rsidRDefault="00CF3713" w:rsidP="003772C7">
      <w:pPr>
        <w:spacing w:after="0"/>
        <w:ind w:left="357"/>
        <w:jc w:val="both"/>
        <w:rPr>
          <w:rFonts w:ascii="Arial" w:hAnsi="Arial" w:cs="Arial"/>
          <w:bCs/>
        </w:rPr>
      </w:pPr>
    </w:p>
    <w:p w:rsidR="003772C7" w:rsidRDefault="004270EE" w:rsidP="003772C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Nabyvatel prohlašuje, že se seznámil s faktickým stavem převáděného majetku.</w:t>
      </w:r>
    </w:p>
    <w:p w:rsidR="003772C7" w:rsidRDefault="00CF3713" w:rsidP="003772C7">
      <w:pPr>
        <w:pStyle w:val="para"/>
        <w:tabs>
          <w:tab w:val="center" w:pos="4536"/>
          <w:tab w:val="left" w:pos="5222"/>
        </w:tabs>
        <w:rPr>
          <w:rFonts w:ascii="Arial" w:hAnsi="Arial" w:cs="Arial"/>
          <w:bCs/>
          <w:sz w:val="22"/>
          <w:u w:val="single"/>
        </w:rPr>
      </w:pPr>
    </w:p>
    <w:p w:rsidR="003772C7" w:rsidRDefault="00CF3713" w:rsidP="003772C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3772C7" w:rsidRDefault="004270EE" w:rsidP="003772C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:rsidR="003772C7" w:rsidRDefault="00CF3713" w:rsidP="003772C7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12"/>
          <w:szCs w:val="22"/>
        </w:rPr>
      </w:pPr>
    </w:p>
    <w:p w:rsidR="003772C7" w:rsidRDefault="004270EE" w:rsidP="003772C7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Převodce i nabyvatel shodně prohlašují, že jim nejsou známy žádné skutečnosti, které by uzavření této smlouvy bránily.</w:t>
      </w:r>
    </w:p>
    <w:p w:rsidR="003772C7" w:rsidRDefault="00CF3713" w:rsidP="003772C7">
      <w:pPr>
        <w:pStyle w:val="para"/>
        <w:tabs>
          <w:tab w:val="center" w:pos="4536"/>
          <w:tab w:val="left" w:pos="5222"/>
        </w:tabs>
        <w:ind w:left="397"/>
        <w:jc w:val="both"/>
        <w:rPr>
          <w:rFonts w:ascii="Arial" w:hAnsi="Arial" w:cs="Arial"/>
          <w:bCs/>
          <w:sz w:val="20"/>
          <w:u w:val="single"/>
        </w:rPr>
      </w:pPr>
    </w:p>
    <w:p w:rsidR="0011099F" w:rsidRPr="0074615E" w:rsidRDefault="004270EE" w:rsidP="00BE21F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4615E">
        <w:rPr>
          <w:rFonts w:ascii="Arial" w:hAnsi="Arial" w:cs="Arial"/>
          <w:bCs/>
          <w:color w:val="000000"/>
          <w:sz w:val="22"/>
          <w:szCs w:val="22"/>
        </w:rPr>
        <w:t>Nabyvatel bere na vědomí, že pozemek pozemková parc. č. 1446/1 je dotčen, se všemi souvisejícími dopady, vedením podzemního kabelového vedení NN a dále to, že se na převáděném majetku mohou nacházet i jiné inženýrské sítě, kdy v případě pochybností ohledně uložení inženýrských sítí poskytnou nabyvateli bližší informace jednotliví (v úvahu přicházející) správci inženýrských sítí.</w:t>
      </w:r>
    </w:p>
    <w:p w:rsidR="00F51F25" w:rsidRPr="00B87A8D" w:rsidRDefault="00CF3713" w:rsidP="00F51F25">
      <w:pPr>
        <w:pStyle w:val="Odstavecseseznamem"/>
        <w:ind w:left="39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51F25" w:rsidRDefault="004270EE" w:rsidP="00F51F2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7A8D">
        <w:rPr>
          <w:rFonts w:ascii="Arial" w:hAnsi="Arial" w:cs="Arial"/>
          <w:color w:val="000000" w:themeColor="text1"/>
          <w:sz w:val="22"/>
          <w:szCs w:val="22"/>
        </w:rPr>
        <w:t xml:space="preserve">K pozemku pozemková parc. č. 1446/1 bylo zřízeno věcné břemeno (služebnost) zřizování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B87A8D">
        <w:rPr>
          <w:rFonts w:ascii="Arial" w:hAnsi="Arial" w:cs="Arial"/>
          <w:color w:val="000000" w:themeColor="text1"/>
          <w:sz w:val="22"/>
          <w:szCs w:val="22"/>
        </w:rPr>
        <w:t xml:space="preserve">a provozování vedení spočívající ve zřízení a provozování energetického zařízení – podzemního kabelového vedení NN v rozsahu dle geometrických plánů č. 342-431b/2017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B87A8D">
        <w:rPr>
          <w:rFonts w:ascii="Arial" w:hAnsi="Arial" w:cs="Arial"/>
          <w:color w:val="000000" w:themeColor="text1"/>
          <w:sz w:val="22"/>
          <w:szCs w:val="22"/>
        </w:rPr>
        <w:t>a č. 345-20024b/2018 ve prospěch E. ON Distribuce, a. s.</w:t>
      </w:r>
    </w:p>
    <w:p w:rsidR="001C0922" w:rsidRPr="001C0922" w:rsidRDefault="00CF3713" w:rsidP="001C0922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1C0922" w:rsidRPr="00B87A8D" w:rsidRDefault="004270EE" w:rsidP="00F51F2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Nabyvatel bere na vědomí, že pozemek pozemková parc. č. 1446/3 leží v ploše ochrany krajiny. </w:t>
      </w:r>
    </w:p>
    <w:p w:rsidR="003772C7" w:rsidRDefault="00CF3713" w:rsidP="003772C7">
      <w:pPr>
        <w:tabs>
          <w:tab w:val="num" w:pos="284"/>
        </w:tabs>
        <w:spacing w:after="0"/>
        <w:ind w:hanging="357"/>
        <w:jc w:val="both"/>
        <w:rPr>
          <w:rFonts w:ascii="Arial" w:hAnsi="Arial" w:cs="Arial"/>
        </w:rPr>
      </w:pPr>
    </w:p>
    <w:p w:rsidR="003772C7" w:rsidRDefault="004270EE" w:rsidP="003772C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Převodce prohlašuje, že mu není známo, že by na převáděném majetku vázla nějaká další omezení, závazky či právní vady.</w:t>
      </w:r>
    </w:p>
    <w:p w:rsidR="003772C7" w:rsidRDefault="00CF3713" w:rsidP="003772C7">
      <w:pPr>
        <w:tabs>
          <w:tab w:val="num" w:pos="284"/>
        </w:tabs>
        <w:spacing w:after="0"/>
        <w:ind w:hanging="357"/>
        <w:jc w:val="both"/>
        <w:rPr>
          <w:rFonts w:ascii="Arial" w:hAnsi="Arial" w:cs="Arial"/>
          <w:color w:val="000000" w:themeColor="text1"/>
        </w:rPr>
      </w:pPr>
    </w:p>
    <w:p w:rsidR="003772C7" w:rsidRDefault="00CF3713" w:rsidP="003772C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3772C7" w:rsidRDefault="004270EE" w:rsidP="003772C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:rsidR="003772C7" w:rsidRDefault="00CF3713" w:rsidP="003772C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12"/>
          <w:szCs w:val="22"/>
        </w:rPr>
      </w:pPr>
    </w:p>
    <w:p w:rsidR="003772C7" w:rsidRDefault="004270EE" w:rsidP="003772C7">
      <w:pPr>
        <w:pStyle w:val="vn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převáděnému majetku nabývá nabyvatel dnem zápisu do katastru nemovitostí. Tímto dnem na nabyvatele přecházejí veškerá práva a povinnosti spojená s vlastnictvím a užíváním převáděného majetku.</w:t>
      </w:r>
    </w:p>
    <w:p w:rsidR="003772C7" w:rsidRDefault="00CF3713" w:rsidP="003772C7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:rsidR="003772C7" w:rsidRDefault="004270EE" w:rsidP="003772C7">
      <w:pPr>
        <w:pStyle w:val="vn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návrh na zápis vkladu vlastnického práva do katastru nemovitostí podává převodce.</w:t>
      </w:r>
    </w:p>
    <w:p w:rsidR="003772C7" w:rsidRDefault="004270EE" w:rsidP="003772C7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772C7" w:rsidRDefault="004270EE" w:rsidP="003772C7">
      <w:pPr>
        <w:pStyle w:val="Zkladntext"/>
        <w:numPr>
          <w:ilvl w:val="0"/>
          <w:numId w:val="6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by příslušným Katastrálním úřadem byl návrh na zápis vkladu vlastnického práva k převáděnému majetku dle této smlouvy pro nabyvatele pravomocně zamítnut, účastníci této smlouvy se zavazují k součinnosti směřující k naplnění vůle obou smluvních stran.</w:t>
      </w:r>
    </w:p>
    <w:p w:rsidR="003772C7" w:rsidRDefault="00CF3713" w:rsidP="003772C7">
      <w:pPr>
        <w:pStyle w:val="para"/>
        <w:rPr>
          <w:rFonts w:ascii="Arial" w:hAnsi="Arial" w:cs="Arial"/>
          <w:sz w:val="22"/>
          <w:szCs w:val="22"/>
        </w:rPr>
      </w:pPr>
    </w:p>
    <w:p w:rsidR="003772C7" w:rsidRDefault="00CF3713" w:rsidP="003772C7">
      <w:pPr>
        <w:pStyle w:val="para"/>
        <w:rPr>
          <w:rFonts w:ascii="Arial" w:hAnsi="Arial" w:cs="Arial"/>
          <w:sz w:val="22"/>
          <w:szCs w:val="22"/>
        </w:rPr>
      </w:pPr>
    </w:p>
    <w:p w:rsidR="003772C7" w:rsidRDefault="004270EE" w:rsidP="003772C7">
      <w:pPr>
        <w:pStyle w:val="para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Čl. V.</w:t>
      </w:r>
    </w:p>
    <w:p w:rsidR="003772C7" w:rsidRDefault="00CF3713" w:rsidP="003772C7">
      <w:pPr>
        <w:pStyle w:val="para"/>
        <w:jc w:val="left"/>
        <w:rPr>
          <w:rFonts w:ascii="Arial" w:hAnsi="Arial" w:cs="Arial"/>
          <w:color w:val="FF0000"/>
          <w:sz w:val="12"/>
          <w:szCs w:val="22"/>
        </w:rPr>
      </w:pPr>
    </w:p>
    <w:p w:rsidR="003772C7" w:rsidRDefault="004270EE" w:rsidP="003772C7">
      <w:pPr>
        <w:pStyle w:val="Odstavecseseznamem"/>
        <w:numPr>
          <w:ilvl w:val="0"/>
          <w:numId w:val="7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Smlouva je uzavřena okamžikem podpisu poslední smluvní stranou.</w:t>
      </w:r>
    </w:p>
    <w:p w:rsidR="00363CF3" w:rsidRDefault="00CF3713" w:rsidP="003772C7">
      <w:pPr>
        <w:shd w:val="clear" w:color="auto" w:fill="FFFFFF"/>
        <w:spacing w:after="0"/>
        <w:ind w:left="426" w:hanging="426"/>
        <w:jc w:val="both"/>
        <w:outlineLvl w:val="0"/>
        <w:rPr>
          <w:rFonts w:ascii="Arial" w:hAnsi="Arial" w:cs="Arial"/>
          <w:color w:val="FF0000"/>
        </w:rPr>
      </w:pPr>
    </w:p>
    <w:p w:rsidR="003772C7" w:rsidRPr="00363CF3" w:rsidRDefault="00CF3713" w:rsidP="00363CF3">
      <w:pPr>
        <w:jc w:val="right"/>
        <w:rPr>
          <w:rFonts w:ascii="Arial" w:hAnsi="Arial" w:cs="Arial"/>
        </w:rPr>
      </w:pPr>
    </w:p>
    <w:p w:rsidR="003772C7" w:rsidRDefault="004270EE" w:rsidP="003772C7">
      <w:pPr>
        <w:pStyle w:val="Odstavecseseznamem"/>
        <w:numPr>
          <w:ilvl w:val="0"/>
          <w:numId w:val="7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Smlouva nabývá platnosti a účinnosti dnem jejího uveřejnění v registru smluv v souladu se zákonem č. 340/2015 Sb., o zvláštních podmínkách účinnosti některých smluv, uveřejňování těchto smluv a o registru smluv (zákon o registru smluv).</w:t>
      </w:r>
    </w:p>
    <w:p w:rsidR="003772C7" w:rsidRDefault="00CF3713" w:rsidP="003772C7">
      <w:pPr>
        <w:shd w:val="clear" w:color="auto" w:fill="FFFFFF"/>
        <w:spacing w:after="0"/>
        <w:ind w:left="426" w:hanging="426"/>
        <w:jc w:val="both"/>
        <w:outlineLvl w:val="0"/>
        <w:rPr>
          <w:rFonts w:ascii="Arial" w:hAnsi="Arial" w:cs="Arial"/>
          <w:color w:val="000000" w:themeColor="text1"/>
        </w:rPr>
      </w:pPr>
    </w:p>
    <w:p w:rsidR="003772C7" w:rsidRDefault="004270EE" w:rsidP="003772C7">
      <w:pPr>
        <w:pStyle w:val="vnintext"/>
        <w:numPr>
          <w:ilvl w:val="0"/>
          <w:numId w:val="7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Převodce zašle tuto smlouvu správci registru smluv k uveřejnění bez zbytečného odkladu, nejpozději však do 30 dnů od uzavření smlouvy. Převodce předá nabyvateli doklad o uveřejnění smlouvy v registru smluv podle § 5 odst. 4 zákona č. 340/2015 Sb., o registru smluv, jako potvrzení skutečnosti, že smlouva nabyla účinnosti.</w:t>
      </w:r>
    </w:p>
    <w:p w:rsidR="003772C7" w:rsidRDefault="00CF3713" w:rsidP="003772C7">
      <w:pPr>
        <w:shd w:val="clear" w:color="auto" w:fill="FFFFFF"/>
        <w:spacing w:after="0"/>
        <w:ind w:left="426" w:hanging="426"/>
        <w:jc w:val="both"/>
        <w:outlineLvl w:val="0"/>
        <w:rPr>
          <w:rFonts w:ascii="Arial" w:hAnsi="Arial" w:cs="Arial"/>
          <w:color w:val="FF0000"/>
        </w:rPr>
      </w:pPr>
    </w:p>
    <w:p w:rsidR="003772C7" w:rsidRDefault="004270EE" w:rsidP="003772C7">
      <w:pPr>
        <w:pStyle w:val="Odstavecseseznamem"/>
        <w:numPr>
          <w:ilvl w:val="0"/>
          <w:numId w:val="7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Pro účely uveřejnění v registru smluv smluvní strany navzájem prohlašují, že smlouva neobsahuje žádné obchodní tajemství.</w:t>
      </w:r>
    </w:p>
    <w:p w:rsidR="003772C7" w:rsidRDefault="00CF3713" w:rsidP="003772C7">
      <w:pPr>
        <w:shd w:val="clear" w:color="auto" w:fill="FFFFFF"/>
        <w:spacing w:after="0"/>
        <w:ind w:left="426" w:hanging="426"/>
        <w:jc w:val="both"/>
        <w:outlineLvl w:val="0"/>
        <w:rPr>
          <w:rFonts w:ascii="Arial" w:hAnsi="Arial" w:cs="Arial"/>
          <w:color w:val="FF0000"/>
        </w:rPr>
      </w:pPr>
    </w:p>
    <w:p w:rsidR="003772C7" w:rsidRDefault="004270EE" w:rsidP="003772C7">
      <w:pPr>
        <w:pStyle w:val="Odstavecseseznamem"/>
        <w:numPr>
          <w:ilvl w:val="0"/>
          <w:numId w:val="7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Smluvní strany berou na vědomí, že jsou svými projevy vázány od okamžiku podpisu této smlouvy.</w:t>
      </w:r>
    </w:p>
    <w:p w:rsidR="003772C7" w:rsidRDefault="00CF3713" w:rsidP="003772C7">
      <w:pPr>
        <w:shd w:val="clear" w:color="auto" w:fill="FFFFFF"/>
        <w:spacing w:after="0"/>
        <w:ind w:left="426" w:hanging="426"/>
        <w:jc w:val="both"/>
        <w:outlineLvl w:val="0"/>
        <w:rPr>
          <w:rFonts w:ascii="Arial" w:hAnsi="Arial" w:cs="Arial"/>
          <w:color w:val="FF0000"/>
        </w:rPr>
      </w:pPr>
    </w:p>
    <w:p w:rsidR="003772C7" w:rsidRDefault="004270EE" w:rsidP="003772C7">
      <w:pPr>
        <w:pStyle w:val="Odstavecseseznamem"/>
        <w:numPr>
          <w:ilvl w:val="0"/>
          <w:numId w:val="7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Smluvní strany se dohodly, že není-li v této smlouvě stanoveno jinak, řídí se práva a povinnosti smluvních stran zákonem č. 89/2012 Sb. a zákonem č. 219/2000 Sb.</w:t>
      </w:r>
    </w:p>
    <w:p w:rsidR="003772C7" w:rsidRDefault="00CF3713" w:rsidP="003772C7">
      <w:pPr>
        <w:shd w:val="clear" w:color="auto" w:fill="FFFFFF"/>
        <w:spacing w:after="0"/>
        <w:ind w:left="426" w:hanging="426"/>
        <w:jc w:val="both"/>
        <w:outlineLvl w:val="0"/>
        <w:rPr>
          <w:rFonts w:ascii="Arial" w:hAnsi="Arial" w:cs="Arial"/>
          <w:color w:val="FF0000"/>
        </w:rPr>
      </w:pPr>
    </w:p>
    <w:p w:rsidR="003772C7" w:rsidRDefault="004270EE" w:rsidP="003772C7">
      <w:pPr>
        <w:pStyle w:val="Odstavecseseznamem"/>
        <w:numPr>
          <w:ilvl w:val="0"/>
          <w:numId w:val="7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Smluvní strany se dohodly, že jakékoli změny a doplňky této smlouvy jsou možné pouze písemnou formou, v podobě oboustranně uzavřených, vzestupně číslovaných dodatků smlouvy.</w:t>
      </w:r>
    </w:p>
    <w:p w:rsidR="003772C7" w:rsidRDefault="00CF3713" w:rsidP="003772C7">
      <w:pPr>
        <w:shd w:val="clear" w:color="auto" w:fill="FFFFFF"/>
        <w:spacing w:after="0"/>
        <w:ind w:left="426" w:hanging="426"/>
        <w:jc w:val="both"/>
        <w:outlineLvl w:val="0"/>
        <w:rPr>
          <w:rFonts w:ascii="Arial" w:hAnsi="Arial" w:cs="Arial"/>
          <w:color w:val="FF0000"/>
        </w:rPr>
      </w:pPr>
    </w:p>
    <w:p w:rsidR="003772C7" w:rsidRDefault="004270EE" w:rsidP="003772C7">
      <w:pPr>
        <w:pStyle w:val="Odstavecseseznamem"/>
        <w:numPr>
          <w:ilvl w:val="0"/>
          <w:numId w:val="7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Poplatkové a daňové povinnosti spojené s touto smlouvou nese nabyvatel.</w:t>
      </w:r>
    </w:p>
    <w:p w:rsidR="003772C7" w:rsidRDefault="00CF3713" w:rsidP="003772C7">
      <w:pPr>
        <w:shd w:val="clear" w:color="auto" w:fill="FFFFFF"/>
        <w:spacing w:after="0"/>
        <w:ind w:left="426" w:hanging="426"/>
        <w:jc w:val="both"/>
        <w:outlineLvl w:val="0"/>
        <w:rPr>
          <w:rFonts w:ascii="Arial" w:hAnsi="Arial" w:cs="Arial"/>
          <w:color w:val="FF0000"/>
        </w:rPr>
      </w:pPr>
    </w:p>
    <w:p w:rsidR="003772C7" w:rsidRDefault="004270EE" w:rsidP="003772C7">
      <w:pPr>
        <w:pStyle w:val="para"/>
        <w:numPr>
          <w:ilvl w:val="0"/>
          <w:numId w:val="7"/>
        </w:numPr>
        <w:ind w:left="426" w:hanging="426"/>
        <w:jc w:val="both"/>
        <w:outlineLvl w:val="0"/>
        <w:rPr>
          <w:rFonts w:ascii="Arial" w:hAnsi="Arial" w:cs="Arial"/>
          <w:b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color w:val="000000" w:themeColor="text1"/>
          <w:sz w:val="22"/>
          <w:szCs w:val="22"/>
        </w:rPr>
        <w:t>Tato smlouva je vyhotovena v 3 stejnopisech</w:t>
      </w:r>
      <w:r>
        <w:rPr>
          <w:rFonts w:ascii="Arial" w:hAnsi="Arial" w:cs="Arial"/>
          <w:b w:val="0"/>
          <w:i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b w:val="0"/>
          <w:color w:val="000000" w:themeColor="text1"/>
          <w:sz w:val="22"/>
          <w:szCs w:val="22"/>
        </w:rPr>
        <w:t>Každá ze smluvních stran obdrží po jednom vyhotovení. Jedno vyhotovení bude použito k zápisu vlastnického práva vkladem do katastru nemovitostí.</w:t>
      </w:r>
    </w:p>
    <w:p w:rsidR="003772C7" w:rsidRDefault="00CF3713" w:rsidP="003772C7">
      <w:pPr>
        <w:shd w:val="clear" w:color="auto" w:fill="FFFFFF"/>
        <w:spacing w:after="0"/>
        <w:ind w:left="426" w:hanging="426"/>
        <w:jc w:val="both"/>
        <w:outlineLvl w:val="0"/>
        <w:rPr>
          <w:rFonts w:ascii="Arial" w:hAnsi="Arial" w:cs="Arial"/>
          <w:color w:val="FF0000"/>
        </w:rPr>
      </w:pPr>
    </w:p>
    <w:p w:rsidR="003772C7" w:rsidRDefault="004270EE" w:rsidP="003772C7">
      <w:pPr>
        <w:pStyle w:val="para"/>
        <w:numPr>
          <w:ilvl w:val="0"/>
          <w:numId w:val="7"/>
        </w:numPr>
        <w:ind w:left="426" w:hanging="426"/>
        <w:jc w:val="both"/>
        <w:outlineLvl w:val="0"/>
        <w:rPr>
          <w:rFonts w:ascii="Arial" w:hAnsi="Arial" w:cs="Arial"/>
          <w:b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color w:val="000000" w:themeColor="text1"/>
          <w:sz w:val="22"/>
          <w:szCs w:val="22"/>
        </w:rPr>
        <w:t>Nedílnou součástí této smlouvy je doložka dle zákona č. 129/2000 Sb., o krajích (krajské zřízení), ve znění pozdějších předpisů</w:t>
      </w:r>
    </w:p>
    <w:p w:rsidR="003772C7" w:rsidRDefault="00CF3713" w:rsidP="003772C7">
      <w:pPr>
        <w:pStyle w:val="para"/>
        <w:tabs>
          <w:tab w:val="clear" w:pos="709"/>
          <w:tab w:val="center" w:pos="4536"/>
          <w:tab w:val="left" w:pos="5222"/>
        </w:tabs>
        <w:ind w:left="426" w:hanging="426"/>
        <w:jc w:val="both"/>
        <w:outlineLvl w:val="0"/>
        <w:rPr>
          <w:rFonts w:ascii="Arial" w:hAnsi="Arial" w:cs="Arial"/>
          <w:b w:val="0"/>
          <w:color w:val="FF0000"/>
          <w:sz w:val="22"/>
          <w:szCs w:val="22"/>
          <w:u w:val="single"/>
        </w:rPr>
      </w:pPr>
    </w:p>
    <w:p w:rsidR="003772C7" w:rsidRDefault="004270EE" w:rsidP="003772C7">
      <w:pPr>
        <w:pStyle w:val="para"/>
        <w:numPr>
          <w:ilvl w:val="0"/>
          <w:numId w:val="7"/>
        </w:numPr>
        <w:tabs>
          <w:tab w:val="clear" w:pos="709"/>
          <w:tab w:val="center" w:pos="4536"/>
          <w:tab w:val="left" w:pos="5222"/>
        </w:tabs>
        <w:ind w:left="426" w:hanging="426"/>
        <w:jc w:val="both"/>
        <w:outlineLvl w:val="0"/>
        <w:rPr>
          <w:rFonts w:ascii="Arial" w:hAnsi="Arial" w:cs="Arial"/>
          <w:b w:val="0"/>
          <w:bCs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color w:val="000000" w:themeColor="text1"/>
          <w:sz w:val="22"/>
          <w:szCs w:val="22"/>
        </w:rPr>
        <w:t>Smluvní strany prohlašují, že tuto smlouvu uzavřely svobodně a vážně, nikoliv z přinucení nebo omylu. Na důkaz toho připojují své vlastnoruční podpisy.</w:t>
      </w:r>
    </w:p>
    <w:p w:rsidR="003772C7" w:rsidRDefault="00CF3713" w:rsidP="003772C7">
      <w:pPr>
        <w:pStyle w:val="para"/>
        <w:tabs>
          <w:tab w:val="clear" w:pos="709"/>
          <w:tab w:val="center" w:pos="4536"/>
          <w:tab w:val="left" w:pos="5222"/>
        </w:tabs>
        <w:ind w:left="426" w:hanging="426"/>
        <w:jc w:val="both"/>
        <w:outlineLvl w:val="0"/>
        <w:rPr>
          <w:rFonts w:ascii="Arial" w:hAnsi="Arial" w:cs="Arial"/>
          <w:b w:val="0"/>
          <w:bCs/>
          <w:iCs/>
          <w:color w:val="FF0000"/>
          <w:sz w:val="22"/>
          <w:szCs w:val="22"/>
        </w:rPr>
      </w:pPr>
    </w:p>
    <w:p w:rsidR="003772C7" w:rsidRDefault="00CF3713" w:rsidP="003772C7">
      <w:pPr>
        <w:pStyle w:val="para"/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bCs/>
          <w:iCs/>
          <w:color w:val="FF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BB2B3F" w:rsidTr="003772C7">
        <w:trPr>
          <w:jc w:val="center"/>
        </w:trPr>
        <w:tc>
          <w:tcPr>
            <w:tcW w:w="4605" w:type="dxa"/>
            <w:hideMark/>
          </w:tcPr>
          <w:p w:rsidR="003772C7" w:rsidRDefault="004270EE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Hodoníně dne</w:t>
            </w:r>
            <w:r w:rsidR="004B419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24. 05. 2019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4605" w:type="dxa"/>
            <w:hideMark/>
          </w:tcPr>
          <w:p w:rsidR="003772C7" w:rsidRDefault="004270EE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Brně dne</w:t>
            </w:r>
            <w:r w:rsidR="004B419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6. 05. 2019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B2B3F" w:rsidTr="003772C7">
        <w:trPr>
          <w:trHeight w:val="925"/>
          <w:jc w:val="center"/>
        </w:trPr>
        <w:tc>
          <w:tcPr>
            <w:tcW w:w="4605" w:type="dxa"/>
          </w:tcPr>
          <w:p w:rsidR="003772C7" w:rsidRDefault="00CF3713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72C7" w:rsidRDefault="004270EE">
            <w:pPr>
              <w:pStyle w:val="vnintext"/>
              <w:spacing w:line="252" w:lineRule="auto"/>
              <w:ind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Česká republika - Úřad pro zastupování</w:t>
            </w:r>
          </w:p>
          <w:p w:rsidR="003772C7" w:rsidRDefault="004270EE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státu ve věcech majetkových</w:t>
            </w:r>
          </w:p>
          <w:p w:rsidR="003772C7" w:rsidRDefault="004270EE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</w:t>
            </w:r>
          </w:p>
        </w:tc>
        <w:tc>
          <w:tcPr>
            <w:tcW w:w="4605" w:type="dxa"/>
          </w:tcPr>
          <w:p w:rsidR="003772C7" w:rsidRDefault="00CF3713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2B3F" w:rsidTr="003772C7">
        <w:trPr>
          <w:trHeight w:val="925"/>
          <w:jc w:val="center"/>
        </w:trPr>
        <w:tc>
          <w:tcPr>
            <w:tcW w:w="4605" w:type="dxa"/>
          </w:tcPr>
          <w:p w:rsidR="003772C7" w:rsidRDefault="00CF3713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72C7" w:rsidRDefault="00CF3713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72C7" w:rsidRDefault="00CF3713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72C7" w:rsidRDefault="004270EE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…………………………….……………….</w:t>
            </w:r>
          </w:p>
        </w:tc>
        <w:tc>
          <w:tcPr>
            <w:tcW w:w="4605" w:type="dxa"/>
          </w:tcPr>
          <w:p w:rsidR="003772C7" w:rsidRDefault="00CF3713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72C7" w:rsidRDefault="00CF3713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72C7" w:rsidRDefault="00CF3713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72C7" w:rsidRDefault="004270EE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…………………………….……………………</w:t>
            </w:r>
          </w:p>
        </w:tc>
      </w:tr>
      <w:tr w:rsidR="00BB2B3F" w:rsidTr="003772C7">
        <w:trPr>
          <w:trHeight w:val="925"/>
          <w:jc w:val="center"/>
        </w:trPr>
        <w:tc>
          <w:tcPr>
            <w:tcW w:w="4605" w:type="dxa"/>
            <w:hideMark/>
          </w:tcPr>
          <w:p w:rsidR="003772C7" w:rsidRDefault="004270EE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Pavla Keňová</w:t>
            </w:r>
          </w:p>
          <w:p w:rsidR="003772C7" w:rsidRDefault="004270EE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ředitelka odboru</w:t>
            </w:r>
          </w:p>
          <w:p w:rsidR="003772C7" w:rsidRDefault="004270EE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Odloučené pracoviště Hodonín</w:t>
            </w:r>
          </w:p>
        </w:tc>
        <w:tc>
          <w:tcPr>
            <w:tcW w:w="4605" w:type="dxa"/>
            <w:hideMark/>
          </w:tcPr>
          <w:p w:rsidR="003772C7" w:rsidRDefault="004270EE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Mgr. Ing. Taťána Malá</w:t>
            </w:r>
          </w:p>
          <w:p w:rsidR="003772C7" w:rsidRDefault="004270EE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náměstkyně hejtmana </w:t>
            </w:r>
          </w:p>
          <w:p w:rsidR="003772C7" w:rsidRDefault="004270EE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Jihomoravského kraje</w:t>
            </w:r>
          </w:p>
        </w:tc>
      </w:tr>
    </w:tbl>
    <w:p w:rsidR="003772C7" w:rsidRDefault="00CF3713" w:rsidP="003772C7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sz w:val="22"/>
          <w:szCs w:val="22"/>
        </w:rPr>
      </w:pPr>
    </w:p>
    <w:p w:rsidR="003772C7" w:rsidRDefault="00CF3713" w:rsidP="003772C7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sz w:val="22"/>
          <w:szCs w:val="22"/>
        </w:rPr>
      </w:pPr>
    </w:p>
    <w:p w:rsidR="003772C7" w:rsidRDefault="00CF3713" w:rsidP="003772C7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sz w:val="22"/>
          <w:szCs w:val="22"/>
        </w:rPr>
      </w:pPr>
    </w:p>
    <w:p w:rsidR="003772C7" w:rsidRDefault="00CF3713" w:rsidP="003772C7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sz w:val="22"/>
          <w:szCs w:val="22"/>
        </w:rPr>
      </w:pPr>
    </w:p>
    <w:p w:rsidR="003772C7" w:rsidRDefault="00CF3713" w:rsidP="003772C7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63CF3" w:rsidRDefault="00CF3713" w:rsidP="003772C7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363CF3" w:rsidRDefault="00CF3713" w:rsidP="003772C7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363CF3" w:rsidRDefault="00CF3713" w:rsidP="003772C7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363CF3" w:rsidRDefault="00CF3713" w:rsidP="003772C7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3772C7" w:rsidRDefault="004270EE" w:rsidP="003772C7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Přílohy: </w:t>
      </w:r>
    </w:p>
    <w:p w:rsidR="00F51975" w:rsidRPr="004B419F" w:rsidRDefault="004270EE" w:rsidP="004B419F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zákona č. 129/2000 Sb., o krajích (krajské zřízení), ve znění pozdějších předpisů</w:t>
      </w:r>
    </w:p>
    <w:p w:rsidR="004B419F" w:rsidRDefault="004B419F" w:rsidP="003772C7">
      <w:pPr>
        <w:pStyle w:val="Zkladntext2"/>
        <w:jc w:val="center"/>
        <w:rPr>
          <w:rFonts w:ascii="Arial" w:hAnsi="Arial" w:cs="Arial"/>
          <w:b/>
          <w:bCs/>
          <w:i w:val="0"/>
          <w:iCs/>
          <w:color w:val="000000"/>
          <w:sz w:val="28"/>
          <w:szCs w:val="24"/>
        </w:rPr>
      </w:pPr>
    </w:p>
    <w:p w:rsidR="004B419F" w:rsidRDefault="004B419F" w:rsidP="003772C7">
      <w:pPr>
        <w:pStyle w:val="Zkladntext2"/>
        <w:jc w:val="center"/>
        <w:rPr>
          <w:rFonts w:ascii="Arial" w:hAnsi="Arial" w:cs="Arial"/>
          <w:b/>
          <w:bCs/>
          <w:i w:val="0"/>
          <w:iCs/>
          <w:color w:val="000000"/>
          <w:sz w:val="28"/>
          <w:szCs w:val="24"/>
        </w:rPr>
      </w:pPr>
    </w:p>
    <w:p w:rsidR="004B419F" w:rsidRDefault="004B419F" w:rsidP="003772C7">
      <w:pPr>
        <w:pStyle w:val="Zkladntext2"/>
        <w:jc w:val="center"/>
        <w:rPr>
          <w:rFonts w:ascii="Arial" w:hAnsi="Arial" w:cs="Arial"/>
          <w:b/>
          <w:bCs/>
          <w:i w:val="0"/>
          <w:iCs/>
          <w:color w:val="000000"/>
          <w:sz w:val="28"/>
          <w:szCs w:val="24"/>
        </w:rPr>
      </w:pPr>
    </w:p>
    <w:p w:rsidR="003772C7" w:rsidRDefault="004270EE" w:rsidP="003772C7">
      <w:pPr>
        <w:pStyle w:val="Zkladntext2"/>
        <w:jc w:val="center"/>
        <w:rPr>
          <w:rFonts w:ascii="Arial" w:hAnsi="Arial" w:cs="Arial"/>
          <w:b/>
          <w:bCs/>
          <w:i w:val="0"/>
          <w:iCs/>
          <w:color w:val="000000"/>
          <w:sz w:val="28"/>
          <w:szCs w:val="24"/>
        </w:rPr>
      </w:pPr>
      <w:r>
        <w:rPr>
          <w:rFonts w:ascii="Arial" w:hAnsi="Arial" w:cs="Arial"/>
          <w:b/>
          <w:bCs/>
          <w:i w:val="0"/>
          <w:iCs/>
          <w:color w:val="000000"/>
          <w:sz w:val="28"/>
          <w:szCs w:val="24"/>
        </w:rPr>
        <w:t>D O L O Ž K A</w:t>
      </w:r>
    </w:p>
    <w:p w:rsidR="003772C7" w:rsidRDefault="00CF3713" w:rsidP="003772C7">
      <w:pPr>
        <w:pStyle w:val="Zkladntext2"/>
        <w:jc w:val="center"/>
        <w:rPr>
          <w:rFonts w:ascii="Arial" w:hAnsi="Arial" w:cs="Arial"/>
          <w:b/>
          <w:bCs/>
          <w:i w:val="0"/>
          <w:iCs/>
          <w:color w:val="000000"/>
          <w:szCs w:val="24"/>
        </w:rPr>
      </w:pPr>
    </w:p>
    <w:p w:rsidR="003772C7" w:rsidRDefault="004270EE" w:rsidP="003772C7">
      <w:pPr>
        <w:spacing w:after="0"/>
        <w:jc w:val="center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 xml:space="preserve">ve smyslu ust. § 23 zákona č. 129/2000 Sb., o krajích </w:t>
      </w:r>
    </w:p>
    <w:p w:rsidR="003772C7" w:rsidRDefault="004270EE" w:rsidP="003772C7">
      <w:pPr>
        <w:pStyle w:val="Zkladntext2"/>
        <w:jc w:val="center"/>
        <w:rPr>
          <w:rFonts w:ascii="Arial" w:hAnsi="Arial" w:cs="Arial"/>
          <w:b/>
          <w:i w:val="0"/>
          <w:iCs/>
          <w:color w:val="000000"/>
          <w:sz w:val="22"/>
          <w:szCs w:val="22"/>
        </w:rPr>
      </w:pPr>
      <w:r>
        <w:rPr>
          <w:rFonts w:ascii="Arial" w:hAnsi="Arial" w:cs="Arial"/>
          <w:b/>
          <w:i w:val="0"/>
          <w:iCs/>
          <w:color w:val="000000"/>
          <w:sz w:val="22"/>
          <w:szCs w:val="22"/>
        </w:rPr>
        <w:t xml:space="preserve">(krajské zřízení), ve znění pozdějších předpisů </w:t>
      </w:r>
    </w:p>
    <w:p w:rsidR="003772C7" w:rsidRDefault="00CF3713" w:rsidP="003772C7">
      <w:pPr>
        <w:pStyle w:val="Zkladntext2"/>
        <w:rPr>
          <w:i w:val="0"/>
          <w:iCs/>
          <w:color w:val="000000"/>
          <w:sz w:val="28"/>
        </w:rPr>
      </w:pPr>
    </w:p>
    <w:p w:rsidR="003772C7" w:rsidRDefault="00CF3713" w:rsidP="003772C7">
      <w:pPr>
        <w:pStyle w:val="Zkladntext2"/>
        <w:rPr>
          <w:i w:val="0"/>
          <w:iCs/>
          <w:color w:val="000000"/>
          <w:sz w:val="28"/>
        </w:rPr>
      </w:pPr>
    </w:p>
    <w:p w:rsidR="003772C7" w:rsidRDefault="004270EE" w:rsidP="003772C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Jihomoravský kraj prohlašuje, že veškeré podmínky podmiňující platnost právního jednání kraje byly splněny v souladu s ust. § 23 zákona č. 129/2000 Sb., o krajích (krajské zřízení), ve znění pozdějších předpisů.</w:t>
      </w:r>
    </w:p>
    <w:p w:rsidR="003772C7" w:rsidRDefault="00CF3713" w:rsidP="003772C7">
      <w:pPr>
        <w:pStyle w:val="Zkladntext2"/>
        <w:spacing w:line="276" w:lineRule="auto"/>
        <w:ind w:firstLine="708"/>
        <w:rPr>
          <w:rFonts w:ascii="Arial" w:hAnsi="Arial" w:cs="Arial"/>
          <w:i w:val="0"/>
          <w:iCs/>
          <w:color w:val="000000"/>
          <w:sz w:val="22"/>
          <w:szCs w:val="22"/>
        </w:rPr>
      </w:pPr>
    </w:p>
    <w:p w:rsidR="003772C7" w:rsidRDefault="004270EE" w:rsidP="003772C7">
      <w:pPr>
        <w:pStyle w:val="Zkladntext2"/>
        <w:spacing w:line="276" w:lineRule="auto"/>
        <w:rPr>
          <w:rFonts w:ascii="Arial" w:hAnsi="Arial" w:cs="Arial"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Bezúplatné nabytí nemovitých věcí, a to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pozemků pozemková parc. č. 1446/1, 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hodnota v účetní evidenci </w:t>
      </w:r>
      <w:r w:rsidRPr="005B2C83">
        <w:rPr>
          <w:rFonts w:ascii="Arial" w:hAnsi="Arial" w:cs="Arial"/>
          <w:i w:val="0"/>
          <w:color w:val="000000"/>
          <w:sz w:val="22"/>
          <w:szCs w:val="22"/>
        </w:rPr>
        <w:t>102 956,- Kč</w:t>
      </w:r>
      <w:r>
        <w:rPr>
          <w:rFonts w:ascii="Arial" w:hAnsi="Arial" w:cs="Arial"/>
          <w:i w:val="0"/>
          <w:color w:val="000000"/>
          <w:sz w:val="22"/>
          <w:szCs w:val="22"/>
        </w:rPr>
        <w:t>,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pozemková parc. č. 1446/3, hodnota v účetní evidenci 1 582,- Kč, pozemková parc. č. 1458/1, hodnota v účetní evidenci 52 248,- Kč, pozemková parc. č. 1459/1, hodnota v účetní evidenci 45 633,- Kč,  pozemková parc. č. 1460, hodnota v účetní evidenci 23 646,- Kč, pozemková parc. č. 1466, hodnota v účetní evidenci 178 185,- Kč a pozemková </w:t>
      </w:r>
      <w:r w:rsidR="004B419F">
        <w:rPr>
          <w:rFonts w:ascii="Arial" w:hAnsi="Arial" w:cs="Arial"/>
          <w:i w:val="0"/>
          <w:color w:val="auto"/>
          <w:sz w:val="22"/>
          <w:szCs w:val="22"/>
        </w:rPr>
        <w:br/>
      </w:r>
      <w:bookmarkStart w:id="0" w:name="_GoBack"/>
      <w:bookmarkEnd w:id="0"/>
      <w:r>
        <w:rPr>
          <w:rFonts w:ascii="Arial" w:hAnsi="Arial" w:cs="Arial"/>
          <w:i w:val="0"/>
          <w:color w:val="auto"/>
          <w:sz w:val="22"/>
          <w:szCs w:val="22"/>
        </w:rPr>
        <w:t>parc. č. 1467/1, hodnota v účetní evidenci 94 724,- Kč v  k. ú. Hýsly, obec Hýsly</w:t>
      </w:r>
      <w:r>
        <w:rPr>
          <w:rFonts w:ascii="Arial" w:hAnsi="Arial"/>
          <w:i w:val="0"/>
          <w:color w:val="auto"/>
          <w:sz w:val="22"/>
        </w:rPr>
        <w:t xml:space="preserve">, 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z vlastnictví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České republiky do vlastnictví Jihomoravského kraje, bylo schváleno na </w:t>
      </w:r>
      <w:r w:rsidR="004B419F">
        <w:rPr>
          <w:rFonts w:ascii="Arial" w:hAnsi="Arial" w:cs="Arial"/>
          <w:i w:val="0"/>
          <w:color w:val="auto"/>
          <w:sz w:val="22"/>
          <w:szCs w:val="22"/>
        </w:rPr>
        <w:t>21.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zasedání Zastupitelstva Jihomoravského kraje, konaném dne </w:t>
      </w:r>
      <w:r w:rsidR="004B419F">
        <w:rPr>
          <w:rFonts w:ascii="Arial" w:hAnsi="Arial" w:cs="Arial"/>
          <w:i w:val="0"/>
          <w:color w:val="auto"/>
          <w:sz w:val="22"/>
          <w:szCs w:val="22"/>
        </w:rPr>
        <w:t>25. 4. 2019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, usnesením č. </w:t>
      </w:r>
      <w:r w:rsidR="004B419F">
        <w:rPr>
          <w:rFonts w:ascii="Arial" w:hAnsi="Arial" w:cs="Arial"/>
          <w:i w:val="0"/>
          <w:color w:val="auto"/>
          <w:sz w:val="22"/>
          <w:szCs w:val="22"/>
        </w:rPr>
        <w:t>1855/19/Z 21.</w:t>
      </w:r>
    </w:p>
    <w:p w:rsidR="003772C7" w:rsidRDefault="00CF3713" w:rsidP="003772C7">
      <w:pPr>
        <w:pStyle w:val="Zkladntext2"/>
        <w:ind w:firstLine="708"/>
        <w:rPr>
          <w:rFonts w:ascii="Arial" w:hAnsi="Arial" w:cs="Arial"/>
          <w:i w:val="0"/>
          <w:iCs/>
          <w:color w:val="000000"/>
          <w:sz w:val="22"/>
          <w:szCs w:val="22"/>
        </w:rPr>
      </w:pPr>
    </w:p>
    <w:p w:rsidR="003772C7" w:rsidRDefault="00CF3713" w:rsidP="003772C7">
      <w:pPr>
        <w:pStyle w:val="Zkladntext2"/>
        <w:ind w:firstLine="708"/>
        <w:rPr>
          <w:rFonts w:ascii="Arial" w:hAnsi="Arial" w:cs="Arial"/>
          <w:i w:val="0"/>
          <w:iCs/>
          <w:color w:val="000000"/>
          <w:sz w:val="22"/>
          <w:szCs w:val="22"/>
        </w:rPr>
      </w:pPr>
    </w:p>
    <w:p w:rsidR="003772C7" w:rsidRDefault="004270EE" w:rsidP="003772C7">
      <w:pPr>
        <w:pStyle w:val="Zkladntext2"/>
        <w:rPr>
          <w:rFonts w:ascii="Arial" w:hAnsi="Arial" w:cs="Arial"/>
          <w:i w:val="0"/>
          <w:color w:val="00000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V Brně dne</w:t>
      </w:r>
      <w:r w:rsidR="004B419F">
        <w:rPr>
          <w:rFonts w:ascii="Arial" w:hAnsi="Arial" w:cs="Arial"/>
          <w:i w:val="0"/>
          <w:color w:val="000000"/>
          <w:sz w:val="22"/>
          <w:szCs w:val="22"/>
        </w:rPr>
        <w:t xml:space="preserve"> 6. 05. 2019 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:rsidR="003772C7" w:rsidRDefault="00CF3713" w:rsidP="003772C7">
      <w:pPr>
        <w:pStyle w:val="Zkladntext2"/>
        <w:rPr>
          <w:rFonts w:ascii="Arial" w:hAnsi="Arial" w:cs="Arial"/>
          <w:i w:val="0"/>
          <w:color w:val="000000"/>
          <w:sz w:val="22"/>
          <w:szCs w:val="22"/>
        </w:rPr>
      </w:pPr>
    </w:p>
    <w:p w:rsidR="003772C7" w:rsidRDefault="00CF3713" w:rsidP="003772C7">
      <w:pPr>
        <w:jc w:val="center"/>
        <w:rPr>
          <w:rFonts w:ascii="Arial" w:hAnsi="Arial" w:cs="Arial"/>
          <w:color w:val="000000"/>
        </w:rPr>
      </w:pPr>
    </w:p>
    <w:p w:rsidR="003772C7" w:rsidRDefault="00CF3713" w:rsidP="003772C7">
      <w:pPr>
        <w:jc w:val="center"/>
        <w:rPr>
          <w:rFonts w:ascii="Arial" w:hAnsi="Arial" w:cs="Arial"/>
          <w:color w:val="000000"/>
        </w:rPr>
      </w:pPr>
    </w:p>
    <w:p w:rsidR="003772C7" w:rsidRDefault="00CF3713" w:rsidP="003772C7">
      <w:pPr>
        <w:jc w:val="center"/>
        <w:rPr>
          <w:rFonts w:ascii="Arial" w:hAnsi="Arial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782"/>
      </w:tblGrid>
      <w:tr w:rsidR="00BB2B3F" w:rsidTr="003772C7">
        <w:tc>
          <w:tcPr>
            <w:tcW w:w="4818" w:type="dxa"/>
          </w:tcPr>
          <w:p w:rsidR="003772C7" w:rsidRDefault="00CF3713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18" w:type="dxa"/>
            <w:hideMark/>
          </w:tcPr>
          <w:p w:rsidR="003772C7" w:rsidRDefault="004270EE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…………………………………..</w:t>
            </w:r>
          </w:p>
        </w:tc>
      </w:tr>
      <w:tr w:rsidR="00BB2B3F" w:rsidTr="003772C7">
        <w:tc>
          <w:tcPr>
            <w:tcW w:w="4818" w:type="dxa"/>
          </w:tcPr>
          <w:p w:rsidR="003772C7" w:rsidRDefault="00CF3713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18" w:type="dxa"/>
          </w:tcPr>
          <w:p w:rsidR="003772C7" w:rsidRDefault="004270EE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Mgr. Ing. Taťána Malá</w:t>
            </w:r>
          </w:p>
          <w:p w:rsidR="003772C7" w:rsidRDefault="004270EE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náměstkyně hejtmana </w:t>
            </w:r>
          </w:p>
          <w:p w:rsidR="003772C7" w:rsidRDefault="004270EE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Jihomoravského kraje</w:t>
            </w:r>
          </w:p>
          <w:p w:rsidR="003772C7" w:rsidRDefault="00CF3713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3772C7" w:rsidRDefault="004270EE" w:rsidP="003772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</w:p>
    <w:p w:rsidR="003772C7" w:rsidRDefault="00CF3713" w:rsidP="003772C7">
      <w:pPr>
        <w:spacing w:after="0"/>
      </w:pPr>
    </w:p>
    <w:p w:rsidR="003772C7" w:rsidRDefault="00CF3713" w:rsidP="003772C7">
      <w:pPr>
        <w:pStyle w:val="obec"/>
        <w:tabs>
          <w:tab w:val="left" w:pos="708"/>
        </w:tabs>
      </w:pPr>
    </w:p>
    <w:p w:rsidR="003772C7" w:rsidRDefault="00CF3713" w:rsidP="003772C7">
      <w:pPr>
        <w:pStyle w:val="obec"/>
        <w:tabs>
          <w:tab w:val="left" w:pos="708"/>
        </w:tabs>
      </w:pPr>
    </w:p>
    <w:p w:rsidR="003772C7" w:rsidRPr="00D45E56" w:rsidRDefault="00CF3713" w:rsidP="006B5A0C">
      <w:pPr>
        <w:spacing w:after="0"/>
      </w:pPr>
    </w:p>
    <w:sectPr w:rsidR="003772C7" w:rsidRPr="00D45E56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713" w:rsidRDefault="00CF3713">
      <w:pPr>
        <w:spacing w:after="0" w:line="240" w:lineRule="auto"/>
      </w:pPr>
    </w:p>
  </w:endnote>
  <w:endnote w:type="continuationSeparator" w:id="0">
    <w:p w:rsidR="00CF3713" w:rsidRDefault="00CF37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713" w:rsidRDefault="00CF3713">
      <w:pPr>
        <w:spacing w:after="0" w:line="240" w:lineRule="auto"/>
      </w:pPr>
    </w:p>
  </w:footnote>
  <w:footnote w:type="continuationSeparator" w:id="0">
    <w:p w:rsidR="00CF3713" w:rsidRDefault="00CF37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40862"/>
    <w:multiLevelType w:val="hybridMultilevel"/>
    <w:tmpl w:val="AAB2F210"/>
    <w:lvl w:ilvl="0" w:tplc="0F94E58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i w:val="0"/>
      </w:rPr>
    </w:lvl>
    <w:lvl w:ilvl="1" w:tplc="F7B69676">
      <w:start w:val="1"/>
      <w:numFmt w:val="lowerLetter"/>
      <w:lvlText w:val="%2."/>
      <w:lvlJc w:val="left"/>
      <w:pPr>
        <w:ind w:left="1440" w:hanging="360"/>
      </w:pPr>
    </w:lvl>
    <w:lvl w:ilvl="2" w:tplc="BCD4A5B0">
      <w:start w:val="1"/>
      <w:numFmt w:val="lowerRoman"/>
      <w:lvlText w:val="%3."/>
      <w:lvlJc w:val="right"/>
      <w:pPr>
        <w:ind w:left="2160" w:hanging="180"/>
      </w:pPr>
    </w:lvl>
    <w:lvl w:ilvl="3" w:tplc="C7441AE2">
      <w:start w:val="1"/>
      <w:numFmt w:val="decimal"/>
      <w:lvlText w:val="%4."/>
      <w:lvlJc w:val="left"/>
      <w:pPr>
        <w:ind w:left="2880" w:hanging="360"/>
      </w:pPr>
    </w:lvl>
    <w:lvl w:ilvl="4" w:tplc="A066131C">
      <w:start w:val="1"/>
      <w:numFmt w:val="lowerLetter"/>
      <w:lvlText w:val="%5."/>
      <w:lvlJc w:val="left"/>
      <w:pPr>
        <w:ind w:left="3600" w:hanging="360"/>
      </w:pPr>
    </w:lvl>
    <w:lvl w:ilvl="5" w:tplc="9B605F24">
      <w:start w:val="1"/>
      <w:numFmt w:val="lowerRoman"/>
      <w:lvlText w:val="%6."/>
      <w:lvlJc w:val="right"/>
      <w:pPr>
        <w:ind w:left="4320" w:hanging="180"/>
      </w:pPr>
    </w:lvl>
    <w:lvl w:ilvl="6" w:tplc="6BCCEB1E">
      <w:start w:val="1"/>
      <w:numFmt w:val="decimal"/>
      <w:lvlText w:val="%7."/>
      <w:lvlJc w:val="left"/>
      <w:pPr>
        <w:ind w:left="5040" w:hanging="360"/>
      </w:pPr>
    </w:lvl>
    <w:lvl w:ilvl="7" w:tplc="6638E4D0">
      <w:start w:val="1"/>
      <w:numFmt w:val="lowerLetter"/>
      <w:lvlText w:val="%8."/>
      <w:lvlJc w:val="left"/>
      <w:pPr>
        <w:ind w:left="5760" w:hanging="360"/>
      </w:pPr>
    </w:lvl>
    <w:lvl w:ilvl="8" w:tplc="9F8EB1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68526A58"/>
    <w:lvl w:ilvl="0" w:tplc="5A90C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6C08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5217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2C4A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E0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1EC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D48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A3D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64A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D508A"/>
    <w:multiLevelType w:val="hybridMultilevel"/>
    <w:tmpl w:val="40B250F2"/>
    <w:lvl w:ilvl="0" w:tplc="E06296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i w:val="0"/>
      </w:rPr>
    </w:lvl>
    <w:lvl w:ilvl="1" w:tplc="E5D47D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603A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34E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84FD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24C9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AC27E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4649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720A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4C26C1"/>
    <w:multiLevelType w:val="hybridMultilevel"/>
    <w:tmpl w:val="3A729F8E"/>
    <w:lvl w:ilvl="0" w:tplc="32A09D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3E0CE6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40E1E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6C9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C6FA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D4FA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F2D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60AC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8C96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1CC357E"/>
    <w:multiLevelType w:val="hybridMultilevel"/>
    <w:tmpl w:val="E208DE86"/>
    <w:lvl w:ilvl="0" w:tplc="62BC29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8F46D9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2493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EAE8A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8EF3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9074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B02DB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96EC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6A29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95D61F9"/>
    <w:multiLevelType w:val="hybridMultilevel"/>
    <w:tmpl w:val="5FA22C0E"/>
    <w:lvl w:ilvl="0" w:tplc="84368D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3AA2B3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74CA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C0C8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642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3467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92B5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698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9C06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8E19BA"/>
    <w:multiLevelType w:val="hybridMultilevel"/>
    <w:tmpl w:val="4C46AEE2"/>
    <w:lvl w:ilvl="0" w:tplc="9B8231F6">
      <w:start w:val="1"/>
      <w:numFmt w:val="decimal"/>
      <w:lvlText w:val="%1."/>
      <w:lvlJc w:val="left"/>
      <w:pPr>
        <w:ind w:left="720" w:hanging="360"/>
      </w:pPr>
    </w:lvl>
    <w:lvl w:ilvl="1" w:tplc="19400F68">
      <w:start w:val="1"/>
      <w:numFmt w:val="lowerLetter"/>
      <w:lvlText w:val="%2."/>
      <w:lvlJc w:val="left"/>
      <w:pPr>
        <w:ind w:left="1440" w:hanging="360"/>
      </w:pPr>
    </w:lvl>
    <w:lvl w:ilvl="2" w:tplc="4D7CFB54">
      <w:start w:val="1"/>
      <w:numFmt w:val="lowerRoman"/>
      <w:lvlText w:val="%3."/>
      <w:lvlJc w:val="right"/>
      <w:pPr>
        <w:ind w:left="2160" w:hanging="180"/>
      </w:pPr>
    </w:lvl>
    <w:lvl w:ilvl="3" w:tplc="640C8152">
      <w:start w:val="1"/>
      <w:numFmt w:val="decimal"/>
      <w:lvlText w:val="%4."/>
      <w:lvlJc w:val="left"/>
      <w:pPr>
        <w:ind w:left="2880" w:hanging="360"/>
      </w:pPr>
    </w:lvl>
    <w:lvl w:ilvl="4" w:tplc="A18A9B66">
      <w:start w:val="1"/>
      <w:numFmt w:val="lowerLetter"/>
      <w:lvlText w:val="%5."/>
      <w:lvlJc w:val="left"/>
      <w:pPr>
        <w:ind w:left="3600" w:hanging="360"/>
      </w:pPr>
    </w:lvl>
    <w:lvl w:ilvl="5" w:tplc="2332B16E">
      <w:start w:val="1"/>
      <w:numFmt w:val="lowerRoman"/>
      <w:lvlText w:val="%6."/>
      <w:lvlJc w:val="right"/>
      <w:pPr>
        <w:ind w:left="4320" w:hanging="180"/>
      </w:pPr>
    </w:lvl>
    <w:lvl w:ilvl="6" w:tplc="6E540B2E">
      <w:start w:val="1"/>
      <w:numFmt w:val="decimal"/>
      <w:lvlText w:val="%7."/>
      <w:lvlJc w:val="left"/>
      <w:pPr>
        <w:ind w:left="5040" w:hanging="360"/>
      </w:pPr>
    </w:lvl>
    <w:lvl w:ilvl="7" w:tplc="650263E8">
      <w:start w:val="1"/>
      <w:numFmt w:val="lowerLetter"/>
      <w:lvlText w:val="%8."/>
      <w:lvlJc w:val="left"/>
      <w:pPr>
        <w:ind w:left="5760" w:hanging="360"/>
      </w:pPr>
    </w:lvl>
    <w:lvl w:ilvl="8" w:tplc="4D8A3E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3F"/>
    <w:rsid w:val="004270EE"/>
    <w:rsid w:val="004B419F"/>
    <w:rsid w:val="00BB2B3F"/>
    <w:rsid w:val="00CF3713"/>
    <w:rsid w:val="00F2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0B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F0D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C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97C"/>
  </w:style>
  <w:style w:type="paragraph" w:styleId="Zpat">
    <w:name w:val="footer"/>
    <w:basedOn w:val="Normln"/>
    <w:link w:val="ZpatChar"/>
    <w:uiPriority w:val="99"/>
    <w:unhideWhenUsed/>
    <w:rsid w:val="002C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97C"/>
  </w:style>
  <w:style w:type="paragraph" w:styleId="Zkladntext">
    <w:name w:val="Body Text"/>
    <w:basedOn w:val="Normln"/>
    <w:link w:val="ZkladntextChar"/>
    <w:semiHidden/>
    <w:unhideWhenUsed/>
    <w:rsid w:val="003772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772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3772C7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772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3772C7"/>
    <w:pPr>
      <w:spacing w:after="0" w:line="240" w:lineRule="auto"/>
      <w:jc w:val="both"/>
    </w:pPr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3772C7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Textvbloku">
    <w:name w:val="Block Text"/>
    <w:basedOn w:val="Normln"/>
    <w:semiHidden/>
    <w:unhideWhenUsed/>
    <w:rsid w:val="003772C7"/>
    <w:pPr>
      <w:spacing w:after="0" w:line="240" w:lineRule="auto"/>
      <w:ind w:left="-540" w:right="-82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772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3772C7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">
    <w:name w:val="para"/>
    <w:basedOn w:val="Normln"/>
    <w:rsid w:val="003772C7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vnintext">
    <w:name w:val="vniřnítext"/>
    <w:basedOn w:val="Normln"/>
    <w:rsid w:val="003772C7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ec">
    <w:name w:val="obec"/>
    <w:basedOn w:val="Normln"/>
    <w:rsid w:val="003772C7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2019-05-27T11:47:00Z</dcterms:created>
  <dcterms:modified xsi:type="dcterms:W3CDTF">2019-05-27T11:47:00Z</dcterms:modified>
</cp:coreProperties>
</file>