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BD" w:rsidRDefault="00773CBD" w:rsidP="00773CBD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Sociální služby pro osoby se zdravotním postižením, příspěvková organizace</w:t>
      </w: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Na Hrádku 100 763 16 Fryšták</w:t>
      </w: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zastoupená Mgr. Ing. Adélou Machalovou, ředitelkou</w:t>
      </w:r>
    </w:p>
    <w:p w:rsidR="00773CBD" w:rsidRDefault="00773CBD" w:rsidP="00773CBD">
      <w:pPr>
        <w:tabs>
          <w:tab w:val="center" w:pos="1904"/>
        </w:tabs>
        <w:spacing w:after="0" w:line="240" w:lineRule="auto"/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IČ: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70850917</w:t>
      </w:r>
    </w:p>
    <w:p w:rsidR="00773CBD" w:rsidRDefault="00773CBD" w:rsidP="00773CBD">
      <w:pPr>
        <w:tabs>
          <w:tab w:val="center" w:pos="2018"/>
        </w:tabs>
        <w:spacing w:after="0" w:line="240" w:lineRule="auto"/>
        <w:ind w:left="-1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Telefon: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577 911 209</w:t>
      </w: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Nejsme plátci DPH.</w:t>
      </w: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(dále jen jako „</w:t>
      </w:r>
      <w:r>
        <w:rPr>
          <w:rFonts w:ascii="Arial" w:hAnsi="Arial" w:cs="Arial"/>
          <w:b/>
          <w:szCs w:val="24"/>
        </w:rPr>
        <w:t>Objednatel</w:t>
      </w:r>
      <w:r>
        <w:rPr>
          <w:rFonts w:ascii="Arial" w:hAnsi="Arial" w:cs="Arial"/>
          <w:szCs w:val="24"/>
        </w:rPr>
        <w:t>“)</w:t>
      </w:r>
    </w:p>
    <w:p w:rsidR="00773CBD" w:rsidRDefault="00773CBD" w:rsidP="00773CBD">
      <w:pPr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szCs w:val="24"/>
        </w:rPr>
      </w:pP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Obchodní firma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Doot</w:t>
      </w:r>
      <w:proofErr w:type="spellEnd"/>
      <w:r>
        <w:rPr>
          <w:rFonts w:ascii="Arial" w:hAnsi="Arial" w:cs="Arial"/>
          <w:szCs w:val="24"/>
        </w:rPr>
        <w:t xml:space="preserve"> s.r.o.</w:t>
      </w:r>
      <w:r>
        <w:rPr>
          <w:rFonts w:ascii="Arial" w:hAnsi="Arial" w:cs="Arial"/>
          <w:szCs w:val="24"/>
          <w:highlight w:val="yellow"/>
        </w:rPr>
        <w:t xml:space="preserve"> 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Sídlo  </w:t>
      </w:r>
      <w:r>
        <w:rPr>
          <w:rFonts w:ascii="Arial" w:hAnsi="Arial" w:cs="Arial"/>
          <w:szCs w:val="24"/>
        </w:rPr>
        <w:tab/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Družstevní 883, Tlumačov 763 62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IČ: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25048163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DIČ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CZ25048163</w:t>
      </w:r>
    </w:p>
    <w:p w:rsidR="00773CBD" w:rsidRDefault="00773CBD" w:rsidP="00773CBD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(dále jen jako „</w:t>
      </w:r>
      <w:r>
        <w:rPr>
          <w:rFonts w:ascii="Arial" w:hAnsi="Arial" w:cs="Arial"/>
          <w:b/>
          <w:szCs w:val="24"/>
        </w:rPr>
        <w:t>Dodavatel</w:t>
      </w:r>
      <w:r>
        <w:rPr>
          <w:rFonts w:ascii="Arial" w:hAnsi="Arial" w:cs="Arial"/>
          <w:szCs w:val="24"/>
        </w:rPr>
        <w:t>“)</w:t>
      </w:r>
    </w:p>
    <w:p w:rsidR="00773CBD" w:rsidRDefault="00773CBD" w:rsidP="00773CB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-5"/>
        <w:rPr>
          <w:rFonts w:ascii="Arial" w:hAnsi="Arial" w:cs="Arial"/>
          <w:u w:val="single"/>
        </w:rPr>
      </w:pPr>
      <w:r>
        <w:rPr>
          <w:rFonts w:ascii="Arial" w:hAnsi="Arial" w:cs="Arial"/>
          <w:szCs w:val="24"/>
        </w:rPr>
        <w:t>uzavírají níže uvedeného dne, měsíce a roku v souladu s ustanovením § 2586 a násl. zákona č. 89/2012 Sb., občanský zákoník, ve znění pozdějších předpisů, tuto smlouvu o zhotovení obědů a večeří pro klienty domova pro osoby se zdravotním postižením, týdenního stacionáře a zajištění obědů pro klienty denního stacionáře a zaměstnance Sociálních služeb pro osoby se zdravotním postižením, příspěvkové organizace (dále „smlouva“).  Tato smlouva je uzavřena na základě výběrového řízení, v jehož rámci</w:t>
      </w:r>
      <w:r>
        <w:rPr>
          <w:rFonts w:ascii="Arial" w:hAnsi="Arial" w:cs="Arial"/>
        </w:rPr>
        <w:t xml:space="preserve"> předložil dodavatel nejvhodnější nabídku. Tato nabídka je volně oddělitelnou přílohou této smlouvy, jako její příloha č. 1.</w:t>
      </w:r>
    </w:p>
    <w:p w:rsidR="00773CBD" w:rsidRDefault="00773CBD" w:rsidP="00773CBD">
      <w:pPr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pStyle w:val="Nadpis1"/>
        <w:spacing w:line="240" w:lineRule="auto"/>
        <w:ind w:right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SMLOUVU 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I.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Předmět smlouvy</w:t>
      </w:r>
    </w:p>
    <w:p w:rsidR="00773CBD" w:rsidRDefault="00773CBD" w:rsidP="00773CBD">
      <w:pPr>
        <w:spacing w:after="0" w:line="240" w:lineRule="auto"/>
        <w:ind w:left="12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této smlouvy je zhotovení (výroba) obědů a večeří včetně pitného režimu pro klienty Sociálních služeb pro osoby se zdravotním postižením, příspěvkové organizace a obědů pro zaměstnance Sociálních služeb pro osoby se zdravotním postižením, příspěvkové organizace“.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Výrobou stravy se rozumí uvaření stravy pro pracoviště objednatele ve Zlíně každý pracovní den (pondělí až pátek) a pro pracoviště ve Fryštáku každý kalendářní den.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Stravou se rozumí obědy a večeře. Objednatel předpokládá zajištění jednotlivých druhů stravy v rozsahu:</w:t>
      </w:r>
    </w:p>
    <w:p w:rsidR="00773CBD" w:rsidRDefault="00773CBD" w:rsidP="00773CBD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pro pracoviště ve Zlíně</w:t>
      </w:r>
    </w:p>
    <w:p w:rsidR="00773CBD" w:rsidRDefault="00773CBD" w:rsidP="00773CBD">
      <w:pPr>
        <w:spacing w:after="0" w:line="240" w:lineRule="auto"/>
        <w:ind w:left="71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pondělí až pátek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oběd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21</w:t>
      </w:r>
      <w:r>
        <w:rPr>
          <w:rFonts w:ascii="Arial" w:hAnsi="Arial" w:cs="Arial"/>
          <w:szCs w:val="24"/>
        </w:rPr>
        <w:t xml:space="preserve"> porcí denně</w:t>
      </w:r>
    </w:p>
    <w:p w:rsidR="00773CBD" w:rsidRDefault="00773CBD" w:rsidP="00773CBD">
      <w:pPr>
        <w:spacing w:after="0" w:line="240" w:lineRule="auto"/>
        <w:ind w:left="35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(pouze pracovní dny)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večeře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szCs w:val="24"/>
        </w:rPr>
        <w:t xml:space="preserve"> porcí denně</w:t>
      </w:r>
    </w:p>
    <w:p w:rsidR="00773CBD" w:rsidRDefault="00773CBD" w:rsidP="00773CBD">
      <w:pPr>
        <w:pStyle w:val="Odstavecseseznamem"/>
        <w:spacing w:after="0" w:line="240" w:lineRule="auto"/>
        <w:ind w:left="712" w:firstLine="0"/>
        <w:rPr>
          <w:rFonts w:ascii="Arial" w:hAnsi="Arial" w:cs="Arial"/>
          <w:szCs w:val="24"/>
          <w:u w:val="single"/>
        </w:rPr>
      </w:pPr>
    </w:p>
    <w:p w:rsidR="00773CBD" w:rsidRDefault="00773CBD" w:rsidP="00773CBD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pro pracoviště ve Fryštáku:</w:t>
      </w:r>
    </w:p>
    <w:p w:rsidR="00773CBD" w:rsidRDefault="00773CBD" w:rsidP="00773CBD">
      <w:pPr>
        <w:spacing w:after="0" w:line="240" w:lineRule="auto"/>
        <w:ind w:left="71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pondělí až pátek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oběd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37</w:t>
      </w:r>
      <w:r>
        <w:rPr>
          <w:rFonts w:ascii="Arial" w:hAnsi="Arial" w:cs="Arial"/>
          <w:szCs w:val="24"/>
        </w:rPr>
        <w:t xml:space="preserve"> porcí denně </w:t>
      </w:r>
    </w:p>
    <w:p w:rsidR="00773CBD" w:rsidRDefault="00773CBD" w:rsidP="00773CBD">
      <w:pPr>
        <w:spacing w:after="0" w:line="240" w:lineRule="auto"/>
        <w:ind w:left="35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večeře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24</w:t>
      </w:r>
      <w:r>
        <w:rPr>
          <w:rFonts w:ascii="Arial" w:hAnsi="Arial" w:cs="Arial"/>
          <w:szCs w:val="24"/>
        </w:rPr>
        <w:t xml:space="preserve"> porcí denně </w:t>
      </w:r>
    </w:p>
    <w:p w:rsidR="00773CBD" w:rsidRDefault="00773CBD" w:rsidP="00773CBD">
      <w:pPr>
        <w:spacing w:after="0" w:line="240" w:lineRule="auto"/>
        <w:ind w:left="35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soboty, neděle, státní svátky</w:t>
      </w:r>
      <w:r>
        <w:rPr>
          <w:rFonts w:ascii="Arial" w:hAnsi="Arial" w:cs="Arial"/>
          <w:szCs w:val="24"/>
        </w:rPr>
        <w:tab/>
        <w:t xml:space="preserve">oběd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25</w:t>
      </w:r>
      <w:r>
        <w:rPr>
          <w:rFonts w:ascii="Arial" w:hAnsi="Arial" w:cs="Arial"/>
          <w:szCs w:val="24"/>
        </w:rPr>
        <w:t xml:space="preserve"> porcí denně</w:t>
      </w:r>
    </w:p>
    <w:p w:rsidR="00773CBD" w:rsidRDefault="00773CBD" w:rsidP="00773CBD">
      <w:pPr>
        <w:spacing w:after="0" w:line="240" w:lineRule="auto"/>
        <w:ind w:left="35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večeře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szCs w:val="24"/>
        </w:rPr>
        <w:t xml:space="preserve"> porcí denně</w:t>
      </w:r>
    </w:p>
    <w:p w:rsidR="00773CBD" w:rsidRDefault="00773CBD" w:rsidP="00773CBD">
      <w:pPr>
        <w:spacing w:after="0" w:line="240" w:lineRule="auto"/>
        <w:ind w:left="352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Dovoz stravy na jednotlivá pracoviště objednatele zajišťuje dodavatel.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zajistí naporcování jídla dle druhu do vlastních expedičních nádob, odděleně pro každé </w:t>
      </w:r>
      <w:proofErr w:type="gramStart"/>
      <w:r>
        <w:rPr>
          <w:rFonts w:ascii="Arial" w:hAnsi="Arial" w:cs="Arial"/>
          <w:szCs w:val="24"/>
        </w:rPr>
        <w:t>pracoviště - Zlín</w:t>
      </w:r>
      <w:proofErr w:type="gramEnd"/>
      <w:r>
        <w:rPr>
          <w:rFonts w:ascii="Arial" w:hAnsi="Arial" w:cs="Arial"/>
          <w:szCs w:val="24"/>
        </w:rPr>
        <w:t xml:space="preserve">, Fryšták. 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připraví stravu do vlastních nádob splňujících příslušné hygienické předpisy pro přepravu stravy v souladu se zákonnými předpisy a v době dodání bude mít teplý pokrm teplotu minimálně 65º C.  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Specifikace stravy (obecné </w:t>
      </w:r>
      <w:r>
        <w:rPr>
          <w:rFonts w:ascii="Arial" w:hAnsi="Arial" w:cs="Arial"/>
          <w:color w:val="auto"/>
          <w:szCs w:val="24"/>
        </w:rPr>
        <w:t>požadavky) a minimální gramáž jednotlivých jídel je specifikována v příloze č. 2 této smlouvy.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Při přípravě stravy musí být respektovány zásady racionální výživy, nutriční hodnoty a pestrosti stravy s přiměřenou časovou obměnou připravovaných druhů jídel s ohledem na zdravotní stav klientů (měkké maso, ryby bez kosti, kompoty bez pecek či jader, zeleninové saláty nakrájeny na malé kousky atd.) 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Strava nesmí být dodávána z hotových zamražených jídel či surovin. </w:t>
      </w:r>
      <w:r>
        <w:rPr>
          <w:rFonts w:ascii="Arial" w:hAnsi="Arial" w:cs="Arial"/>
        </w:rPr>
        <w:t xml:space="preserve"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773CBD" w:rsidRDefault="00773CBD" w:rsidP="00773C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Jednotlivé porce jídel budou svojí gramáží jednotlivých surovin i jako celku odpovídat obecným zásadám přípravy a podávání jídel. Jídelní lístek bude sestavován podle principů zdravé výživy.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II.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Cena a způsob úhrady</w:t>
      </w:r>
    </w:p>
    <w:p w:rsidR="00773CBD" w:rsidRDefault="00773CBD" w:rsidP="00773CBD">
      <w:pPr>
        <w:spacing w:after="0" w:line="240" w:lineRule="auto"/>
        <w:ind w:left="240" w:firstLine="0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se dohodly, že cena stravy dle této smlouvy bude pro jednotlivé prvky stravy neměnná po dobu trvání této smlouvy a činí níže uvedené částky v Kč: 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Ind w:w="240" w:type="dxa"/>
        <w:tblLook w:val="04A0" w:firstRow="1" w:lastRow="0" w:firstColumn="1" w:lastColumn="0" w:noHBand="0" w:noVBand="1"/>
      </w:tblPr>
      <w:tblGrid>
        <w:gridCol w:w="4283"/>
        <w:gridCol w:w="2267"/>
        <w:gridCol w:w="2272"/>
      </w:tblGrid>
      <w:tr w:rsidR="00773CBD" w:rsidTr="00773CBD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BD" w:rsidRDefault="00773CB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Prvek stravy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Cena za 1 porci bez DPH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Cena za 1 porci včetně DPH</w:t>
            </w:r>
          </w:p>
        </w:tc>
      </w:tr>
      <w:tr w:rsidR="00773CBD" w:rsidTr="00773CBD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OBĚD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53,91 Kč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62 Kč</w:t>
            </w:r>
          </w:p>
        </w:tc>
      </w:tr>
      <w:tr w:rsidR="00773CBD" w:rsidTr="00773CBD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VEČEŘE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39,13 Kč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BD" w:rsidRDefault="00773CB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45 Kč</w:t>
            </w:r>
          </w:p>
        </w:tc>
      </w:tr>
    </w:tbl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Tyto jednotkové ceny jsou dodavatelem garantovány po celou dobu trvání obchodního vztahu (12 měsíců). Jednání o změně ceny je dodavatel oprávněn vyvolat v těchto případech: </w:t>
      </w:r>
    </w:p>
    <w:p w:rsidR="00773CBD" w:rsidRDefault="00773CBD" w:rsidP="00773CB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dojde-li ke změně sazeb daně z přidané hodnoty,</w:t>
      </w:r>
    </w:p>
    <w:p w:rsidR="00773CBD" w:rsidRDefault="00773CBD" w:rsidP="00773CB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dojde-li ke změně právních předpisů, vztahujících se na stravovací služby,</w:t>
      </w:r>
    </w:p>
    <w:p w:rsidR="00773CBD" w:rsidRDefault="00773CBD" w:rsidP="00773CB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dojde-li ke změně zákonné výše minimální mzdy proti výši stanovené ke dni 30. 4. 2019,</w:t>
      </w:r>
    </w:p>
    <w:p w:rsidR="00773CBD" w:rsidRDefault="00773CBD" w:rsidP="00773CB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dojde-li k neočekávanému nárůstu cen vstupních nákladů, majících prokazatelně vliv na cenu stravy.</w:t>
      </w: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případě, že nastane některá z podmínek pro změnu sjednané ceny, vyvolá dodavatel bez zbytečného odkladu jednání o změně sjednané ceny a na tomto jednání prokáže vliv změněné podmínky na cenu stravy. Poté se obě smluvní strany dohodnou na změně sjednané ceny. V případech sporu či při nedosažení dohody, platí stanovisko objednatele.</w:t>
      </w: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Úhrada za dodanou stravu se bude uskutečňovat bezhotovostním převodem, na základě faktury, kterou vystaví dodavatel podle skutečně objednaného množství stravy, vždy nejpozději do 10. dne následujícího měsíce.</w:t>
      </w: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Faktura bude obsahovat výčet objednané stravy za předchozí měsíc, jednotkové ceny dle této smlouvy a celkovou cenu za každý druh stravy a celkovou fakturovanou částku. Faktura bude zaslána objednateli do 12. kalendářního dne měsíce následujícího.</w:t>
      </w:r>
    </w:p>
    <w:p w:rsidR="00773CBD" w:rsidRDefault="00773CBD" w:rsidP="00773CBD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Objednatel je povinen uhradit zaslanou fakturu do 14 dnů ode dne jejího obdržení na účet dodavatele vedený u Moneta Money Bank č. </w:t>
      </w:r>
      <w:proofErr w:type="spellStart"/>
      <w:r>
        <w:rPr>
          <w:rFonts w:ascii="Arial" w:hAnsi="Arial" w:cs="Arial"/>
          <w:szCs w:val="24"/>
        </w:rPr>
        <w:t>ú.</w:t>
      </w:r>
      <w:proofErr w:type="spellEnd"/>
      <w:r>
        <w:rPr>
          <w:rFonts w:ascii="Arial" w:hAnsi="Arial" w:cs="Arial"/>
          <w:szCs w:val="24"/>
        </w:rPr>
        <w:t xml:space="preserve"> 185648240/0600.</w:t>
      </w:r>
      <w:r>
        <w:rPr>
          <w:rFonts w:ascii="Arial" w:hAnsi="Arial" w:cs="Arial"/>
          <w:szCs w:val="24"/>
          <w:highlight w:val="yellow"/>
        </w:rPr>
        <w:t xml:space="preserve"> 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III.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Termíny objednání a odvozu stravy 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 předloží jídelní lístek na celý kalendářní týden nejpozději ve středu, a to na nadcházející týden.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Objednatel předá dodavateli předpokládané požadované počty jednotlivých druhů stravy po jednotlivých dnech na období následujícího týdne vždy nejpozději ve čtvrtek předchozího kalendářního týdne, do 14.30 hod. 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Tyto počty bude objednatel v den přípravy a dodání stravy telefonicky upřesňovat, v pracovní dny vždy nejpozději do 6.30 dotčeného dne a v ostatní dny vždy nejpozději předcházející pracovní den do 14.30 hod. Takto upřesněné objednané počty se považují za dodanou stravu.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Dovoz stravy na pracoviště objednatele zajišťuje na své náklady dodavatel. 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Dovoz se uskuteční v časovém rozmezí od 9.00 do 11.00 hod (obědy). Studené večeře budou dopravovány současně s obědem, teplé večeře budou dopravovány zvlášť, v době od 14.00 do 17:00 hod.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Při dovozu stravy předá objednatel dodavateli umyté přepravní nádoby z předchozího dne.</w:t>
      </w:r>
    </w:p>
    <w:p w:rsidR="00773CBD" w:rsidRDefault="00773CBD" w:rsidP="00773CB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Místem plnění této smlouvy jsou pracoviště zadavatele, tedy </w:t>
      </w:r>
      <w:r>
        <w:rPr>
          <w:rFonts w:ascii="Arial" w:hAnsi="Arial" w:cs="Arial"/>
          <w:color w:val="auto"/>
        </w:rPr>
        <w:t>Na Hrádku 100, 763 16 Fryšták a Pod Vodojemem 3651, 760 01 Zlín.</w:t>
      </w:r>
    </w:p>
    <w:p w:rsidR="00773CBD" w:rsidRDefault="00773CBD" w:rsidP="00773CB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IV.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Doba trvání smlouvy a způsob ukončení smlouvy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je uzavřena na dobu </w:t>
      </w:r>
      <w:r>
        <w:rPr>
          <w:rFonts w:ascii="Arial" w:hAnsi="Arial" w:cs="Arial"/>
          <w:color w:val="auto"/>
          <w:szCs w:val="24"/>
        </w:rPr>
        <w:t>určitou.</w:t>
      </w:r>
    </w:p>
    <w:p w:rsidR="00773CBD" w:rsidRDefault="00773CBD" w:rsidP="00773CB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Zahájení služeb dodavatele bude od prvního kalendářního dne měsíce následujícího po měsíci, v němž nabude účinnosti tato smlouva.</w:t>
      </w:r>
    </w:p>
    <w:p w:rsidR="00773CBD" w:rsidRDefault="00773CBD" w:rsidP="00773CB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se uzavírá na dobu 12 kalendářních měsíců.</w:t>
      </w:r>
    </w:p>
    <w:p w:rsidR="00773CBD" w:rsidRDefault="00773CBD" w:rsidP="00773CBD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Smlouvu lze ukončit dohodou obou smluvních stran nebo výpovědí. Výpovědní lhůta je sjednána v délce šesti měsíců. Platnost smlouvy končí i uplynutím sjednané doby.</w:t>
      </w:r>
    </w:p>
    <w:p w:rsidR="00773CBD" w:rsidRDefault="00773CBD" w:rsidP="00773CBD">
      <w:pPr>
        <w:pStyle w:val="Odstavecseseznamem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Objednatel je rovněž oprávněn okamžitě vypovědět smlouvu v případě, pokud dodavatel prokazatelně a opakovaně porušuje některé ustanovení této smlouvy. </w:t>
      </w:r>
    </w:p>
    <w:p w:rsidR="00773CBD" w:rsidRDefault="00773CBD" w:rsidP="00773CBD">
      <w:pPr>
        <w:pStyle w:val="Odstavecseseznamem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ind w:left="-15" w:firstLine="0"/>
        <w:rPr>
          <w:rFonts w:ascii="Arial" w:hAnsi="Arial" w:cs="Arial"/>
          <w:szCs w:val="24"/>
        </w:rPr>
      </w:pPr>
    </w:p>
    <w:p w:rsidR="00773CBD" w:rsidRDefault="00773CBD" w:rsidP="00773CBD">
      <w:pPr>
        <w:ind w:left="-15" w:firstLine="0"/>
        <w:rPr>
          <w:rFonts w:ascii="Arial" w:hAnsi="Arial" w:cs="Arial"/>
          <w:szCs w:val="24"/>
        </w:rPr>
      </w:pPr>
    </w:p>
    <w:p w:rsidR="00773CBD" w:rsidRDefault="00773CBD" w:rsidP="00773CBD">
      <w:pPr>
        <w:ind w:left="-15" w:firstLine="0"/>
        <w:rPr>
          <w:rFonts w:ascii="Arial" w:hAnsi="Arial" w:cs="Arial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lastRenderedPageBreak/>
        <w:t>V.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Sankce a smluvní pokuty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Nedodá-li dodavatel objednanou stravu v požadovaných druzích a v požadovaném množství, dohodly smluvní strany pokutu ve výši veškerých nákladů, které objednavateli vznikly se zajištěním náhradní stravy.  Pokuta je splatná, do deseti dnů, ode </w:t>
      </w:r>
      <w:proofErr w:type="gramStart"/>
      <w:r>
        <w:rPr>
          <w:rFonts w:ascii="Arial" w:hAnsi="Arial" w:cs="Arial"/>
          <w:szCs w:val="24"/>
        </w:rPr>
        <w:t>dne</w:t>
      </w:r>
      <w:proofErr w:type="gramEnd"/>
      <w:r>
        <w:rPr>
          <w:rFonts w:ascii="Arial" w:hAnsi="Arial" w:cs="Arial"/>
          <w:szCs w:val="24"/>
        </w:rPr>
        <w:t xml:space="preserve"> kdy objednateli na tuto pokutu vznikl nárok.</w:t>
      </w:r>
    </w:p>
    <w:p w:rsidR="00773CBD" w:rsidRDefault="00773CBD" w:rsidP="00773CB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případě, že dodavatel prokazatelně dodává stravu v rozporu s čl. I. body 6 až 10, pak objednateli nevzniká povinnost takovou stravu uhradit dle podmínek čl. II. této smlouvy.</w:t>
      </w:r>
    </w:p>
    <w:p w:rsidR="00773CBD" w:rsidRDefault="00773CBD" w:rsidP="00773CB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Neuhradí-li objednatel fakturu za řádně dodanou stravu ve sjednané lhůtě, dohodly smluvní strany úrok z prodlení ve výši </w:t>
      </w:r>
      <w:proofErr w:type="gramStart"/>
      <w:r>
        <w:rPr>
          <w:rFonts w:ascii="Arial" w:hAnsi="Arial" w:cs="Arial"/>
          <w:szCs w:val="24"/>
        </w:rPr>
        <w:t>0,05%</w:t>
      </w:r>
      <w:proofErr w:type="gramEnd"/>
      <w:r>
        <w:rPr>
          <w:rFonts w:ascii="Arial" w:hAnsi="Arial" w:cs="Arial"/>
          <w:szCs w:val="24"/>
        </w:rPr>
        <w:t xml:space="preserve"> z fakturované částky za každý den prodlení.</w:t>
      </w:r>
    </w:p>
    <w:p w:rsidR="00773CBD" w:rsidRDefault="00773CBD" w:rsidP="00773CBD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VI.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Ostatní ujednání</w:t>
      </w:r>
    </w:p>
    <w:p w:rsidR="00773CBD" w:rsidRDefault="00773CBD" w:rsidP="00773CBD">
      <w:pPr>
        <w:pStyle w:val="Odstavecseseznamem"/>
        <w:spacing w:after="0" w:line="240" w:lineRule="auto"/>
        <w:ind w:left="345" w:firstLine="0"/>
        <w:rPr>
          <w:rFonts w:ascii="Arial" w:hAnsi="Arial" w:cs="Arial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 se zavazuje po dobu účinnosti této smlouvy udržovat v platnosti pojištění odpovědnosti za škody způsobené třetím osobám při plnění předmětu této smlouvy.</w:t>
      </w:r>
    </w:p>
    <w:p w:rsidR="00773CBD" w:rsidRDefault="00773CBD" w:rsidP="00773CB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je povinen po celou dobu trvání této smlouvy dodržovat veškeré hygienické a bezpečnostní předpisy vážící se k jeho činnosti. </w:t>
      </w:r>
    </w:p>
    <w:p w:rsidR="00773CBD" w:rsidRDefault="00773CBD" w:rsidP="00773CB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Obě strany zajistí korektní jednání a vstřícné vystupování svých zaměstnanců.</w:t>
      </w:r>
    </w:p>
    <w:p w:rsidR="00773CBD" w:rsidRDefault="00773CBD" w:rsidP="00773CBD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Jakékoliv spory vzniklé při plnění této smlouvy budou přednostně řešeny dohodou obou smluvních stran.</w:t>
      </w:r>
    </w:p>
    <w:p w:rsidR="00773CBD" w:rsidRDefault="00773CBD" w:rsidP="00773CBD">
      <w:pPr>
        <w:spacing w:after="0" w:line="240" w:lineRule="auto"/>
        <w:ind w:left="240" w:firstLine="0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VII.</w:t>
      </w:r>
    </w:p>
    <w:p w:rsidR="00773CBD" w:rsidRDefault="00773CBD" w:rsidP="00773CBD">
      <w:pPr>
        <w:spacing w:after="0" w:line="240" w:lineRule="auto"/>
        <w:ind w:left="12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Závěrečná ustanovení</w:t>
      </w:r>
    </w:p>
    <w:p w:rsidR="00773CBD" w:rsidRDefault="00773CBD" w:rsidP="00773CBD">
      <w:pPr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byla vyhotovena ve dvou stejnopisech, z nichž každá smluvní strana obdrží po jednom vyhotovení.</w:t>
      </w: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níže svým podpisem stvrzují, že si smlouvu před jejím podpisem přečetly, s jejím obsahem souhlasí, a tato smlouva je sepsána podle jejich pravé a skutečné vůle, srozumitelně a určitě, nikoli v tísni za nápadně nevýhodných podmínek.</w:t>
      </w: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Tuto smlouvu je možné měnit nebo doplňovat pouze po dohodě obou smluvních stran postupně číslovanými dodatky, které budou podepsány osobami uvedenými v záhlaví této smlouvy.</w:t>
      </w: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nabývá platnosti a účinnosti dnem jejího podpisu oběma smluvními stranami, nevyplývá-li z jiného právního předpisu pozdější účinnost.      </w:t>
      </w:r>
    </w:p>
    <w:p w:rsidR="00773CBD" w:rsidRDefault="00773CBD" w:rsidP="00773CB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Smlouvu a veškeré její dodatky ve lhůtě stanovené výše citovaným zákonem uveřejní objednatel.</w:t>
      </w:r>
    </w:p>
    <w:p w:rsidR="00773CBD" w:rsidRDefault="00773CBD" w:rsidP="00773CBD">
      <w:pPr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Přílohy smlouvy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Příloha č. 1</w:t>
      </w:r>
      <w:r>
        <w:rPr>
          <w:rFonts w:asciiTheme="minorHAnsi" w:hAnsiTheme="minorHAnsi" w:cstheme="minorHAnsi"/>
          <w:i/>
          <w:szCs w:val="24"/>
        </w:rPr>
        <w:tab/>
        <w:t>Nabídka dodavatele podaná v rámci zadávacího řízení (volně oddělitelná)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Příloha č. 2</w:t>
      </w:r>
      <w:r>
        <w:rPr>
          <w:rFonts w:asciiTheme="minorHAnsi" w:hAnsiTheme="minorHAnsi" w:cstheme="minorHAnsi"/>
          <w:i/>
          <w:szCs w:val="24"/>
        </w:rPr>
        <w:tab/>
        <w:t xml:space="preserve">Základní zásady a gramáže stravy </w:t>
      </w:r>
    </w:p>
    <w:p w:rsidR="00773CBD" w:rsidRDefault="00773CBD" w:rsidP="00773CBD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360" w:lineRule="auto"/>
        <w:ind w:left="-6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 Fryštáku dne</w:t>
      </w:r>
      <w:r>
        <w:rPr>
          <w:rFonts w:ascii="Arial" w:hAnsi="Arial" w:cs="Arial"/>
          <w:szCs w:val="24"/>
        </w:rPr>
        <w:t xml:space="preserve"> 24.5.2019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V Tlumačově dne</w:t>
      </w:r>
      <w:r>
        <w:rPr>
          <w:rFonts w:ascii="Arial" w:hAnsi="Arial" w:cs="Arial"/>
          <w:szCs w:val="24"/>
        </w:rPr>
        <w:t xml:space="preserve"> 24.5.2019</w:t>
      </w: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  <w:szCs w:val="24"/>
        </w:rPr>
      </w:pP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__________________________</w:t>
      </w:r>
    </w:p>
    <w:p w:rsidR="00773CBD" w:rsidRDefault="00773CBD" w:rsidP="00773CBD">
      <w:pPr>
        <w:spacing w:after="0" w:line="360" w:lineRule="auto"/>
        <w:ind w:left="-6" w:hanging="11"/>
        <w:rPr>
          <w:rFonts w:asciiTheme="minorHAnsi" w:hAnsiTheme="minorHAnsi" w:cstheme="minorHAnsi"/>
        </w:rPr>
      </w:pPr>
      <w:r>
        <w:rPr>
          <w:rFonts w:ascii="Arial" w:hAnsi="Arial" w:cs="Arial"/>
          <w:szCs w:val="24"/>
        </w:rPr>
        <w:t>Mgr. Ing. Adéla Machalová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="Arial" w:hAnsi="Arial" w:cs="Arial"/>
          <w:szCs w:val="24"/>
        </w:rPr>
        <w:t>Mgr. Monika Dočkalová</w:t>
      </w:r>
    </w:p>
    <w:p w:rsidR="003B4017" w:rsidRDefault="00773CBD" w:rsidP="00773CBD">
      <w:r>
        <w:rPr>
          <w:rFonts w:ascii="Arial" w:hAnsi="Arial" w:cs="Arial"/>
          <w:szCs w:val="24"/>
        </w:rPr>
        <w:t>ředitelka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3B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AF8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5D5055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41D2F2D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BF93B4C"/>
    <w:multiLevelType w:val="hybridMultilevel"/>
    <w:tmpl w:val="DA34BA44"/>
    <w:lvl w:ilvl="0" w:tplc="DB62DBEE">
      <w:start w:val="1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>
      <w:start w:val="1"/>
      <w:numFmt w:val="lowerRoman"/>
      <w:lvlText w:val="%3."/>
      <w:lvlJc w:val="right"/>
      <w:pPr>
        <w:ind w:left="2145" w:hanging="180"/>
      </w:pPr>
    </w:lvl>
    <w:lvl w:ilvl="3" w:tplc="0405000F">
      <w:start w:val="1"/>
      <w:numFmt w:val="decimal"/>
      <w:lvlText w:val="%4."/>
      <w:lvlJc w:val="left"/>
      <w:pPr>
        <w:ind w:left="2865" w:hanging="360"/>
      </w:pPr>
    </w:lvl>
    <w:lvl w:ilvl="4" w:tplc="04050019">
      <w:start w:val="1"/>
      <w:numFmt w:val="lowerLetter"/>
      <w:lvlText w:val="%5."/>
      <w:lvlJc w:val="left"/>
      <w:pPr>
        <w:ind w:left="3585" w:hanging="360"/>
      </w:pPr>
    </w:lvl>
    <w:lvl w:ilvl="5" w:tplc="0405001B">
      <w:start w:val="1"/>
      <w:numFmt w:val="lowerRoman"/>
      <w:lvlText w:val="%6."/>
      <w:lvlJc w:val="right"/>
      <w:pPr>
        <w:ind w:left="4305" w:hanging="180"/>
      </w:pPr>
    </w:lvl>
    <w:lvl w:ilvl="6" w:tplc="0405000F">
      <w:start w:val="1"/>
      <w:numFmt w:val="decimal"/>
      <w:lvlText w:val="%7."/>
      <w:lvlJc w:val="left"/>
      <w:pPr>
        <w:ind w:left="5025" w:hanging="360"/>
      </w:pPr>
    </w:lvl>
    <w:lvl w:ilvl="7" w:tplc="04050019">
      <w:start w:val="1"/>
      <w:numFmt w:val="lowerLetter"/>
      <w:lvlText w:val="%8."/>
      <w:lvlJc w:val="left"/>
      <w:pPr>
        <w:ind w:left="5745" w:hanging="360"/>
      </w:pPr>
    </w:lvl>
    <w:lvl w:ilvl="8" w:tplc="0405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36701A8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4D81A2F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AB57747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CE13070"/>
    <w:multiLevelType w:val="hybridMultilevel"/>
    <w:tmpl w:val="61B82E16"/>
    <w:lvl w:ilvl="0" w:tplc="2B083DAC">
      <w:start w:val="1"/>
      <w:numFmt w:val="lowerLetter"/>
      <w:lvlText w:val="%1)"/>
      <w:lvlJc w:val="left"/>
      <w:pPr>
        <w:ind w:left="712" w:hanging="360"/>
      </w:pPr>
    </w:lvl>
    <w:lvl w:ilvl="1" w:tplc="04050019">
      <w:start w:val="1"/>
      <w:numFmt w:val="lowerLetter"/>
      <w:lvlText w:val="%2."/>
      <w:lvlJc w:val="left"/>
      <w:pPr>
        <w:ind w:left="1432" w:hanging="360"/>
      </w:pPr>
    </w:lvl>
    <w:lvl w:ilvl="2" w:tplc="0405001B">
      <w:start w:val="1"/>
      <w:numFmt w:val="lowerRoman"/>
      <w:lvlText w:val="%3."/>
      <w:lvlJc w:val="right"/>
      <w:pPr>
        <w:ind w:left="2152" w:hanging="180"/>
      </w:pPr>
    </w:lvl>
    <w:lvl w:ilvl="3" w:tplc="0405000F">
      <w:start w:val="1"/>
      <w:numFmt w:val="decimal"/>
      <w:lvlText w:val="%4."/>
      <w:lvlJc w:val="left"/>
      <w:pPr>
        <w:ind w:left="2872" w:hanging="360"/>
      </w:pPr>
    </w:lvl>
    <w:lvl w:ilvl="4" w:tplc="04050019">
      <w:start w:val="1"/>
      <w:numFmt w:val="lowerLetter"/>
      <w:lvlText w:val="%5."/>
      <w:lvlJc w:val="left"/>
      <w:pPr>
        <w:ind w:left="3592" w:hanging="360"/>
      </w:pPr>
    </w:lvl>
    <w:lvl w:ilvl="5" w:tplc="0405001B">
      <w:start w:val="1"/>
      <w:numFmt w:val="lowerRoman"/>
      <w:lvlText w:val="%6."/>
      <w:lvlJc w:val="right"/>
      <w:pPr>
        <w:ind w:left="4312" w:hanging="180"/>
      </w:pPr>
    </w:lvl>
    <w:lvl w:ilvl="6" w:tplc="0405000F">
      <w:start w:val="1"/>
      <w:numFmt w:val="decimal"/>
      <w:lvlText w:val="%7."/>
      <w:lvlJc w:val="left"/>
      <w:pPr>
        <w:ind w:left="5032" w:hanging="360"/>
      </w:pPr>
    </w:lvl>
    <w:lvl w:ilvl="7" w:tplc="04050019">
      <w:start w:val="1"/>
      <w:numFmt w:val="lowerLetter"/>
      <w:lvlText w:val="%8."/>
      <w:lvlJc w:val="left"/>
      <w:pPr>
        <w:ind w:left="5752" w:hanging="360"/>
      </w:pPr>
    </w:lvl>
    <w:lvl w:ilvl="8" w:tplc="0405001B">
      <w:start w:val="1"/>
      <w:numFmt w:val="lowerRoman"/>
      <w:lvlText w:val="%9."/>
      <w:lvlJc w:val="right"/>
      <w:pPr>
        <w:ind w:left="6472" w:hanging="180"/>
      </w:pPr>
    </w:lvl>
  </w:abstractNum>
  <w:abstractNum w:abstractNumId="8" w15:restartNumberingAfterBreak="0">
    <w:nsid w:val="6FA01FAD"/>
    <w:multiLevelType w:val="hybridMultilevel"/>
    <w:tmpl w:val="A198D452"/>
    <w:lvl w:ilvl="0" w:tplc="918E75C0">
      <w:start w:val="1"/>
      <w:numFmt w:val="decimal"/>
      <w:lvlText w:val="%1."/>
      <w:lvlJc w:val="left"/>
      <w:pPr>
        <w:ind w:left="345" w:hanging="360"/>
      </w:pPr>
    </w:lvl>
    <w:lvl w:ilvl="1" w:tplc="04050019">
      <w:start w:val="1"/>
      <w:numFmt w:val="lowerLetter"/>
      <w:lvlText w:val="%2."/>
      <w:lvlJc w:val="left"/>
      <w:pPr>
        <w:ind w:left="1065" w:hanging="360"/>
      </w:pPr>
    </w:lvl>
    <w:lvl w:ilvl="2" w:tplc="0405001B">
      <w:start w:val="1"/>
      <w:numFmt w:val="lowerRoman"/>
      <w:lvlText w:val="%3."/>
      <w:lvlJc w:val="right"/>
      <w:pPr>
        <w:ind w:left="1785" w:hanging="180"/>
      </w:pPr>
    </w:lvl>
    <w:lvl w:ilvl="3" w:tplc="0405000F">
      <w:start w:val="1"/>
      <w:numFmt w:val="decimal"/>
      <w:lvlText w:val="%4."/>
      <w:lvlJc w:val="left"/>
      <w:pPr>
        <w:ind w:left="2505" w:hanging="360"/>
      </w:pPr>
    </w:lvl>
    <w:lvl w:ilvl="4" w:tplc="04050019">
      <w:start w:val="1"/>
      <w:numFmt w:val="lowerLetter"/>
      <w:lvlText w:val="%5."/>
      <w:lvlJc w:val="left"/>
      <w:pPr>
        <w:ind w:left="3225" w:hanging="360"/>
      </w:pPr>
    </w:lvl>
    <w:lvl w:ilvl="5" w:tplc="0405001B">
      <w:start w:val="1"/>
      <w:numFmt w:val="lowerRoman"/>
      <w:lvlText w:val="%6."/>
      <w:lvlJc w:val="right"/>
      <w:pPr>
        <w:ind w:left="3945" w:hanging="180"/>
      </w:pPr>
    </w:lvl>
    <w:lvl w:ilvl="6" w:tplc="0405000F">
      <w:start w:val="1"/>
      <w:numFmt w:val="decimal"/>
      <w:lvlText w:val="%7."/>
      <w:lvlJc w:val="left"/>
      <w:pPr>
        <w:ind w:left="4665" w:hanging="360"/>
      </w:pPr>
    </w:lvl>
    <w:lvl w:ilvl="7" w:tplc="04050019">
      <w:start w:val="1"/>
      <w:numFmt w:val="lowerLetter"/>
      <w:lvlText w:val="%8."/>
      <w:lvlJc w:val="left"/>
      <w:pPr>
        <w:ind w:left="5385" w:hanging="360"/>
      </w:pPr>
    </w:lvl>
    <w:lvl w:ilvl="8" w:tplc="0405001B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BD"/>
    <w:rsid w:val="003B4017"/>
    <w:rsid w:val="007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D01"/>
  <w15:chartTrackingRefBased/>
  <w15:docId w15:val="{B14197E5-162D-4CA0-A98E-09B57BEF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CBD"/>
    <w:pPr>
      <w:spacing w:after="29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73CBD"/>
    <w:pPr>
      <w:keepNext/>
      <w:keepLines/>
      <w:spacing w:after="0" w:line="256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CBD"/>
    <w:rPr>
      <w:rFonts w:ascii="Times New Roman" w:eastAsia="Times New Roman" w:hAnsi="Times New Roman" w:cs="Times New Roman"/>
      <w:b/>
      <w:color w:val="000000"/>
      <w:sz w:val="56"/>
      <w:lang w:eastAsia="cs-CZ"/>
    </w:rPr>
  </w:style>
  <w:style w:type="paragraph" w:styleId="Odstavecseseznamem">
    <w:name w:val="List Paragraph"/>
    <w:basedOn w:val="Normln"/>
    <w:uiPriority w:val="34"/>
    <w:qFormat/>
    <w:rsid w:val="00773CBD"/>
    <w:pPr>
      <w:ind w:left="720"/>
      <w:contextualSpacing/>
    </w:pPr>
  </w:style>
  <w:style w:type="table" w:styleId="Mkatabulky">
    <w:name w:val="Table Grid"/>
    <w:basedOn w:val="Normlntabulka"/>
    <w:uiPriority w:val="39"/>
    <w:rsid w:val="00773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dc:description/>
  <cp:lastModifiedBy>Iveta Reimerová</cp:lastModifiedBy>
  <cp:revision>1</cp:revision>
  <dcterms:created xsi:type="dcterms:W3CDTF">2019-05-24T12:07:00Z</dcterms:created>
  <dcterms:modified xsi:type="dcterms:W3CDTF">2019-05-24T12:08:00Z</dcterms:modified>
</cp:coreProperties>
</file>