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815C41" w:rsidRPr="00815C41">
        <w:rPr>
          <w:rFonts w:cs="Arial"/>
          <w:b/>
          <w:sz w:val="36"/>
          <w:szCs w:val="36"/>
        </w:rPr>
        <w:t>Z26109</w:t>
      </w:r>
    </w:p>
    <w:p w:rsidR="0036339E" w:rsidRDefault="0036339E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1C1FA1" w:rsidRPr="006C3557" w:rsidTr="00BA10CD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0E7B" w:rsidRPr="00BA10CD" w:rsidRDefault="002B0E7B" w:rsidP="007B2715">
            <w:pPr>
              <w:pStyle w:val="Tabulka"/>
              <w:rPr>
                <w:b/>
                <w:bCs w:val="0"/>
              </w:rPr>
            </w:pPr>
            <w:r w:rsidRPr="00BA10CD">
              <w:rPr>
                <w:b/>
                <w:szCs w:val="22"/>
              </w:rPr>
              <w:t>ID ShP MZe</w:t>
            </w:r>
            <w:r w:rsidRPr="00BA10CD">
              <w:rPr>
                <w:vertAlign w:val="superscript"/>
              </w:rPr>
              <w:endnoteReference w:id="3"/>
            </w:r>
            <w:r w:rsidRPr="00BA10CD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B0E7B" w:rsidRPr="00BA10CD" w:rsidRDefault="002B0E7B" w:rsidP="00BA10CD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0E7B" w:rsidRPr="00BA10CD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BA10CD">
              <w:rPr>
                <w:b/>
                <w:szCs w:val="22"/>
              </w:rPr>
              <w:t>ID PK MZe</w:t>
            </w:r>
            <w:r w:rsidRPr="00BA10CD">
              <w:rPr>
                <w:rStyle w:val="Odkaznavysvtlivky"/>
                <w:szCs w:val="22"/>
              </w:rPr>
              <w:endnoteReference w:id="4"/>
            </w:r>
            <w:r w:rsidRPr="00BA10CD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B0E7B" w:rsidRPr="00BA10CD" w:rsidRDefault="008013DE" w:rsidP="00BA10CD">
            <w:pPr>
              <w:pStyle w:val="Tabulka"/>
              <w:jc w:val="center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457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:rsidTr="00BA10CD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3A7D" w:rsidRPr="00BA10CD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BA10CD">
              <w:rPr>
                <w:b/>
                <w:szCs w:val="22"/>
              </w:rPr>
              <w:t>Název změny</w:t>
            </w:r>
            <w:r w:rsidRPr="00BA10CD">
              <w:rPr>
                <w:rStyle w:val="Odkaznavysvtlivky"/>
                <w:szCs w:val="22"/>
              </w:rPr>
              <w:endnoteReference w:id="5"/>
            </w:r>
            <w:r w:rsidRPr="00BA10CD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BA10CD" w:rsidRDefault="008013DE" w:rsidP="008013DE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LPIS</w:t>
            </w:r>
            <w:r w:rsidR="00B73A7D" w:rsidRPr="00BA10CD">
              <w:rPr>
                <w:b/>
                <w:szCs w:val="22"/>
              </w:rPr>
              <w:t xml:space="preserve"> – </w:t>
            </w:r>
            <w:r w:rsidR="00F469F5" w:rsidRPr="00BA10CD">
              <w:rPr>
                <w:b/>
                <w:szCs w:val="22"/>
              </w:rPr>
              <w:t xml:space="preserve">Zelená nafta – příprava podkladů pro vrácení </w:t>
            </w:r>
            <w:r w:rsidR="0024636F" w:rsidRPr="00BA10CD">
              <w:rPr>
                <w:b/>
                <w:szCs w:val="22"/>
              </w:rPr>
              <w:t xml:space="preserve">spotřební </w:t>
            </w:r>
            <w:r w:rsidR="00F469F5" w:rsidRPr="00BA10CD">
              <w:rPr>
                <w:b/>
                <w:szCs w:val="22"/>
              </w:rPr>
              <w:t>daně z</w:t>
            </w:r>
            <w:r w:rsidR="0024636F" w:rsidRPr="00BA10CD">
              <w:rPr>
                <w:b/>
                <w:szCs w:val="22"/>
              </w:rPr>
              <w:t> minerálních olejů</w:t>
            </w:r>
            <w:r w:rsidR="00F469F5" w:rsidRPr="00BA10CD">
              <w:rPr>
                <w:b/>
                <w:szCs w:val="22"/>
              </w:rPr>
              <w:t xml:space="preserve"> od roku 2019</w:t>
            </w:r>
          </w:p>
        </w:tc>
      </w:tr>
      <w:tr w:rsidR="001C1FA1" w:rsidRPr="006C3557" w:rsidTr="00BA10CD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BA10CD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BA10CD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A7D" w:rsidRPr="00BA10CD" w:rsidRDefault="00BA10CD" w:rsidP="006F6F21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8.3.2019</w:t>
            </w: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BA10CD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BA10CD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BA10CD" w:rsidRDefault="00BA10CD" w:rsidP="0037452C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22.4.2019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BA10CD" w:rsidRPr="006C3557" w:rsidTr="00BA10C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337DDA">
            <w:pPr>
              <w:pStyle w:val="Tabulka"/>
              <w:rPr>
                <w:szCs w:val="22"/>
              </w:rPr>
            </w:pPr>
            <w:r w:rsidRPr="00BA10CD">
              <w:rPr>
                <w:rStyle w:val="Siln"/>
                <w:szCs w:val="22"/>
              </w:rPr>
              <w:t>Kategorie změny</w:t>
            </w:r>
            <w:r w:rsidRPr="00BA10CD">
              <w:rPr>
                <w:rStyle w:val="Odkaznavysvtlivky"/>
                <w:bCs w:val="0"/>
                <w:szCs w:val="22"/>
              </w:rPr>
              <w:endnoteReference w:id="6"/>
            </w:r>
            <w:r w:rsidRPr="00BA10CD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BA10CD" w:rsidRDefault="0000551E" w:rsidP="00337DDA">
            <w:pPr>
              <w:pStyle w:val="Tabulka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</w:rPr>
              <w:t xml:space="preserve">Normální  </w:t>
            </w:r>
            <w:r w:rsidR="00427C26"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   Urgentní  </w:t>
            </w:r>
            <w:r w:rsidR="00427C26" w:rsidRPr="00BA10CD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BA10CD">
              <w:rPr>
                <w:b/>
                <w:szCs w:val="22"/>
              </w:rPr>
              <w:t>Priorita</w:t>
            </w:r>
            <w:r w:rsidRPr="00BA10CD">
              <w:rPr>
                <w:rStyle w:val="Odkaznavysvtlivky"/>
                <w:szCs w:val="22"/>
              </w:rPr>
              <w:endnoteReference w:id="7"/>
            </w:r>
            <w:r w:rsidRPr="00BA10CD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337DDA">
            <w:pPr>
              <w:pStyle w:val="Tabulka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</w:rPr>
              <w:t xml:space="preserve">Vysoká  </w:t>
            </w:r>
            <w:r w:rsidR="006F6F21" w:rsidRPr="00BA10CD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BA10CD">
              <w:rPr>
                <w:sz w:val="20"/>
                <w:szCs w:val="20"/>
              </w:rPr>
              <w:t xml:space="preserve">  Střední  </w:t>
            </w:r>
            <w:r w:rsidR="006F6F21"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 Nízká </w:t>
            </w:r>
            <w:r w:rsidRPr="00BA10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1C1FA1" w:rsidRPr="006C3557" w:rsidTr="00BA10CD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6D5B5C">
            <w:pPr>
              <w:pStyle w:val="Tabulka"/>
              <w:rPr>
                <w:szCs w:val="22"/>
              </w:rPr>
            </w:pPr>
            <w:r w:rsidRPr="00BA10CD">
              <w:rPr>
                <w:b/>
                <w:szCs w:val="22"/>
              </w:rPr>
              <w:t>Oblas</w:t>
            </w:r>
            <w:r w:rsidRPr="00BA10CD">
              <w:rPr>
                <w:szCs w:val="22"/>
              </w:rPr>
              <w:t>t</w:t>
            </w:r>
            <w:r w:rsidRPr="00BA10CD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593EFD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 xml:space="preserve">Aplikace  </w:t>
            </w:r>
            <w:r w:rsidR="00D232BA" w:rsidRPr="00BA10CD">
              <w:rPr>
                <w:rFonts w:ascii="MS Gothic" w:eastAsia="MS Gothic" w:hAnsi="MS Gothic" w:hint="eastAsia"/>
                <w:szCs w:val="22"/>
              </w:rPr>
              <w:t>☒</w:t>
            </w:r>
            <w:r w:rsidRPr="00BA10CD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A5471A">
            <w:pPr>
              <w:pStyle w:val="Tabulka"/>
              <w:rPr>
                <w:szCs w:val="22"/>
              </w:rPr>
            </w:pPr>
            <w:r w:rsidRPr="00BA10CD">
              <w:rPr>
                <w:b/>
                <w:szCs w:val="22"/>
              </w:rPr>
              <w:t>Zkratka</w:t>
            </w:r>
            <w:r w:rsidRPr="00BA10CD">
              <w:rPr>
                <w:rStyle w:val="Odkaznavysvtlivky"/>
                <w:szCs w:val="22"/>
              </w:rPr>
              <w:endnoteReference w:id="8"/>
            </w:r>
            <w:r w:rsidRPr="00BA10CD">
              <w:rPr>
                <w:b/>
                <w:szCs w:val="22"/>
              </w:rPr>
              <w:t>:</w:t>
            </w:r>
            <w:r w:rsidRPr="00BA10CD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BA10CD" w:rsidRDefault="00F21EC2" w:rsidP="00A5471A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BA10CD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BA10CD" w:rsidRDefault="00001BFA" w:rsidP="00593EFD">
            <w:pPr>
              <w:pStyle w:val="Tabulka"/>
              <w:rPr>
                <w:szCs w:val="22"/>
                <w:highlight w:val="yellow"/>
              </w:rPr>
            </w:pPr>
            <w:r w:rsidRPr="00BA10CD">
              <w:rPr>
                <w:szCs w:val="22"/>
              </w:rPr>
              <w:t>4.024.000012</w:t>
            </w:r>
          </w:p>
        </w:tc>
      </w:tr>
      <w:tr w:rsidR="001C1FA1" w:rsidRPr="006C3557" w:rsidTr="00BA10CD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1E" w:rsidRPr="00BA10CD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1E" w:rsidRPr="00BA10CD" w:rsidRDefault="0000551E" w:rsidP="00593EFD">
            <w:pPr>
              <w:pStyle w:val="Tabulka"/>
              <w:rPr>
                <w:szCs w:val="22"/>
              </w:rPr>
            </w:pPr>
            <w:r w:rsidRPr="00BA10CD">
              <w:rPr>
                <w:b/>
                <w:szCs w:val="22"/>
              </w:rPr>
              <w:t>Typ požadavku:</w:t>
            </w:r>
            <w:r w:rsidRPr="00BA10CD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697C60">
            <w:pPr>
              <w:pStyle w:val="Tabulka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</w:rPr>
              <w:t xml:space="preserve">Legislativní </w:t>
            </w:r>
            <w:r w:rsidR="00AD7CE0" w:rsidRPr="00BA10CD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BA10CD">
              <w:rPr>
                <w:sz w:val="20"/>
                <w:szCs w:val="20"/>
              </w:rPr>
              <w:t xml:space="preserve">   Zlepšení </w:t>
            </w:r>
            <w:r w:rsidR="00AD7CE0"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 Reklamace </w:t>
            </w:r>
            <w:r w:rsidRPr="00BA10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Bezpečnost </w:t>
            </w:r>
            <w:r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1C1FA1" w:rsidRPr="006C3557" w:rsidTr="00BA10CD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697C60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 xml:space="preserve">Infrastruktura  </w:t>
            </w:r>
            <w:r w:rsidRPr="00BA10CD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697C60">
            <w:pPr>
              <w:pStyle w:val="Tabulka"/>
              <w:rPr>
                <w:szCs w:val="22"/>
              </w:rPr>
            </w:pPr>
            <w:r w:rsidRPr="00BA10CD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BA10CD">
              <w:rPr>
                <w:sz w:val="20"/>
                <w:szCs w:val="20"/>
              </w:rPr>
              <w:t xml:space="preserve">Nová komponenta </w:t>
            </w:r>
            <w:r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 Upgrade </w:t>
            </w:r>
            <w:r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Bezpečnost  </w:t>
            </w:r>
            <w:r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Zlepšení  </w:t>
            </w:r>
            <w:r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10CD">
              <w:rPr>
                <w:sz w:val="20"/>
                <w:szCs w:val="20"/>
              </w:rPr>
              <w:t xml:space="preserve">  Obnova  </w:t>
            </w:r>
            <w:r w:rsidRPr="00BA10C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1C1FA1" w:rsidRPr="006C3557" w:rsidTr="00BA10C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153C10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4C5DDA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BA10CD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4C5DDA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153C10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E-mail</w:t>
            </w:r>
          </w:p>
        </w:tc>
      </w:tr>
      <w:tr w:rsidR="001C1FA1" w:rsidRPr="006C3557" w:rsidTr="00BA10C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BA10CD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BA10CD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C1FA1" w:rsidRPr="006C3557" w:rsidTr="00BA10CD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63C54" w:rsidRPr="00BA10CD" w:rsidRDefault="00063C54" w:rsidP="00063C54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Žadatel: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3C54" w:rsidRPr="00BA10CD" w:rsidRDefault="002D4D99" w:rsidP="00BA10C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3C54" w:rsidRPr="00BA10CD" w:rsidRDefault="00063C54" w:rsidP="00BA10C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BA10CD">
              <w:rPr>
                <w:rStyle w:val="Siln"/>
                <w:b w:val="0"/>
                <w:sz w:val="20"/>
                <w:szCs w:val="20"/>
              </w:rPr>
              <w:t>OZK/18140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3C54" w:rsidRPr="00BA10CD" w:rsidRDefault="00063C54" w:rsidP="00063C54">
            <w:pPr>
              <w:pStyle w:val="Tabulka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  <w:u w:val="single"/>
              </w:rPr>
              <w:t>221 812 461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3C54" w:rsidRPr="00BA10CD" w:rsidRDefault="002D4D99" w:rsidP="00063C5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1C1FA1" w:rsidRPr="006C3557" w:rsidTr="00BA10CD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BA10CD" w:rsidRDefault="00B73A7D" w:rsidP="004C5DDA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C08" w:rsidRPr="00BA10CD" w:rsidRDefault="002D4D99" w:rsidP="00BA10C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C08" w:rsidRPr="00BA10CD" w:rsidRDefault="00001BFA" w:rsidP="00BA10C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BA10CD">
              <w:rPr>
                <w:rStyle w:val="Siln"/>
                <w:b w:val="0"/>
                <w:sz w:val="20"/>
                <w:szCs w:val="20"/>
              </w:rPr>
              <w:t>OZK/18140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63C08" w:rsidRPr="00BA10CD" w:rsidRDefault="00001BFA" w:rsidP="004C5DDA">
            <w:pPr>
              <w:pStyle w:val="Tabulka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  <w:u w:val="single"/>
              </w:rPr>
              <w:t>221 812 461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3C08" w:rsidRPr="00BA10CD" w:rsidRDefault="002D4D99" w:rsidP="009A4EC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1C1FA1" w:rsidRPr="006C3557" w:rsidTr="00BA10CD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F0CA7" w:rsidRPr="00BA10CD" w:rsidRDefault="00186234" w:rsidP="004C5DDA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Žadatel a metodický</w:t>
            </w:r>
            <w:r w:rsidR="000F0CA7" w:rsidRPr="00BA10CD">
              <w:rPr>
                <w:szCs w:val="22"/>
              </w:rPr>
              <w:t xml:space="preserve"> garant za ECP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0CA7" w:rsidRPr="00BA10CD" w:rsidRDefault="00186234" w:rsidP="00BA10CD">
            <w:pPr>
              <w:pStyle w:val="Tabulka"/>
              <w:jc w:val="center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CA7" w:rsidRPr="00BA10CD" w:rsidRDefault="00186234" w:rsidP="00BA10C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BA10CD">
              <w:rPr>
                <w:rStyle w:val="Siln"/>
                <w:b w:val="0"/>
                <w:sz w:val="20"/>
                <w:szCs w:val="20"/>
              </w:rPr>
              <w:t>MZe/11120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F0CA7" w:rsidRPr="00BA10CD" w:rsidRDefault="00186234" w:rsidP="004C5DDA">
            <w:pPr>
              <w:pStyle w:val="Tabulka"/>
              <w:rPr>
                <w:sz w:val="20"/>
                <w:szCs w:val="20"/>
                <w:u w:val="single"/>
              </w:rPr>
            </w:pPr>
            <w:r w:rsidRPr="00BA10CD">
              <w:rPr>
                <w:sz w:val="20"/>
                <w:szCs w:val="20"/>
                <w:u w:val="single"/>
              </w:rPr>
              <w:t>221 812 342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F0CA7" w:rsidRPr="00BA10CD" w:rsidRDefault="00186234" w:rsidP="009A4EC2">
            <w:pPr>
              <w:pStyle w:val="Tabulka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</w:rPr>
              <w:t>Lenka.Typotova@mze.cz</w:t>
            </w:r>
          </w:p>
        </w:tc>
      </w:tr>
      <w:tr w:rsidR="001C1FA1" w:rsidRPr="006C3557" w:rsidTr="00BA10CD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BA10CD" w:rsidRDefault="00B73A7D" w:rsidP="004C5DDA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Change koordinátor: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A7D" w:rsidRPr="00BA10CD" w:rsidRDefault="002D4D99" w:rsidP="00BA10C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A7D" w:rsidRPr="00BA10CD" w:rsidRDefault="00186234" w:rsidP="00BA10C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BA10CD">
              <w:rPr>
                <w:rStyle w:val="Siln"/>
                <w:b w:val="0"/>
                <w:sz w:val="20"/>
                <w:szCs w:val="20"/>
              </w:rPr>
              <w:t>MZe</w:t>
            </w:r>
            <w:r w:rsidR="00001BFA" w:rsidRPr="00BA10CD">
              <w:rPr>
                <w:rStyle w:val="Siln"/>
                <w:b w:val="0"/>
                <w:sz w:val="20"/>
                <w:szCs w:val="20"/>
              </w:rPr>
              <w:t>/11121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73A7D" w:rsidRPr="00BA10CD" w:rsidRDefault="00001BFA" w:rsidP="004C5DDA">
            <w:pPr>
              <w:pStyle w:val="Tabulka"/>
              <w:rPr>
                <w:sz w:val="20"/>
                <w:szCs w:val="20"/>
              </w:rPr>
            </w:pPr>
            <w:r w:rsidRPr="00BA10CD">
              <w:rPr>
                <w:sz w:val="20"/>
                <w:szCs w:val="20"/>
              </w:rPr>
              <w:t>22182710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3A7D" w:rsidRPr="00BA10CD" w:rsidRDefault="002D4D9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1C1FA1" w:rsidRPr="006C3557" w:rsidTr="00BA10CD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BA10CD" w:rsidRDefault="00B73A7D" w:rsidP="004C5DDA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A7D" w:rsidRPr="00BA10CD" w:rsidRDefault="002D4D99" w:rsidP="00BA10C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A7D" w:rsidRPr="00BA10CD" w:rsidRDefault="00B73A7D" w:rsidP="00BA10C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BA10CD">
              <w:rPr>
                <w:rStyle w:val="Siln"/>
                <w:b w:val="0"/>
                <w:sz w:val="20"/>
                <w:szCs w:val="20"/>
              </w:rPr>
              <w:t>O</w:t>
            </w:r>
            <w:r w:rsidRPr="00BA10C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BA10CD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73A7D" w:rsidRPr="00BA10CD" w:rsidRDefault="002D4D9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3A7D" w:rsidRPr="00BA10CD" w:rsidRDefault="002D4D9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536"/>
        <w:gridCol w:w="709"/>
        <w:gridCol w:w="2977"/>
      </w:tblGrid>
      <w:tr w:rsidR="001C1FA1" w:rsidRPr="006C3557" w:rsidTr="00BA10CD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:rsidR="0000551E" w:rsidRPr="00BA10CD" w:rsidRDefault="0000551E" w:rsidP="00712804">
            <w:pPr>
              <w:pStyle w:val="Tabulka"/>
              <w:rPr>
                <w:szCs w:val="22"/>
              </w:rPr>
            </w:pPr>
            <w:r w:rsidRPr="00BA10CD">
              <w:rPr>
                <w:b/>
                <w:szCs w:val="22"/>
              </w:rPr>
              <w:t>Smlouva č.</w:t>
            </w:r>
            <w:r w:rsidRPr="00BA10CD">
              <w:rPr>
                <w:rStyle w:val="Odkaznavysvtlivky"/>
                <w:szCs w:val="22"/>
              </w:rPr>
              <w:endnoteReference w:id="9"/>
            </w:r>
            <w:r w:rsidRPr="00BA10CD">
              <w:rPr>
                <w:b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BA10CD" w:rsidRDefault="00B73A7D" w:rsidP="003B2D72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353-2015-13310/1,2</w:t>
            </w:r>
            <w:r w:rsidR="0036339E" w:rsidRPr="00BA10CD">
              <w:rPr>
                <w:szCs w:val="22"/>
              </w:rPr>
              <w:t>,3,4,5</w:t>
            </w:r>
            <w:r w:rsidR="008D5618" w:rsidRPr="00BA10CD">
              <w:rPr>
                <w:szCs w:val="22"/>
              </w:rPr>
              <w:t>,6</w:t>
            </w:r>
            <w:r w:rsidRPr="00BA10CD">
              <w:rPr>
                <w:szCs w:val="22"/>
              </w:rPr>
              <w:t xml:space="preserve"> (S2016-0118)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BA10CD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BA10CD">
              <w:rPr>
                <w:rStyle w:val="Siln"/>
                <w:szCs w:val="22"/>
              </w:rPr>
              <w:t>KL: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51E" w:rsidRPr="00BA10CD" w:rsidRDefault="00B73A7D" w:rsidP="00BA10CD">
            <w:pPr>
              <w:pStyle w:val="Tabulka"/>
              <w:jc w:val="center"/>
              <w:rPr>
                <w:szCs w:val="22"/>
              </w:rPr>
            </w:pPr>
            <w:r w:rsidRPr="00BA10CD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0E0BA7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je </w:t>
      </w:r>
      <w:r w:rsidRPr="00332775">
        <w:rPr>
          <w:b/>
          <w:szCs w:val="22"/>
        </w:rPr>
        <w:t xml:space="preserve">vytvoření </w:t>
      </w:r>
      <w:r w:rsidR="000E0BA7">
        <w:rPr>
          <w:b/>
          <w:szCs w:val="22"/>
        </w:rPr>
        <w:t xml:space="preserve">nové </w:t>
      </w:r>
      <w:r w:rsidRPr="00332775">
        <w:rPr>
          <w:b/>
          <w:szCs w:val="22"/>
        </w:rPr>
        <w:t>funkcionality Zelená nafta v</w:t>
      </w:r>
      <w:r w:rsidR="00001BFA">
        <w:rPr>
          <w:b/>
          <w:szCs w:val="22"/>
        </w:rPr>
        <w:t> </w:t>
      </w:r>
      <w:r w:rsidR="000E0BA7" w:rsidRPr="00001BFA">
        <w:rPr>
          <w:szCs w:val="22"/>
        </w:rPr>
        <w:t>LPIS</w:t>
      </w:r>
      <w:r w:rsidR="00001BFA" w:rsidRPr="00001BFA">
        <w:rPr>
          <w:szCs w:val="22"/>
        </w:rPr>
        <w:t xml:space="preserve"> s cílem poskytnout z LPIS příslušné výpisy, kterými se bude dokládat žádost o vratku spotřební daně na naftu.</w:t>
      </w:r>
    </w:p>
    <w:p w:rsidR="00B03CD3" w:rsidRDefault="00782A84" w:rsidP="003327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szCs w:val="22"/>
        </w:rPr>
        <w:t>Požadavek vyplývá z </w:t>
      </w:r>
      <w:r w:rsidRPr="00001BFA">
        <w:rPr>
          <w:b/>
          <w:szCs w:val="22"/>
        </w:rPr>
        <w:t>novely zákona č. 353/</w:t>
      </w:r>
      <w:r w:rsidR="00332775" w:rsidRPr="00001BFA">
        <w:rPr>
          <w:b/>
          <w:szCs w:val="22"/>
        </w:rPr>
        <w:t xml:space="preserve">2003 Sb., o spotřebních daních a </w:t>
      </w:r>
      <w:r w:rsidR="009A4EC2" w:rsidRPr="00001BFA">
        <w:rPr>
          <w:b/>
          <w:szCs w:val="22"/>
        </w:rPr>
        <w:t xml:space="preserve">z </w:t>
      </w:r>
      <w:r w:rsidR="00332775" w:rsidRPr="00001BFA">
        <w:rPr>
          <w:b/>
          <w:szCs w:val="22"/>
        </w:rPr>
        <w:t xml:space="preserve">návrhu </w:t>
      </w:r>
      <w:r w:rsidR="00574FE9" w:rsidRPr="00001BFA">
        <w:rPr>
          <w:rFonts w:cs="Arial"/>
          <w:b/>
          <w:szCs w:val="22"/>
        </w:rPr>
        <w:t xml:space="preserve">nové </w:t>
      </w:r>
      <w:r w:rsidR="00332775" w:rsidRPr="00001BFA">
        <w:rPr>
          <w:rFonts w:cs="Arial"/>
          <w:b/>
          <w:szCs w:val="22"/>
        </w:rPr>
        <w:t>v</w:t>
      </w:r>
      <w:r w:rsidR="00B03CD3" w:rsidRPr="00001BFA">
        <w:rPr>
          <w:rFonts w:cs="Arial"/>
          <w:b/>
          <w:szCs w:val="22"/>
        </w:rPr>
        <w:t>yhlášky</w:t>
      </w:r>
      <w:r w:rsidR="00B03CD3" w:rsidRPr="00B03CD3">
        <w:rPr>
          <w:rFonts w:cs="Arial"/>
          <w:szCs w:val="22"/>
        </w:rPr>
        <w:t xml:space="preserve">, která upravuje způsob výpočtu nároku na vrácení spotřební daně z minerálních olejů, stanovuje </w:t>
      </w:r>
      <w:r w:rsidR="000E0BA7" w:rsidRPr="00B03CD3">
        <w:rPr>
          <w:rFonts w:cs="Arial"/>
          <w:color w:val="000000"/>
          <w:szCs w:val="22"/>
          <w:lang w:eastAsia="cs-CZ"/>
        </w:rPr>
        <w:t>způsob výpočtu zastoupení citlivých plodin a révy vinné</w:t>
      </w:r>
      <w:r w:rsidR="000E0BA7" w:rsidRPr="00B03CD3">
        <w:rPr>
          <w:rFonts w:cs="Arial"/>
          <w:color w:val="000000"/>
          <w:szCs w:val="22"/>
        </w:rPr>
        <w:t xml:space="preserve"> </w:t>
      </w:r>
      <w:r w:rsidR="00B03CD3" w:rsidRPr="00B03CD3">
        <w:rPr>
          <w:rFonts w:cs="Arial"/>
          <w:color w:val="000000"/>
          <w:szCs w:val="22"/>
        </w:rPr>
        <w:t xml:space="preserve">a </w:t>
      </w:r>
      <w:r w:rsidR="000E0BA7">
        <w:rPr>
          <w:rFonts w:cs="Arial"/>
          <w:color w:val="000000"/>
          <w:szCs w:val="22"/>
        </w:rPr>
        <w:t xml:space="preserve">stanovuje </w:t>
      </w:r>
      <w:r w:rsidR="000E0BA7">
        <w:rPr>
          <w:rFonts w:cs="Arial"/>
          <w:color w:val="000000"/>
          <w:szCs w:val="22"/>
          <w:lang w:eastAsia="cs-CZ"/>
        </w:rPr>
        <w:t>výši</w:t>
      </w:r>
      <w:r w:rsidR="000E0BA7" w:rsidRPr="00B03CD3">
        <w:rPr>
          <w:rFonts w:cs="Arial"/>
          <w:color w:val="000000"/>
          <w:szCs w:val="22"/>
          <w:lang w:eastAsia="cs-CZ"/>
        </w:rPr>
        <w:t xml:space="preserve"> ročních normativů minimální spotřeby a jejich kategorie a podílové rozdělení ročních normativů minimální spotřeby na jednotlivé kalendářní měsíce</w:t>
      </w:r>
      <w:r w:rsidR="00B03CD3" w:rsidRPr="00B03CD3">
        <w:rPr>
          <w:rFonts w:cs="Arial"/>
          <w:color w:val="000000"/>
          <w:szCs w:val="22"/>
        </w:rPr>
        <w:t>.</w:t>
      </w:r>
    </w:p>
    <w:p w:rsidR="00332775" w:rsidRDefault="00332775" w:rsidP="003327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Dle výše uvedené legislativy je nutné, aby </w:t>
      </w:r>
      <w:r w:rsidR="000E0BA7">
        <w:rPr>
          <w:rFonts w:cs="Arial"/>
          <w:color w:val="000000"/>
          <w:szCs w:val="22"/>
        </w:rPr>
        <w:t>LPIS</w:t>
      </w:r>
      <w:r w:rsidR="00F21EC2">
        <w:rPr>
          <w:rFonts w:cs="Arial"/>
          <w:color w:val="000000"/>
          <w:szCs w:val="22"/>
        </w:rPr>
        <w:t xml:space="preserve"> zajistil</w:t>
      </w:r>
      <w:r>
        <w:rPr>
          <w:rFonts w:cs="Arial"/>
          <w:color w:val="000000"/>
          <w:szCs w:val="22"/>
        </w:rPr>
        <w:t xml:space="preserve"> následující výpočty a doklady pro vratku daně:</w:t>
      </w:r>
    </w:p>
    <w:p w:rsidR="002B2BF7" w:rsidRPr="00F75038" w:rsidRDefault="002B2BF7" w:rsidP="00A6396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b/>
          <w:szCs w:val="22"/>
        </w:rPr>
        <w:lastRenderedPageBreak/>
        <w:t>LPIS</w:t>
      </w:r>
      <w:r w:rsidR="00332775" w:rsidRPr="00FE1F79">
        <w:rPr>
          <w:b/>
          <w:szCs w:val="22"/>
        </w:rPr>
        <w:t xml:space="preserve"> zajistí výpočet </w:t>
      </w:r>
      <w:r>
        <w:rPr>
          <w:b/>
          <w:szCs w:val="22"/>
        </w:rPr>
        <w:t>zastoupení citlivých plodin a révy vinné</w:t>
      </w:r>
      <w:r>
        <w:rPr>
          <w:szCs w:val="22"/>
        </w:rPr>
        <w:t>, které</w:t>
      </w:r>
      <w:r w:rsidR="00332775" w:rsidRPr="00FE1F79">
        <w:rPr>
          <w:szCs w:val="22"/>
        </w:rPr>
        <w:t xml:space="preserve"> je rozhodující pro </w:t>
      </w:r>
      <w:r w:rsidR="00332775" w:rsidRPr="00F75038">
        <w:rPr>
          <w:szCs w:val="22"/>
        </w:rPr>
        <w:t xml:space="preserve">zařazení subjektu do kategorie </w:t>
      </w:r>
      <w:r w:rsidRPr="00F75038">
        <w:rPr>
          <w:szCs w:val="22"/>
        </w:rPr>
        <w:t xml:space="preserve">vratky daně </w:t>
      </w:r>
    </w:p>
    <w:p w:rsidR="00F75038" w:rsidRPr="00F75038" w:rsidRDefault="002B2BF7" w:rsidP="00A63961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F75038">
        <w:rPr>
          <w:rFonts w:cs="Arial"/>
          <w:color w:val="000000"/>
          <w:szCs w:val="22"/>
          <w:lang w:eastAsia="cs-CZ"/>
        </w:rPr>
        <w:t xml:space="preserve">9500 Kč/1000 l </w:t>
      </w:r>
    </w:p>
    <w:p w:rsidR="002B2BF7" w:rsidRPr="00F75038" w:rsidRDefault="00332775" w:rsidP="00A63961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F75038">
        <w:rPr>
          <w:szCs w:val="22"/>
        </w:rPr>
        <w:t>s</w:t>
      </w:r>
      <w:r w:rsidR="002B2BF7" w:rsidRPr="00F75038">
        <w:rPr>
          <w:szCs w:val="22"/>
        </w:rPr>
        <w:t>e zastoupením nad 0,1 citlivých plodin a révy vinné</w:t>
      </w:r>
      <w:r w:rsidR="00001BFA">
        <w:rPr>
          <w:szCs w:val="22"/>
        </w:rPr>
        <w:t>, pokud žadatel nechová zvířata</w:t>
      </w:r>
    </w:p>
    <w:p w:rsidR="00F75038" w:rsidRDefault="00F75038" w:rsidP="00A63961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F75038">
        <w:rPr>
          <w:szCs w:val="22"/>
        </w:rPr>
        <w:t xml:space="preserve">se zastoupením </w:t>
      </w:r>
      <w:r w:rsidR="00001BFA">
        <w:rPr>
          <w:szCs w:val="22"/>
        </w:rPr>
        <w:t>nad</w:t>
      </w:r>
      <w:r w:rsidRPr="00F75038">
        <w:rPr>
          <w:szCs w:val="22"/>
        </w:rPr>
        <w:t xml:space="preserve"> 0,1 citlivých plodin a révy vinné, pokud zároveň plní intenzitu chovu zvířat </w:t>
      </w:r>
      <w:r w:rsidR="00001BFA">
        <w:rPr>
          <w:szCs w:val="22"/>
        </w:rPr>
        <w:t xml:space="preserve">do </w:t>
      </w:r>
      <w:r w:rsidRPr="00F75038">
        <w:rPr>
          <w:szCs w:val="22"/>
        </w:rPr>
        <w:t>0,3 VDJ/ha</w:t>
      </w:r>
    </w:p>
    <w:p w:rsidR="00001BFA" w:rsidRPr="00001BFA" w:rsidRDefault="00001BFA" w:rsidP="00001BFA">
      <w:pPr>
        <w:widowControl w:val="0"/>
        <w:autoSpaceDE w:val="0"/>
        <w:autoSpaceDN w:val="0"/>
        <w:adjustRightInd w:val="0"/>
        <w:ind w:left="1140"/>
        <w:jc w:val="both"/>
        <w:rPr>
          <w:i/>
          <w:szCs w:val="22"/>
        </w:rPr>
      </w:pPr>
      <w:r w:rsidRPr="00001BFA">
        <w:rPr>
          <w:i/>
          <w:szCs w:val="22"/>
        </w:rPr>
        <w:t>Pozn: LPIS bude zjišťovat poměr zastoupení citlivých plodin, nikoliv skutečnost intenzity chovu zvířat (k tomu slouží PZ 458)</w:t>
      </w:r>
    </w:p>
    <w:p w:rsidR="00F75038" w:rsidRDefault="002B2BF7" w:rsidP="00A63961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F75038">
        <w:rPr>
          <w:szCs w:val="22"/>
        </w:rPr>
        <w:t xml:space="preserve">4380 Kč/1000 l </w:t>
      </w:r>
    </w:p>
    <w:p w:rsidR="00332775" w:rsidRPr="00F75038" w:rsidRDefault="002B2BF7" w:rsidP="00A63961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F75038">
        <w:rPr>
          <w:szCs w:val="22"/>
        </w:rPr>
        <w:t xml:space="preserve">se zastoupením </w:t>
      </w:r>
      <w:r w:rsidR="00F75038" w:rsidRPr="00F75038">
        <w:rPr>
          <w:szCs w:val="22"/>
        </w:rPr>
        <w:t>do 0,1 citlivých plodina a révy vinné</w:t>
      </w:r>
      <w:r w:rsidR="00332775" w:rsidRPr="00F75038">
        <w:rPr>
          <w:szCs w:val="22"/>
        </w:rPr>
        <w:t xml:space="preserve"> </w:t>
      </w:r>
    </w:p>
    <w:p w:rsidR="00332775" w:rsidRPr="00FE1F79" w:rsidRDefault="00332775" w:rsidP="00385734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Cs w:val="22"/>
        </w:rPr>
      </w:pPr>
      <w:r w:rsidRPr="00FE1F79">
        <w:rPr>
          <w:szCs w:val="22"/>
        </w:rPr>
        <w:t>Zákon nově zavádí možnost prokázat spotřebu minerálních olejů dvěma způsoby a ve dvou zdaňovacích obd</w:t>
      </w:r>
      <w:r w:rsidR="00FE1F79" w:rsidRPr="00FE1F79">
        <w:rPr>
          <w:szCs w:val="22"/>
        </w:rPr>
        <w:t>obí</w:t>
      </w:r>
      <w:r w:rsidR="004934CD">
        <w:rPr>
          <w:szCs w:val="22"/>
        </w:rPr>
        <w:t>ch</w:t>
      </w:r>
      <w:r w:rsidR="00FE1F79" w:rsidRPr="00FE1F79">
        <w:rPr>
          <w:szCs w:val="22"/>
        </w:rPr>
        <w:t>:</w:t>
      </w:r>
    </w:p>
    <w:p w:rsidR="00332775" w:rsidRPr="00FE1F79" w:rsidRDefault="00332775" w:rsidP="00A63961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jc w:val="both"/>
        <w:rPr>
          <w:szCs w:val="22"/>
        </w:rPr>
      </w:pPr>
      <w:r w:rsidRPr="00FE1F79">
        <w:rPr>
          <w:szCs w:val="22"/>
        </w:rPr>
        <w:t xml:space="preserve">evidencí o skutečné spotřebě, </w:t>
      </w:r>
      <w:r w:rsidRPr="00FE1F79">
        <w:rPr>
          <w:b/>
          <w:szCs w:val="22"/>
        </w:rPr>
        <w:t>zdaňovacím obdobím je kalendářní čtvrtletí</w:t>
      </w:r>
      <w:r w:rsidRPr="00FE1F79">
        <w:rPr>
          <w:szCs w:val="22"/>
        </w:rPr>
        <w:t xml:space="preserve"> </w:t>
      </w:r>
    </w:p>
    <w:p w:rsidR="00332775" w:rsidRPr="00FE1F79" w:rsidRDefault="00332775" w:rsidP="00A63961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jc w:val="both"/>
        <w:rPr>
          <w:szCs w:val="22"/>
        </w:rPr>
      </w:pPr>
      <w:r w:rsidRPr="00FE1F79">
        <w:rPr>
          <w:szCs w:val="22"/>
        </w:rPr>
        <w:t xml:space="preserve">evidencí využití půdy podle uživatelských vztahů vedenou podle zákona upravujícího zemědělství nebo ústřední evidencí hospodářských zvířat vedenou podle plemenářského zákona, </w:t>
      </w:r>
      <w:r w:rsidRPr="00FE1F79">
        <w:rPr>
          <w:b/>
          <w:szCs w:val="22"/>
        </w:rPr>
        <w:t>zdaňovacím obdobím je kalendářní rok</w:t>
      </w:r>
      <w:r w:rsidRPr="00FE1F79">
        <w:rPr>
          <w:szCs w:val="22"/>
        </w:rPr>
        <w:t xml:space="preserve"> </w:t>
      </w:r>
    </w:p>
    <w:p w:rsidR="00332775" w:rsidRPr="00830E94" w:rsidRDefault="00FE1F79" w:rsidP="00385734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Cs w:val="22"/>
        </w:rPr>
      </w:pPr>
      <w:r w:rsidRPr="00830E94">
        <w:rPr>
          <w:szCs w:val="22"/>
        </w:rPr>
        <w:t xml:space="preserve">Proto </w:t>
      </w:r>
      <w:r w:rsidR="00332775" w:rsidRPr="00830E94">
        <w:rPr>
          <w:szCs w:val="22"/>
        </w:rPr>
        <w:t xml:space="preserve">výpočet </w:t>
      </w:r>
      <w:r w:rsidR="00F75038" w:rsidRPr="00830E94">
        <w:rPr>
          <w:szCs w:val="22"/>
        </w:rPr>
        <w:t xml:space="preserve">zastoupení citlivých plodin a révy vinné </w:t>
      </w:r>
      <w:r w:rsidR="00332775" w:rsidRPr="00830E94">
        <w:rPr>
          <w:szCs w:val="22"/>
        </w:rPr>
        <w:t xml:space="preserve">bude umožněno provést za </w:t>
      </w:r>
      <w:r w:rsidRPr="00830E94">
        <w:rPr>
          <w:szCs w:val="22"/>
        </w:rPr>
        <w:t xml:space="preserve">vybrané </w:t>
      </w:r>
      <w:r w:rsidR="00332775" w:rsidRPr="00830E94">
        <w:rPr>
          <w:szCs w:val="22"/>
        </w:rPr>
        <w:t xml:space="preserve">kalendářní čtvrtletí </w:t>
      </w:r>
      <w:r w:rsidRPr="00830E94">
        <w:rPr>
          <w:szCs w:val="22"/>
        </w:rPr>
        <w:t>nebo za kalendářní rok.</w:t>
      </w:r>
    </w:p>
    <w:p w:rsidR="00332775" w:rsidRDefault="00830E94" w:rsidP="00A6396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420"/>
        <w:jc w:val="both"/>
        <w:rPr>
          <w:szCs w:val="22"/>
        </w:rPr>
      </w:pPr>
      <w:r>
        <w:rPr>
          <w:b/>
          <w:szCs w:val="22"/>
        </w:rPr>
        <w:t>LPIS</w:t>
      </w:r>
      <w:r w:rsidR="00FE1F79" w:rsidRPr="00FE1F79">
        <w:rPr>
          <w:b/>
          <w:szCs w:val="22"/>
        </w:rPr>
        <w:t xml:space="preserve"> zajistí výpočet </w:t>
      </w:r>
      <w:r w:rsidR="00332775" w:rsidRPr="00FE1F79">
        <w:rPr>
          <w:b/>
          <w:szCs w:val="22"/>
        </w:rPr>
        <w:t xml:space="preserve">spotřeby minerálních olejů při </w:t>
      </w:r>
      <w:r>
        <w:rPr>
          <w:b/>
          <w:szCs w:val="22"/>
        </w:rPr>
        <w:t>činnostech rostlinné výroby</w:t>
      </w:r>
      <w:r w:rsidR="00332775" w:rsidRPr="00FE1F79">
        <w:rPr>
          <w:b/>
          <w:szCs w:val="22"/>
        </w:rPr>
        <w:t xml:space="preserve"> dle </w:t>
      </w:r>
      <w:r w:rsidR="00FE1F79">
        <w:rPr>
          <w:b/>
          <w:szCs w:val="22"/>
        </w:rPr>
        <w:t>r</w:t>
      </w:r>
      <w:r w:rsidR="00332775" w:rsidRPr="00FE1F79">
        <w:rPr>
          <w:b/>
          <w:szCs w:val="22"/>
        </w:rPr>
        <w:t xml:space="preserve">očních normativů minimální spotřeby minerálních olejů </w:t>
      </w:r>
      <w:r w:rsidR="00332775" w:rsidRPr="00FE1F79">
        <w:rPr>
          <w:szCs w:val="22"/>
        </w:rPr>
        <w:t>(l / 1 </w:t>
      </w:r>
      <w:r>
        <w:rPr>
          <w:szCs w:val="22"/>
        </w:rPr>
        <w:t>ha</w:t>
      </w:r>
      <w:r w:rsidR="00332775" w:rsidRPr="00FE1F79">
        <w:rPr>
          <w:szCs w:val="22"/>
        </w:rPr>
        <w:t>) stanovených vyhláškou.</w:t>
      </w:r>
    </w:p>
    <w:p w:rsidR="004934CD" w:rsidRDefault="00FE1F79" w:rsidP="00385734">
      <w:pPr>
        <w:pStyle w:val="Odstavecseseznamem"/>
        <w:widowControl w:val="0"/>
        <w:autoSpaceDE w:val="0"/>
        <w:autoSpaceDN w:val="0"/>
        <w:adjustRightInd w:val="0"/>
        <w:ind w:left="420"/>
        <w:jc w:val="both"/>
        <w:rPr>
          <w:rFonts w:cs="Arial"/>
          <w:color w:val="000000"/>
          <w:szCs w:val="22"/>
          <w:lang w:eastAsia="cs-CZ"/>
        </w:rPr>
      </w:pPr>
      <w:r>
        <w:rPr>
          <w:szCs w:val="22"/>
        </w:rPr>
        <w:t xml:space="preserve">Tento výpočet – doklad vyplývá z výše uvedeného bodu b). </w:t>
      </w:r>
      <w:r w:rsidRPr="00855F52">
        <w:rPr>
          <w:szCs w:val="22"/>
        </w:rPr>
        <w:t xml:space="preserve">Pokud si subjekt </w:t>
      </w:r>
      <w:r w:rsidR="00855F52" w:rsidRPr="00855F52">
        <w:rPr>
          <w:szCs w:val="22"/>
        </w:rPr>
        <w:t xml:space="preserve">zvolí pro </w:t>
      </w:r>
      <w:r w:rsidRPr="00855F52">
        <w:rPr>
          <w:rFonts w:cs="Arial"/>
          <w:color w:val="000000"/>
          <w:szCs w:val="22"/>
          <w:lang w:eastAsia="cs-CZ"/>
        </w:rPr>
        <w:t>prokázání vzniku nároku na vrácení daně</w:t>
      </w:r>
      <w:r w:rsidR="00855F52" w:rsidRPr="00855F52">
        <w:rPr>
          <w:rFonts w:cs="Arial"/>
          <w:color w:val="000000"/>
          <w:szCs w:val="22"/>
          <w:lang w:eastAsia="cs-CZ"/>
        </w:rPr>
        <w:t xml:space="preserve"> tento způsob, prokazuje spotřebu minerálních olejů na základě dokladu z</w:t>
      </w:r>
      <w:r w:rsidR="009A4EC2">
        <w:rPr>
          <w:rFonts w:cs="Arial"/>
          <w:color w:val="000000"/>
          <w:szCs w:val="22"/>
          <w:lang w:eastAsia="cs-CZ"/>
        </w:rPr>
        <w:t> </w:t>
      </w:r>
      <w:r w:rsidR="00830E94">
        <w:rPr>
          <w:rFonts w:cs="Arial"/>
          <w:color w:val="000000"/>
          <w:szCs w:val="22"/>
          <w:lang w:eastAsia="cs-CZ"/>
        </w:rPr>
        <w:t>LPIS</w:t>
      </w:r>
      <w:r w:rsidR="009A4EC2">
        <w:rPr>
          <w:rFonts w:cs="Arial"/>
          <w:color w:val="000000"/>
          <w:szCs w:val="22"/>
          <w:lang w:eastAsia="cs-CZ"/>
        </w:rPr>
        <w:t xml:space="preserve">. Na </w:t>
      </w:r>
      <w:r w:rsidR="004934CD">
        <w:rPr>
          <w:rFonts w:cs="Arial"/>
          <w:color w:val="000000"/>
          <w:szCs w:val="22"/>
          <w:lang w:eastAsia="cs-CZ"/>
        </w:rPr>
        <w:t>tomto dokladu bude uvedena spotřeba v litrech, která byla vypočítána v </w:t>
      </w:r>
      <w:r w:rsidR="00830E94">
        <w:rPr>
          <w:rFonts w:cs="Arial"/>
          <w:color w:val="000000"/>
          <w:szCs w:val="22"/>
          <w:lang w:eastAsia="cs-CZ"/>
        </w:rPr>
        <w:t>LPIS</w:t>
      </w:r>
      <w:r w:rsidR="004934CD">
        <w:rPr>
          <w:rFonts w:cs="Arial"/>
          <w:color w:val="000000"/>
          <w:szCs w:val="22"/>
          <w:lang w:eastAsia="cs-CZ"/>
        </w:rPr>
        <w:t xml:space="preserve"> na základě </w:t>
      </w:r>
      <w:r w:rsidR="00830E94">
        <w:rPr>
          <w:rFonts w:cs="Arial"/>
          <w:color w:val="000000"/>
          <w:szCs w:val="22"/>
          <w:lang w:eastAsia="cs-CZ"/>
        </w:rPr>
        <w:t>výměry</w:t>
      </w:r>
      <w:r w:rsidR="004934CD">
        <w:rPr>
          <w:rFonts w:cs="Arial"/>
          <w:color w:val="000000"/>
          <w:szCs w:val="22"/>
          <w:lang w:eastAsia="cs-CZ"/>
        </w:rPr>
        <w:t xml:space="preserve"> a </w:t>
      </w:r>
      <w:r w:rsidR="00830E94">
        <w:rPr>
          <w:rFonts w:cs="Arial"/>
          <w:color w:val="000000"/>
          <w:szCs w:val="22"/>
          <w:lang w:eastAsia="cs-CZ"/>
        </w:rPr>
        <w:t>podílů</w:t>
      </w:r>
      <w:r w:rsidR="009A4EC2">
        <w:rPr>
          <w:rFonts w:cs="Arial"/>
          <w:color w:val="000000"/>
          <w:szCs w:val="22"/>
          <w:lang w:eastAsia="cs-CZ"/>
        </w:rPr>
        <w:t xml:space="preserve"> </w:t>
      </w:r>
      <w:r w:rsidR="00830E94">
        <w:rPr>
          <w:rFonts w:cs="Arial"/>
          <w:color w:val="000000"/>
          <w:szCs w:val="22"/>
          <w:lang w:eastAsia="cs-CZ"/>
        </w:rPr>
        <w:t xml:space="preserve">ročního normativu stanovených pro každý kalendářní měsíc a pro každou kategorii podle druhu zemědělské kultury. </w:t>
      </w:r>
      <w:r w:rsidR="00855F52" w:rsidRPr="00855F52">
        <w:rPr>
          <w:rFonts w:cs="Arial"/>
          <w:color w:val="000000"/>
          <w:szCs w:val="22"/>
          <w:lang w:eastAsia="cs-CZ"/>
        </w:rPr>
        <w:t xml:space="preserve"> </w:t>
      </w:r>
    </w:p>
    <w:p w:rsidR="00FE1F79" w:rsidRPr="00FE1F79" w:rsidRDefault="00855F52" w:rsidP="00385734">
      <w:pPr>
        <w:pStyle w:val="Odstavecseseznamem"/>
        <w:widowControl w:val="0"/>
        <w:autoSpaceDE w:val="0"/>
        <w:autoSpaceDN w:val="0"/>
        <w:adjustRightInd w:val="0"/>
        <w:ind w:left="420"/>
        <w:jc w:val="both"/>
        <w:rPr>
          <w:szCs w:val="22"/>
        </w:rPr>
      </w:pPr>
      <w:r>
        <w:rPr>
          <w:rFonts w:cs="Arial"/>
          <w:color w:val="000000"/>
          <w:szCs w:val="22"/>
          <w:lang w:eastAsia="cs-CZ"/>
        </w:rPr>
        <w:t>P</w:t>
      </w:r>
      <w:r w:rsidRPr="00855F52">
        <w:rPr>
          <w:rFonts w:cs="Arial"/>
          <w:color w:val="000000"/>
          <w:szCs w:val="22"/>
          <w:lang w:eastAsia="cs-CZ"/>
        </w:rPr>
        <w:t xml:space="preserve">ro tento způsob je vždy </w:t>
      </w:r>
      <w:r w:rsidRPr="00855F52">
        <w:rPr>
          <w:rFonts w:cs="Arial"/>
          <w:b/>
          <w:color w:val="000000"/>
          <w:szCs w:val="22"/>
          <w:lang w:eastAsia="cs-CZ"/>
        </w:rPr>
        <w:t>zdaňovacím obdobím kalendářní rok</w:t>
      </w:r>
      <w:r w:rsidRPr="00855F52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 w:val="20"/>
          <w:szCs w:val="20"/>
          <w:lang w:eastAsia="cs-CZ"/>
        </w:rPr>
        <w:t xml:space="preserve"> </w:t>
      </w:r>
    </w:p>
    <w:p w:rsidR="00B03CD3" w:rsidRDefault="00855F52" w:rsidP="005E537C">
      <w:pPr>
        <w:widowControl w:val="0"/>
        <w:autoSpaceDE w:val="0"/>
        <w:autoSpaceDN w:val="0"/>
        <w:adjustRightInd w:val="0"/>
        <w:ind w:left="4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 zajištění výpočtu v </w:t>
      </w:r>
      <w:r w:rsidR="00385734">
        <w:rPr>
          <w:rFonts w:cs="Arial"/>
          <w:color w:val="000000"/>
          <w:szCs w:val="22"/>
        </w:rPr>
        <w:t>bodech</w:t>
      </w:r>
      <w:r>
        <w:rPr>
          <w:rFonts w:cs="Arial"/>
          <w:color w:val="000000"/>
          <w:szCs w:val="22"/>
        </w:rPr>
        <w:t xml:space="preserve"> 1 a 2 bude v</w:t>
      </w:r>
      <w:r w:rsidR="00830E94">
        <w:rPr>
          <w:rFonts w:cs="Arial"/>
          <w:color w:val="000000"/>
          <w:szCs w:val="22"/>
        </w:rPr>
        <w:t> LPIS implementována nová</w:t>
      </w:r>
      <w:r>
        <w:rPr>
          <w:rFonts w:cs="Arial"/>
          <w:color w:val="000000"/>
          <w:szCs w:val="22"/>
        </w:rPr>
        <w:t xml:space="preserve"> f</w:t>
      </w:r>
      <w:r w:rsidR="00B03CD3">
        <w:rPr>
          <w:rFonts w:cs="Arial"/>
          <w:color w:val="000000"/>
          <w:szCs w:val="22"/>
        </w:rPr>
        <w:t xml:space="preserve">unkcionalita </w:t>
      </w:r>
      <w:r w:rsidR="00830E94">
        <w:rPr>
          <w:rFonts w:cs="Arial"/>
          <w:b/>
          <w:color w:val="000000"/>
          <w:szCs w:val="22"/>
        </w:rPr>
        <w:t>Zelená nafta</w:t>
      </w:r>
      <w:r w:rsidR="00001BFA">
        <w:rPr>
          <w:rFonts w:cs="Arial"/>
          <w:b/>
          <w:color w:val="000000"/>
          <w:szCs w:val="22"/>
        </w:rPr>
        <w:t xml:space="preserve"> v sekci Tisky.</w:t>
      </w:r>
      <w:r w:rsidR="00830E94">
        <w:rPr>
          <w:rFonts w:cs="Arial"/>
          <w:b/>
          <w:color w:val="000000"/>
          <w:szCs w:val="22"/>
        </w:rPr>
        <w:t xml:space="preserve"> </w:t>
      </w:r>
      <w:r w:rsidR="00830E94" w:rsidRPr="008437C0">
        <w:rPr>
          <w:rFonts w:cs="Arial"/>
          <w:color w:val="000000"/>
          <w:szCs w:val="22"/>
        </w:rPr>
        <w:t>V rámci této funkcionality b</w:t>
      </w:r>
      <w:r w:rsidR="004329C9">
        <w:rPr>
          <w:rFonts w:cs="Arial"/>
          <w:color w:val="000000"/>
          <w:szCs w:val="22"/>
        </w:rPr>
        <w:t xml:space="preserve">ude umožněno spustit tři typy výpočtů za účelem vygenerování </w:t>
      </w:r>
      <w:r w:rsidR="004329C9" w:rsidRPr="000E0BA7">
        <w:rPr>
          <w:rFonts w:cs="Arial"/>
          <w:color w:val="000000"/>
          <w:szCs w:val="22"/>
        </w:rPr>
        <w:t>dokladu</w:t>
      </w:r>
      <w:r w:rsidR="00B03CD3" w:rsidRPr="000E0BA7">
        <w:rPr>
          <w:rFonts w:cs="Arial"/>
          <w:color w:val="000000"/>
          <w:szCs w:val="22"/>
        </w:rPr>
        <w:t>:</w:t>
      </w:r>
    </w:p>
    <w:p w:rsidR="000E0BA7" w:rsidRDefault="000E0BA7" w:rsidP="00A63961">
      <w:pPr>
        <w:pStyle w:val="l4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Zastoupení citlivých plodin a révy vinné čtvrtletí </w:t>
      </w:r>
    </w:p>
    <w:p w:rsidR="000E0BA7" w:rsidRDefault="000E0BA7" w:rsidP="00A63961">
      <w:pPr>
        <w:pStyle w:val="l4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Zastoupení citlivých plodin a révy vinné roční </w:t>
      </w:r>
    </w:p>
    <w:p w:rsidR="00EC59AB" w:rsidRDefault="000E0BA7" w:rsidP="00A63961">
      <w:pPr>
        <w:pStyle w:val="l4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55F52">
        <w:rPr>
          <w:rFonts w:ascii="Arial" w:hAnsi="Arial" w:cs="Arial"/>
          <w:color w:val="000000"/>
          <w:sz w:val="22"/>
          <w:szCs w:val="22"/>
        </w:rPr>
        <w:t>Spotřeba dle normativů</w:t>
      </w:r>
      <w:r w:rsidR="00001BFA">
        <w:rPr>
          <w:rFonts w:ascii="Arial" w:hAnsi="Arial" w:cs="Arial"/>
          <w:color w:val="000000"/>
          <w:sz w:val="22"/>
          <w:szCs w:val="22"/>
        </w:rPr>
        <w:t xml:space="preserve"> za kalendářní rok</w:t>
      </w:r>
    </w:p>
    <w:p w:rsidR="000E0BA7" w:rsidRPr="00855F52" w:rsidRDefault="000E0BA7" w:rsidP="000E0BA7">
      <w:pPr>
        <w:pStyle w:val="l4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:rsidR="008437C0" w:rsidRPr="000E0BA7" w:rsidRDefault="00830E94" w:rsidP="00A6396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420"/>
        <w:jc w:val="both"/>
        <w:rPr>
          <w:szCs w:val="22"/>
        </w:rPr>
      </w:pPr>
      <w:r w:rsidRPr="000E0BA7">
        <w:rPr>
          <w:szCs w:val="22"/>
        </w:rPr>
        <w:t>P</w:t>
      </w:r>
      <w:r w:rsidR="003A3C1D" w:rsidRPr="000E0BA7">
        <w:rPr>
          <w:szCs w:val="22"/>
        </w:rPr>
        <w:t>odkladová data, na základě kterých byl příslušný výpočet proveden</w:t>
      </w:r>
      <w:r w:rsidRPr="000E0BA7">
        <w:rPr>
          <w:szCs w:val="22"/>
        </w:rPr>
        <w:t>, b</w:t>
      </w:r>
      <w:r w:rsidR="004329C9" w:rsidRPr="000E0BA7">
        <w:rPr>
          <w:szCs w:val="22"/>
        </w:rPr>
        <w:t xml:space="preserve">udou </w:t>
      </w:r>
      <w:r w:rsidR="000E0BA7" w:rsidRPr="000E0BA7">
        <w:rPr>
          <w:szCs w:val="22"/>
        </w:rPr>
        <w:t xml:space="preserve">v LPIS </w:t>
      </w:r>
      <w:r w:rsidR="005E537C">
        <w:rPr>
          <w:szCs w:val="22"/>
        </w:rPr>
        <w:t xml:space="preserve">prezentována a budou </w:t>
      </w:r>
      <w:r w:rsidR="008437C0" w:rsidRPr="000E0BA7">
        <w:rPr>
          <w:szCs w:val="22"/>
        </w:rPr>
        <w:t>archivována</w:t>
      </w:r>
      <w:r w:rsidR="003A3C1D" w:rsidRPr="000E0BA7">
        <w:rPr>
          <w:szCs w:val="22"/>
        </w:rPr>
        <w:t xml:space="preserve">. </w:t>
      </w:r>
      <w:r w:rsidR="00001BFA" w:rsidRPr="00991FA3">
        <w:rPr>
          <w:b/>
          <w:i/>
          <w:szCs w:val="22"/>
        </w:rPr>
        <w:t>Pozn: - v tomto ohledu je to změna proti dosavadním přístupům k tiskům – stávající tisky se nearchivují. Je žádoucí zavést obecnou archivaci každého vygenerovaného tisku z LPIS v podobě PDF</w:t>
      </w:r>
      <w:r w:rsidR="001B2DE7">
        <w:rPr>
          <w:b/>
          <w:i/>
          <w:szCs w:val="22"/>
        </w:rPr>
        <w:t xml:space="preserve"> (po dobu 24 měsíců nebude-li ve specifických případech stanoveno jinak)</w:t>
      </w:r>
      <w:r w:rsidR="00001BFA" w:rsidRPr="00991FA3">
        <w:rPr>
          <w:b/>
          <w:i/>
          <w:szCs w:val="22"/>
        </w:rPr>
        <w:t xml:space="preserve"> a současně pro jednotlivé typy tisků nastavit mechanismus jejich „mazání“ s tím, že u tisků pro Zelenou naftu archivace bude </w:t>
      </w:r>
      <w:r w:rsidR="001B2DE7">
        <w:rPr>
          <w:b/>
          <w:i/>
          <w:szCs w:val="22"/>
        </w:rPr>
        <w:t>120 měsíců.</w:t>
      </w:r>
    </w:p>
    <w:p w:rsidR="008437C0" w:rsidRPr="000E0BA7" w:rsidRDefault="008437C0" w:rsidP="00A6396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420"/>
        <w:jc w:val="both"/>
        <w:rPr>
          <w:b/>
          <w:szCs w:val="22"/>
        </w:rPr>
      </w:pPr>
      <w:r w:rsidRPr="000E0BA7">
        <w:rPr>
          <w:szCs w:val="22"/>
        </w:rPr>
        <w:t xml:space="preserve">Jako doklad o výpočtu pro uplatnění nároku na vrácení spotřební daně bude </w:t>
      </w:r>
      <w:r w:rsidRPr="000E0BA7">
        <w:rPr>
          <w:b/>
          <w:szCs w:val="22"/>
        </w:rPr>
        <w:t xml:space="preserve">vytvořen formulář v PDF formátu. </w:t>
      </w:r>
    </w:p>
    <w:p w:rsidR="000E0BA7" w:rsidRDefault="000E0BA7" w:rsidP="008437C0">
      <w:pPr>
        <w:jc w:val="both"/>
        <w:rPr>
          <w:szCs w:val="22"/>
        </w:rPr>
      </w:pPr>
    </w:p>
    <w:p w:rsidR="008437C0" w:rsidRDefault="008437C0" w:rsidP="008437C0">
      <w:pPr>
        <w:jc w:val="both"/>
        <w:rPr>
          <w:szCs w:val="22"/>
        </w:rPr>
      </w:pPr>
      <w:r w:rsidRPr="00B6199B">
        <w:rPr>
          <w:szCs w:val="22"/>
        </w:rPr>
        <w:t xml:space="preserve">Funckionalita bude přístupná pro </w:t>
      </w:r>
      <w:r>
        <w:rPr>
          <w:szCs w:val="22"/>
        </w:rPr>
        <w:t xml:space="preserve">následující </w:t>
      </w:r>
      <w:r w:rsidRPr="00B6199B">
        <w:rPr>
          <w:szCs w:val="22"/>
        </w:rPr>
        <w:t>uživatele</w:t>
      </w:r>
      <w:r>
        <w:rPr>
          <w:szCs w:val="22"/>
        </w:rPr>
        <w:t>:</w:t>
      </w:r>
    </w:p>
    <w:p w:rsidR="008437C0" w:rsidRPr="00991FA3" w:rsidRDefault="008437C0" w:rsidP="00A63961">
      <w:pPr>
        <w:pStyle w:val="Odstavecseseznamem"/>
        <w:numPr>
          <w:ilvl w:val="0"/>
          <w:numId w:val="9"/>
        </w:numPr>
        <w:jc w:val="both"/>
        <w:rPr>
          <w:b/>
          <w:szCs w:val="22"/>
        </w:rPr>
      </w:pPr>
      <w:r w:rsidRPr="00991FA3">
        <w:rPr>
          <w:b/>
          <w:szCs w:val="22"/>
        </w:rPr>
        <w:t xml:space="preserve">Registrovaní </w:t>
      </w:r>
      <w:r w:rsidR="000E0BA7" w:rsidRPr="00991FA3">
        <w:rPr>
          <w:b/>
          <w:szCs w:val="22"/>
        </w:rPr>
        <w:t>uživatelé</w:t>
      </w:r>
      <w:r w:rsidRPr="00991FA3">
        <w:rPr>
          <w:b/>
          <w:szCs w:val="22"/>
        </w:rPr>
        <w:t xml:space="preserve"> v rámci </w:t>
      </w:r>
      <w:r w:rsidR="000E0BA7" w:rsidRPr="00991FA3">
        <w:rPr>
          <w:b/>
          <w:szCs w:val="22"/>
        </w:rPr>
        <w:t>LPIS</w:t>
      </w:r>
      <w:r w:rsidRPr="00991FA3">
        <w:rPr>
          <w:b/>
          <w:szCs w:val="22"/>
        </w:rPr>
        <w:t xml:space="preserve"> na Portálu farmáře</w:t>
      </w:r>
    </w:p>
    <w:p w:rsidR="008437C0" w:rsidRDefault="008437C0" w:rsidP="00A63961">
      <w:pPr>
        <w:pStyle w:val="Odstavecseseznamem"/>
        <w:numPr>
          <w:ilvl w:val="0"/>
          <w:numId w:val="9"/>
        </w:numPr>
        <w:jc w:val="both"/>
        <w:rPr>
          <w:b/>
          <w:szCs w:val="22"/>
        </w:rPr>
      </w:pPr>
      <w:r w:rsidRPr="00991FA3">
        <w:rPr>
          <w:b/>
          <w:szCs w:val="22"/>
        </w:rPr>
        <w:t>Pracovníci MZe</w:t>
      </w:r>
      <w:r w:rsidR="00063C54">
        <w:rPr>
          <w:b/>
          <w:szCs w:val="22"/>
        </w:rPr>
        <w:t>, Celní správy</w:t>
      </w:r>
      <w:r w:rsidRPr="00991FA3">
        <w:rPr>
          <w:b/>
          <w:szCs w:val="22"/>
        </w:rPr>
        <w:t xml:space="preserve"> a SZIF s</w:t>
      </w:r>
      <w:r w:rsidR="00991FA3" w:rsidRPr="00991FA3">
        <w:rPr>
          <w:b/>
          <w:szCs w:val="22"/>
        </w:rPr>
        <w:t> </w:t>
      </w:r>
      <w:r w:rsidRPr="00991FA3">
        <w:rPr>
          <w:b/>
          <w:szCs w:val="22"/>
        </w:rPr>
        <w:t>právy</w:t>
      </w:r>
      <w:r w:rsidR="00991FA3" w:rsidRPr="00991FA3">
        <w:rPr>
          <w:b/>
          <w:szCs w:val="22"/>
        </w:rPr>
        <w:t xml:space="preserve"> EP_USER</w:t>
      </w:r>
    </w:p>
    <w:p w:rsidR="00063C54" w:rsidRDefault="00063C54" w:rsidP="00063C54">
      <w:pPr>
        <w:jc w:val="both"/>
        <w:rPr>
          <w:b/>
          <w:szCs w:val="22"/>
        </w:rPr>
      </w:pPr>
    </w:p>
    <w:p w:rsidR="00063C54" w:rsidRPr="00063C54" w:rsidRDefault="00063C54" w:rsidP="00063C54">
      <w:pPr>
        <w:jc w:val="both"/>
        <w:rPr>
          <w:szCs w:val="22"/>
        </w:rPr>
      </w:pPr>
      <w:r w:rsidRPr="00063C54">
        <w:rPr>
          <w:szCs w:val="22"/>
        </w:rPr>
        <w:t>Současně do PZ byl doplněn</w:t>
      </w:r>
      <w:r>
        <w:rPr>
          <w:szCs w:val="22"/>
        </w:rPr>
        <w:t xml:space="preserve"> požadavek na zjednodušení generování tisků týkajících se ECP, které  brzdí schvalovací proces v evidenci půdy</w:t>
      </w:r>
    </w:p>
    <w:p w:rsidR="00BD4F67" w:rsidRDefault="00BD4F67" w:rsidP="00BA10CD">
      <w:pPr>
        <w:shd w:val="clear" w:color="auto" w:fill="FFFFFF"/>
        <w:spacing w:after="0"/>
        <w:jc w:val="both"/>
        <w:rPr>
          <w:rFonts w:cs="Arial"/>
          <w:szCs w:val="22"/>
        </w:rPr>
      </w:pPr>
    </w:p>
    <w:p w:rsidR="000B2007" w:rsidRPr="000B2007" w:rsidRDefault="006F6F21" w:rsidP="006F6F21">
      <w:pPr>
        <w:pStyle w:val="Nadpis2"/>
      </w:pPr>
      <w:r>
        <w:t>Odůvodnění změny</w:t>
      </w:r>
    </w:p>
    <w:p w:rsidR="00210222" w:rsidRDefault="00210222" w:rsidP="00210222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Požadavek vyplývá z novely zákona č. 353/2003 Sb., o spotřebních daních, který zavádí možnost </w:t>
      </w:r>
      <w:r w:rsidRPr="00782A84">
        <w:rPr>
          <w:szCs w:val="22"/>
        </w:rPr>
        <w:lastRenderedPageBreak/>
        <w:t>prokázat spotřebu minerálních olejů dvěma způsoby:</w:t>
      </w:r>
    </w:p>
    <w:p w:rsidR="00210222" w:rsidRPr="00397A6B" w:rsidRDefault="00210222" w:rsidP="00A6396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397A6B">
        <w:rPr>
          <w:szCs w:val="22"/>
        </w:rPr>
        <w:t xml:space="preserve">evidencí o skutečné spotřebě, zdaňovacím obdobím je kalendářní čtvrtletí </w:t>
      </w:r>
    </w:p>
    <w:p w:rsidR="00210222" w:rsidRPr="00397A6B" w:rsidRDefault="00210222" w:rsidP="00A6396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397A6B">
        <w:rPr>
          <w:szCs w:val="22"/>
        </w:rPr>
        <w:t>evidencí využití půdy podle uživatelských vztahů vedenou podle zákona upravujícího zemědělství nebo ústřední evidencí hospodářských zvířat vedenou podle plemenářského zákona, zdaňovacím obdobím je kalendářní rok. Výše spotřeby minerálních olejů se v tomto případě prokazuje pomocí ročních normativů minimální spotřeby.</w:t>
      </w:r>
    </w:p>
    <w:p w:rsidR="00574FE9" w:rsidRPr="00D36F5D" w:rsidRDefault="00574FE9" w:rsidP="00574FE9">
      <w:pPr>
        <w:widowControl w:val="0"/>
        <w:autoSpaceDE w:val="0"/>
        <w:autoSpaceDN w:val="0"/>
        <w:adjustRightInd w:val="0"/>
        <w:ind w:left="60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210222" w:rsidRPr="00210222">
        <w:rPr>
          <w:rFonts w:cs="Arial"/>
          <w:szCs w:val="22"/>
        </w:rPr>
        <w:t>působ výpočtu nároku na vrácení spotřební daně z minerálních olejů</w:t>
      </w:r>
      <w:r>
        <w:rPr>
          <w:rFonts w:cs="Arial"/>
          <w:szCs w:val="22"/>
        </w:rPr>
        <w:t xml:space="preserve"> je stanoven v </w:t>
      </w:r>
      <w:r w:rsidR="00397A6B">
        <w:rPr>
          <w:rFonts w:cs="Arial"/>
          <w:szCs w:val="22"/>
        </w:rPr>
        <w:t>návrhu</w:t>
      </w:r>
      <w:r>
        <w:rPr>
          <w:rFonts w:cs="Arial"/>
          <w:szCs w:val="22"/>
        </w:rPr>
        <w:t xml:space="preserve"> nové vyhlášky, </w:t>
      </w:r>
      <w:r w:rsidRPr="00D36F5D">
        <w:rPr>
          <w:rFonts w:cs="Arial"/>
          <w:szCs w:val="22"/>
        </w:rPr>
        <w:t>o způsobu výpočtu výše nároku na vrácení spotřební daně z minerálních olejů spotřebovaných v zemědělské prvovýrobě nebo při provádění hospodaření v</w:t>
      </w:r>
      <w:r>
        <w:rPr>
          <w:rFonts w:cs="Arial"/>
          <w:szCs w:val="22"/>
        </w:rPr>
        <w:t> </w:t>
      </w:r>
      <w:r w:rsidRPr="00D36F5D">
        <w:rPr>
          <w:rFonts w:cs="Arial"/>
          <w:szCs w:val="22"/>
        </w:rPr>
        <w:t>lese</w:t>
      </w:r>
      <w:r>
        <w:rPr>
          <w:rFonts w:cs="Arial"/>
          <w:szCs w:val="22"/>
        </w:rPr>
        <w:t>. Vyhláška stanovuje:</w:t>
      </w:r>
    </w:p>
    <w:p w:rsidR="00B03CD3" w:rsidRPr="00B03CD3" w:rsidRDefault="00B03CD3" w:rsidP="00574FE9">
      <w:pPr>
        <w:spacing w:after="0"/>
        <w:ind w:left="708"/>
        <w:jc w:val="both"/>
        <w:rPr>
          <w:rFonts w:cs="Arial"/>
          <w:color w:val="000000"/>
          <w:szCs w:val="22"/>
          <w:lang w:eastAsia="cs-CZ"/>
        </w:rPr>
      </w:pPr>
      <w:r w:rsidRPr="00574FE9">
        <w:rPr>
          <w:rFonts w:cs="Arial"/>
          <w:bCs/>
          <w:color w:val="000000"/>
          <w:szCs w:val="22"/>
          <w:lang w:eastAsia="cs-CZ"/>
        </w:rPr>
        <w:t>a)</w:t>
      </w:r>
      <w:r w:rsidRPr="00B03CD3">
        <w:rPr>
          <w:rFonts w:cs="Arial"/>
          <w:color w:val="000000"/>
          <w:szCs w:val="22"/>
          <w:lang w:eastAsia="cs-CZ"/>
        </w:rPr>
        <w:t> způsob výpočtu výše nároku na vrácení daně z minerálních olejů spotřebovaných v zemědělské prvovýrobě a při provádění hospodaření v lese,</w:t>
      </w:r>
    </w:p>
    <w:p w:rsidR="00B03CD3" w:rsidRPr="00B03CD3" w:rsidRDefault="00B03CD3" w:rsidP="00574FE9">
      <w:pPr>
        <w:spacing w:after="0"/>
        <w:ind w:left="708"/>
        <w:jc w:val="both"/>
        <w:rPr>
          <w:rFonts w:cs="Arial"/>
          <w:color w:val="000000"/>
          <w:szCs w:val="22"/>
          <w:lang w:eastAsia="cs-CZ"/>
        </w:rPr>
      </w:pPr>
      <w:r w:rsidRPr="00574FE9">
        <w:rPr>
          <w:rFonts w:cs="Arial"/>
          <w:bCs/>
          <w:color w:val="000000"/>
          <w:szCs w:val="22"/>
          <w:lang w:eastAsia="cs-CZ"/>
        </w:rPr>
        <w:t>b)</w:t>
      </w:r>
      <w:r w:rsidRPr="00B03CD3">
        <w:rPr>
          <w:rFonts w:cs="Arial"/>
          <w:color w:val="000000"/>
          <w:szCs w:val="22"/>
          <w:lang w:eastAsia="cs-CZ"/>
        </w:rPr>
        <w:t> výše ročních normativů minimální spotřeby a jejich kategorie a podílové rozdělení ročních normativů minimální spotřeby na jednotlivé kalendářní měsíce,</w:t>
      </w:r>
    </w:p>
    <w:p w:rsidR="00B03CD3" w:rsidRPr="00B03CD3" w:rsidRDefault="00B03CD3" w:rsidP="00574FE9">
      <w:pPr>
        <w:spacing w:after="0"/>
        <w:ind w:left="708"/>
        <w:jc w:val="both"/>
        <w:rPr>
          <w:rFonts w:cs="Arial"/>
          <w:color w:val="000000"/>
          <w:szCs w:val="22"/>
          <w:lang w:eastAsia="cs-CZ"/>
        </w:rPr>
      </w:pPr>
      <w:r w:rsidRPr="00574FE9">
        <w:rPr>
          <w:rFonts w:cs="Arial"/>
          <w:bCs/>
          <w:color w:val="000000"/>
          <w:szCs w:val="22"/>
          <w:lang w:eastAsia="cs-CZ"/>
        </w:rPr>
        <w:t>c)</w:t>
      </w:r>
      <w:r w:rsidRPr="00B03CD3">
        <w:rPr>
          <w:rFonts w:cs="Arial"/>
          <w:color w:val="000000"/>
          <w:szCs w:val="22"/>
          <w:lang w:eastAsia="cs-CZ"/>
        </w:rPr>
        <w:t> způsob výpočtu intenzity chovu hospodářských zvířat včetně přepočtu hospodářských zvířat na velké dobytčí jednotky a</w:t>
      </w:r>
    </w:p>
    <w:p w:rsidR="00B03CD3" w:rsidRPr="00B03CD3" w:rsidRDefault="00B03CD3" w:rsidP="00574FE9">
      <w:pPr>
        <w:spacing w:after="0"/>
        <w:ind w:left="708"/>
        <w:jc w:val="both"/>
        <w:rPr>
          <w:rFonts w:cs="Arial"/>
          <w:color w:val="000000"/>
          <w:szCs w:val="22"/>
          <w:lang w:eastAsia="cs-CZ"/>
        </w:rPr>
      </w:pPr>
      <w:r w:rsidRPr="00574FE9">
        <w:rPr>
          <w:rFonts w:cs="Arial"/>
          <w:bCs/>
          <w:color w:val="000000"/>
          <w:szCs w:val="22"/>
          <w:lang w:eastAsia="cs-CZ"/>
        </w:rPr>
        <w:t>d)</w:t>
      </w:r>
      <w:r w:rsidRPr="00B03CD3">
        <w:rPr>
          <w:rFonts w:cs="Arial"/>
          <w:color w:val="000000"/>
          <w:szCs w:val="22"/>
          <w:lang w:eastAsia="cs-CZ"/>
        </w:rPr>
        <w:t> způsob výpočtu zastoupení citlivých plodin a révy vinné.</w:t>
      </w:r>
    </w:p>
    <w:p w:rsidR="00397A6B" w:rsidRDefault="00397A6B" w:rsidP="00CC067A">
      <w:pPr>
        <w:spacing w:after="0"/>
        <w:jc w:val="both"/>
        <w:rPr>
          <w:rFonts w:cs="Arial"/>
          <w:szCs w:val="22"/>
        </w:rPr>
      </w:pPr>
    </w:p>
    <w:p w:rsidR="00B73A7D" w:rsidRDefault="00397A6B" w:rsidP="00CC067A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Úpravy mají rovněž za cíl snížit administrativní zátěž správce daně a zemědělských podnikatelů v živočišné a rostlinné výrobě.</w:t>
      </w:r>
    </w:p>
    <w:p w:rsidR="004934CD" w:rsidRPr="00574FE9" w:rsidRDefault="004934CD" w:rsidP="00CC067A">
      <w:pPr>
        <w:spacing w:after="0"/>
        <w:jc w:val="both"/>
        <w:rPr>
          <w:rFonts w:cs="Arial"/>
          <w:szCs w:val="22"/>
        </w:rPr>
      </w:pP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0B2007" w:rsidRPr="00C70F76" w:rsidRDefault="00B73A7D" w:rsidP="00C70F76">
      <w:pPr>
        <w:jc w:val="both"/>
        <w:rPr>
          <w:szCs w:val="22"/>
        </w:rPr>
      </w:pPr>
      <w:r w:rsidRPr="00C70F76">
        <w:rPr>
          <w:szCs w:val="22"/>
        </w:rPr>
        <w:t>V případě, že nebudou úpra</w:t>
      </w:r>
      <w:r w:rsidR="001E744A" w:rsidRPr="00C70F76">
        <w:rPr>
          <w:szCs w:val="22"/>
        </w:rPr>
        <w:t xml:space="preserve">vy </w:t>
      </w:r>
      <w:r w:rsidR="00B22EA6" w:rsidRPr="00C70F76">
        <w:rPr>
          <w:szCs w:val="22"/>
        </w:rPr>
        <w:t>realizovány</w:t>
      </w:r>
      <w:r w:rsidR="002C7709" w:rsidRPr="00C70F76">
        <w:rPr>
          <w:szCs w:val="22"/>
        </w:rPr>
        <w:t>,</w:t>
      </w:r>
      <w:r w:rsidR="00B22EA6" w:rsidRPr="00C70F76">
        <w:rPr>
          <w:szCs w:val="22"/>
        </w:rPr>
        <w:t xml:space="preserve"> nebude možné </w:t>
      </w:r>
      <w:r w:rsidR="00495A84" w:rsidRPr="00C70F76">
        <w:rPr>
          <w:szCs w:val="22"/>
        </w:rPr>
        <w:t>připravit v </w:t>
      </w:r>
      <w:r w:rsidR="0047786D">
        <w:rPr>
          <w:szCs w:val="22"/>
        </w:rPr>
        <w:t>LPIS</w:t>
      </w:r>
      <w:r w:rsidR="00495A84" w:rsidRPr="00C70F76">
        <w:rPr>
          <w:szCs w:val="22"/>
        </w:rPr>
        <w:t xml:space="preserve"> podklady pro </w:t>
      </w:r>
      <w:r w:rsidR="00C70F76" w:rsidRPr="00B03CD3">
        <w:rPr>
          <w:rFonts w:cs="Arial"/>
          <w:color w:val="000000"/>
          <w:szCs w:val="22"/>
          <w:lang w:eastAsia="cs-CZ"/>
        </w:rPr>
        <w:t>vrácení daně z minerálních olejů spotřebovaných v zemědělské prvovýrobě</w:t>
      </w:r>
      <w:r w:rsidR="00C70F76" w:rsidRPr="00C70F76">
        <w:rPr>
          <w:szCs w:val="22"/>
        </w:rPr>
        <w:t xml:space="preserve"> dle platné legislativy od roku 2019. </w:t>
      </w:r>
    </w:p>
    <w:p w:rsidR="0000551E" w:rsidRPr="00147567" w:rsidRDefault="0000551E" w:rsidP="00147567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B73A7D" w:rsidRDefault="00B73A7D" w:rsidP="00B73A7D">
      <w:pPr>
        <w:pStyle w:val="Nadpis2"/>
      </w:pPr>
      <w:r w:rsidRPr="006C3557">
        <w:t>Popis současného stavu</w:t>
      </w:r>
    </w:p>
    <w:p w:rsidR="00B22EA6" w:rsidRDefault="00B73A7D" w:rsidP="00083AE5">
      <w:pPr>
        <w:shd w:val="clear" w:color="auto" w:fill="FFFFFF"/>
        <w:spacing w:after="0"/>
        <w:jc w:val="both"/>
      </w:pPr>
      <w:r>
        <w:t xml:space="preserve">V současnosti </w:t>
      </w:r>
      <w:r w:rsidR="0047786D">
        <w:t>LPIS ne</w:t>
      </w:r>
      <w:r w:rsidR="00397A6B">
        <w:t xml:space="preserve">umožňuje </w:t>
      </w:r>
      <w:r w:rsidR="0047786D">
        <w:t xml:space="preserve">tisk dokladů pro uplatnění </w:t>
      </w:r>
      <w:r w:rsidR="0047786D" w:rsidRPr="00B03CD3">
        <w:rPr>
          <w:rFonts w:cs="Arial"/>
          <w:szCs w:val="22"/>
        </w:rPr>
        <w:t>nároku na vrácení spotřební daně z minerálních olejů</w:t>
      </w:r>
      <w:r w:rsidR="0047786D">
        <w:rPr>
          <w:rFonts w:cs="Arial"/>
          <w:szCs w:val="22"/>
        </w:rPr>
        <w:t>. Do roku 2018 se prováděl pouze výpočet intenzity chovu zvířat, podkladová data poskytoval LPIS prostřednictvím webové služby do IZR, kde dochází k tisku dokladů pro intenzitu.</w:t>
      </w:r>
    </w:p>
    <w:p w:rsidR="00B73A7D" w:rsidRPr="00DE77EE" w:rsidRDefault="00B73A7D" w:rsidP="00B73A7D">
      <w:pPr>
        <w:jc w:val="both"/>
      </w:pPr>
    </w:p>
    <w:p w:rsidR="00B73A7D" w:rsidRDefault="00B73A7D" w:rsidP="00B73A7D">
      <w:pPr>
        <w:pStyle w:val="Nadpis2"/>
      </w:pPr>
      <w:r w:rsidRPr="006C3557">
        <w:t>Popis cílového stavu</w:t>
      </w:r>
    </w:p>
    <w:p w:rsidR="0050146D" w:rsidRDefault="00AF2BF3" w:rsidP="0050146D">
      <w:pPr>
        <w:widowControl w:val="0"/>
        <w:autoSpaceDE w:val="0"/>
        <w:autoSpaceDN w:val="0"/>
        <w:adjustRightInd w:val="0"/>
        <w:jc w:val="both"/>
      </w:pPr>
      <w:r>
        <w:t xml:space="preserve">Do </w:t>
      </w:r>
      <w:r w:rsidR="0050146D">
        <w:t>LPIS bude implementována nová funkcionalita Zelená nafta, která umožní:</w:t>
      </w:r>
    </w:p>
    <w:p w:rsidR="0050146D" w:rsidRPr="005E537C" w:rsidRDefault="0050146D" w:rsidP="00A6396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5E537C">
        <w:t xml:space="preserve">vygenerovat </w:t>
      </w:r>
      <w:r w:rsidRPr="005E537C">
        <w:rPr>
          <w:rFonts w:cs="Arial"/>
          <w:color w:val="000000"/>
          <w:szCs w:val="22"/>
        </w:rPr>
        <w:t>tř</w:t>
      </w:r>
      <w:r w:rsidR="005E537C" w:rsidRPr="005E537C">
        <w:rPr>
          <w:rFonts w:cs="Arial"/>
          <w:color w:val="000000"/>
          <w:szCs w:val="22"/>
        </w:rPr>
        <w:t>i</w:t>
      </w:r>
      <w:r w:rsidRPr="005E537C">
        <w:rPr>
          <w:rFonts w:cs="Arial"/>
          <w:color w:val="000000"/>
          <w:szCs w:val="22"/>
        </w:rPr>
        <w:t xml:space="preserve"> typy výpočtů</w:t>
      </w:r>
    </w:p>
    <w:p w:rsidR="0050146D" w:rsidRPr="005E537C" w:rsidRDefault="0050146D" w:rsidP="00A63961">
      <w:pPr>
        <w:pStyle w:val="l4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E537C">
        <w:rPr>
          <w:rFonts w:ascii="Arial" w:hAnsi="Arial" w:cs="Arial"/>
          <w:color w:val="000000"/>
          <w:sz w:val="22"/>
          <w:szCs w:val="22"/>
        </w:rPr>
        <w:t xml:space="preserve">Zastoupení citlivých plodin a révy vinné čtvrtletí </w:t>
      </w:r>
    </w:p>
    <w:p w:rsidR="0050146D" w:rsidRPr="005E537C" w:rsidRDefault="0050146D" w:rsidP="00A63961">
      <w:pPr>
        <w:pStyle w:val="l4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E537C">
        <w:rPr>
          <w:rFonts w:ascii="Arial" w:hAnsi="Arial" w:cs="Arial"/>
          <w:color w:val="000000"/>
          <w:sz w:val="22"/>
          <w:szCs w:val="22"/>
        </w:rPr>
        <w:t xml:space="preserve">Zastoupení citlivých plodin a révy vinné roční </w:t>
      </w:r>
    </w:p>
    <w:p w:rsidR="0050146D" w:rsidRPr="005E537C" w:rsidRDefault="0050146D" w:rsidP="00A63961">
      <w:pPr>
        <w:pStyle w:val="l4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E537C">
        <w:rPr>
          <w:rFonts w:ascii="Arial" w:hAnsi="Arial" w:cs="Arial"/>
          <w:color w:val="000000"/>
          <w:sz w:val="22"/>
          <w:szCs w:val="22"/>
        </w:rPr>
        <w:t>Spotřeba dle normativů</w:t>
      </w:r>
      <w:r w:rsidR="00991FA3">
        <w:rPr>
          <w:rFonts w:ascii="Arial" w:hAnsi="Arial" w:cs="Arial"/>
          <w:color w:val="000000"/>
          <w:sz w:val="22"/>
          <w:szCs w:val="22"/>
        </w:rPr>
        <w:t xml:space="preserve"> za kalendářní rok</w:t>
      </w:r>
    </w:p>
    <w:p w:rsidR="0050146D" w:rsidRPr="005E537C" w:rsidRDefault="005E537C" w:rsidP="00A6396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szCs w:val="22"/>
        </w:rPr>
        <w:t xml:space="preserve">prezentovat a </w:t>
      </w:r>
      <w:r w:rsidR="0050146D" w:rsidRPr="005E537C">
        <w:rPr>
          <w:szCs w:val="22"/>
        </w:rPr>
        <w:t xml:space="preserve">zarchivovat podkladová data, na základě kterých </w:t>
      </w:r>
      <w:r w:rsidR="00F21EC2">
        <w:rPr>
          <w:szCs w:val="22"/>
        </w:rPr>
        <w:t>byl příslušný výpočet proveden</w:t>
      </w:r>
    </w:p>
    <w:p w:rsidR="0050146D" w:rsidRPr="005E537C" w:rsidRDefault="0050146D" w:rsidP="00A6396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5E537C">
        <w:rPr>
          <w:szCs w:val="22"/>
        </w:rPr>
        <w:t>vytisknout doklad o výpočtu v PDF formátu</w:t>
      </w:r>
    </w:p>
    <w:p w:rsidR="0050146D" w:rsidRDefault="0050146D" w:rsidP="0050146D">
      <w:pPr>
        <w:widowControl w:val="0"/>
        <w:autoSpaceDE w:val="0"/>
        <w:autoSpaceDN w:val="0"/>
        <w:adjustRightInd w:val="0"/>
        <w:ind w:left="60"/>
        <w:jc w:val="both"/>
        <w:rPr>
          <w:szCs w:val="22"/>
        </w:rPr>
      </w:pPr>
    </w:p>
    <w:p w:rsidR="00F469F5" w:rsidRPr="008C2FF1" w:rsidRDefault="00991FA3" w:rsidP="0050146D">
      <w:pPr>
        <w:pStyle w:val="Nadpis3"/>
      </w:pPr>
      <w:r>
        <w:t>Začlenění do nabídky tisků</w:t>
      </w:r>
    </w:p>
    <w:p w:rsidR="004329C9" w:rsidRDefault="00991FA3" w:rsidP="00F469F5">
      <w:pPr>
        <w:spacing w:after="0"/>
        <w:jc w:val="both"/>
      </w:pPr>
      <w:r>
        <w:t>Na přehledu tisků bude doplněna sekce Tisky pro zelenou naftu od roku 2019, v rámci které bude možné tisknout následující tisky:</w:t>
      </w:r>
    </w:p>
    <w:p w:rsidR="00DD0893" w:rsidRDefault="008A4F94" w:rsidP="00A63961">
      <w:pPr>
        <w:pStyle w:val="l4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1FA3">
        <w:rPr>
          <w:rFonts w:ascii="Arial" w:hAnsi="Arial" w:cs="Arial"/>
          <w:b/>
          <w:color w:val="000000"/>
          <w:sz w:val="22"/>
          <w:szCs w:val="22"/>
        </w:rPr>
        <w:t>Zastoupení citlivých plodin a révy vinné čtvrtletí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91FA3">
        <w:rPr>
          <w:rFonts w:ascii="Arial" w:hAnsi="Arial" w:cs="Arial"/>
          <w:color w:val="000000"/>
          <w:sz w:val="22"/>
          <w:szCs w:val="22"/>
        </w:rPr>
        <w:t>s p</w:t>
      </w:r>
      <w:r w:rsidR="00DE728D">
        <w:rPr>
          <w:rFonts w:ascii="Arial" w:hAnsi="Arial" w:cs="Arial"/>
          <w:color w:val="000000"/>
          <w:sz w:val="22"/>
          <w:szCs w:val="22"/>
        </w:rPr>
        <w:t>arametrem Zdaňovací období (nabí</w:t>
      </w:r>
      <w:r w:rsidR="00991FA3">
        <w:rPr>
          <w:rFonts w:ascii="Arial" w:hAnsi="Arial" w:cs="Arial"/>
          <w:color w:val="000000"/>
          <w:sz w:val="22"/>
          <w:szCs w:val="22"/>
        </w:rPr>
        <w:t>dne se vždy čtvrtletí zpětně, 1. čtvrtletí bude dostupné až 1.6.)</w:t>
      </w:r>
      <w:r w:rsidR="001B2DE7">
        <w:rPr>
          <w:rFonts w:ascii="Arial" w:hAnsi="Arial" w:cs="Arial"/>
          <w:color w:val="000000"/>
          <w:sz w:val="22"/>
          <w:szCs w:val="22"/>
        </w:rPr>
        <w:t xml:space="preserve"> Doba archivace 120 měsíců.</w:t>
      </w:r>
    </w:p>
    <w:p w:rsidR="001B2DE7" w:rsidRDefault="008A4F94" w:rsidP="001B2DE7">
      <w:pPr>
        <w:pStyle w:val="l4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1FA3">
        <w:rPr>
          <w:rFonts w:ascii="Arial" w:hAnsi="Arial" w:cs="Arial"/>
          <w:b/>
          <w:color w:val="000000"/>
          <w:sz w:val="22"/>
          <w:szCs w:val="22"/>
        </w:rPr>
        <w:lastRenderedPageBreak/>
        <w:t>Zastoupení citlivých plodin a révy vinné roční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91FA3">
        <w:rPr>
          <w:rFonts w:ascii="Arial" w:hAnsi="Arial" w:cs="Arial"/>
          <w:color w:val="000000"/>
          <w:sz w:val="22"/>
          <w:szCs w:val="22"/>
        </w:rPr>
        <w:t>s parametrem Kalendářní rok (nabídne se zpětně)</w:t>
      </w:r>
      <w:r w:rsidR="001B2DE7">
        <w:rPr>
          <w:rFonts w:ascii="Arial" w:hAnsi="Arial" w:cs="Arial"/>
          <w:color w:val="000000"/>
          <w:sz w:val="22"/>
          <w:szCs w:val="22"/>
        </w:rPr>
        <w:t>. Doba archivace 120 měsíců.</w:t>
      </w:r>
    </w:p>
    <w:p w:rsidR="001B2DE7" w:rsidRDefault="00DD0893" w:rsidP="001B2DE7">
      <w:pPr>
        <w:pStyle w:val="l4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1FA3">
        <w:rPr>
          <w:rFonts w:ascii="Arial" w:hAnsi="Arial" w:cs="Arial"/>
          <w:b/>
          <w:color w:val="000000"/>
          <w:sz w:val="22"/>
          <w:szCs w:val="22"/>
        </w:rPr>
        <w:t>Spotřeba dle normativů</w:t>
      </w:r>
      <w:r w:rsidR="00991FA3" w:rsidRPr="00991FA3">
        <w:rPr>
          <w:rFonts w:ascii="Arial" w:hAnsi="Arial" w:cs="Arial"/>
          <w:b/>
          <w:color w:val="000000"/>
          <w:sz w:val="22"/>
          <w:szCs w:val="22"/>
        </w:rPr>
        <w:t xml:space="preserve"> za kalendářní rok</w:t>
      </w:r>
      <w:r w:rsidR="00991FA3">
        <w:rPr>
          <w:rFonts w:ascii="Arial" w:hAnsi="Arial" w:cs="Arial"/>
          <w:color w:val="000000"/>
          <w:sz w:val="22"/>
          <w:szCs w:val="22"/>
        </w:rPr>
        <w:t xml:space="preserve"> s parametrem Kalendářní rok (nabídne se zpětně)</w:t>
      </w:r>
      <w:r w:rsidR="001B2DE7">
        <w:rPr>
          <w:rFonts w:ascii="Arial" w:hAnsi="Arial" w:cs="Arial"/>
          <w:color w:val="000000"/>
          <w:sz w:val="22"/>
          <w:szCs w:val="22"/>
        </w:rPr>
        <w:t xml:space="preserve"> Doba archivace 120 měsíců.</w:t>
      </w:r>
    </w:p>
    <w:p w:rsidR="00991FA3" w:rsidRDefault="00991FA3" w:rsidP="00A63961">
      <w:pPr>
        <w:pStyle w:val="l4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1FA3" w:rsidRDefault="00991FA3" w:rsidP="00991FA3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 spuštění tisku ve formátu PDF (pouze) bude tisk vygenerován na obrazovku ke stažení a současně uložen do archivu s jednoznačným identifikátorem tisku (podobně jako v IZR)</w:t>
      </w:r>
      <w:r w:rsidR="005605AC">
        <w:rPr>
          <w:rFonts w:ascii="Arial" w:hAnsi="Arial" w:cs="Arial"/>
          <w:color w:val="000000"/>
          <w:sz w:val="22"/>
          <w:szCs w:val="22"/>
        </w:rPr>
        <w:t>.</w:t>
      </w:r>
      <w:r w:rsidR="00327E3D">
        <w:rPr>
          <w:rFonts w:ascii="Arial" w:hAnsi="Arial" w:cs="Arial"/>
          <w:color w:val="000000"/>
          <w:sz w:val="22"/>
          <w:szCs w:val="22"/>
        </w:rPr>
        <w:t>PDF nemusí být digitálně podepsány</w:t>
      </w:r>
      <w:r w:rsidR="00345F63">
        <w:rPr>
          <w:rFonts w:ascii="Arial" w:hAnsi="Arial" w:cs="Arial"/>
          <w:color w:val="000000"/>
          <w:sz w:val="22"/>
          <w:szCs w:val="22"/>
        </w:rPr>
        <w:t xml:space="preserve"> ani opatřeny žádnou časovou značkou.</w:t>
      </w:r>
      <w:r w:rsidR="00327E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1FA3" w:rsidRDefault="00991FA3" w:rsidP="00991FA3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1FA3" w:rsidRDefault="00991FA3" w:rsidP="00991FA3">
      <w:pPr>
        <w:jc w:val="both"/>
      </w:pPr>
      <w:r>
        <w:t>V íčku u každého z tisků bude pro snazší orientaci a výběr typu výpočtu vystavena legenda s detailnějším popisem jednotlivých typů výpočtu:</w:t>
      </w:r>
    </w:p>
    <w:p w:rsidR="00991FA3" w:rsidRPr="008A4F94" w:rsidRDefault="00991FA3" w:rsidP="00A63961">
      <w:pPr>
        <w:pStyle w:val="l4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4F94">
        <w:rPr>
          <w:rFonts w:ascii="Arial" w:hAnsi="Arial" w:cs="Arial"/>
          <w:b/>
          <w:i/>
          <w:color w:val="000000"/>
          <w:sz w:val="22"/>
          <w:szCs w:val="22"/>
        </w:rPr>
        <w:t>Zastoupení citlivých plodin a révy vinné čtvrtletí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A4F94">
        <w:rPr>
          <w:i/>
        </w:rPr>
        <w:t xml:space="preserve">– použijte v případě, že </w:t>
      </w:r>
      <w:r w:rsidRPr="008A4F94">
        <w:rPr>
          <w:i/>
          <w:szCs w:val="22"/>
        </w:rPr>
        <w:t>prokazujete spotřebu minerálních olejů evidencí o skutečné spotřebě</w:t>
      </w:r>
      <w:r w:rsidRPr="008A4F94">
        <w:rPr>
          <w:i/>
        </w:rPr>
        <w:t xml:space="preserve"> a daňové přiznání předkládáte za kalendářní čtvrtletí.</w:t>
      </w:r>
    </w:p>
    <w:p w:rsidR="00991FA3" w:rsidRPr="00E058B0" w:rsidRDefault="00991FA3" w:rsidP="00A63961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Cs w:val="22"/>
        </w:rPr>
      </w:pPr>
      <w:r w:rsidRPr="008A4F94">
        <w:rPr>
          <w:rFonts w:cs="Arial"/>
          <w:b/>
          <w:i/>
          <w:color w:val="000000"/>
          <w:szCs w:val="22"/>
        </w:rPr>
        <w:t xml:space="preserve">Zastoupení citlivých plodin a révy vinné </w:t>
      </w:r>
      <w:r>
        <w:rPr>
          <w:rFonts w:cs="Arial"/>
          <w:b/>
          <w:i/>
          <w:color w:val="000000"/>
          <w:szCs w:val="22"/>
        </w:rPr>
        <w:t>roční</w:t>
      </w:r>
      <w:r>
        <w:rPr>
          <w:rFonts w:cs="Arial"/>
          <w:color w:val="000000"/>
          <w:szCs w:val="22"/>
        </w:rPr>
        <w:t xml:space="preserve"> </w:t>
      </w:r>
      <w:r w:rsidRPr="00E058B0">
        <w:rPr>
          <w:i/>
        </w:rPr>
        <w:t xml:space="preserve">– použijte v případě, že spotřebu minerálních olejů prokazujete </w:t>
      </w:r>
      <w:r>
        <w:rPr>
          <w:i/>
        </w:rPr>
        <w:t>evidencí využití půdy LPIS</w:t>
      </w:r>
      <w:r w:rsidRPr="00E058B0">
        <w:rPr>
          <w:i/>
          <w:szCs w:val="22"/>
        </w:rPr>
        <w:t xml:space="preserve"> a </w:t>
      </w:r>
      <w:r w:rsidRPr="00E058B0">
        <w:rPr>
          <w:i/>
        </w:rPr>
        <w:t xml:space="preserve">daňové přiznání předkládáte za </w:t>
      </w:r>
      <w:r w:rsidRPr="00E058B0">
        <w:rPr>
          <w:i/>
          <w:szCs w:val="22"/>
        </w:rPr>
        <w:t>kalendářní rok.</w:t>
      </w:r>
    </w:p>
    <w:p w:rsidR="00991FA3" w:rsidRDefault="00991FA3" w:rsidP="00991FA3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058B0">
        <w:rPr>
          <w:b/>
          <w:i/>
          <w:szCs w:val="22"/>
        </w:rPr>
        <w:t>Spotřeba dle normativů</w:t>
      </w:r>
      <w:r>
        <w:rPr>
          <w:b/>
          <w:i/>
          <w:szCs w:val="22"/>
        </w:rPr>
        <w:t xml:space="preserve"> za kalendářní rok</w:t>
      </w:r>
      <w:r w:rsidRPr="00E058B0">
        <w:rPr>
          <w:i/>
          <w:szCs w:val="22"/>
        </w:rPr>
        <w:t xml:space="preserve"> - </w:t>
      </w:r>
      <w:r w:rsidRPr="00E058B0">
        <w:rPr>
          <w:i/>
        </w:rPr>
        <w:t xml:space="preserve">použijte v případě, že spotřebu minerálních olejů prokazujete </w:t>
      </w:r>
      <w:r>
        <w:rPr>
          <w:i/>
        </w:rPr>
        <w:t>evidencí využití půdy LPIS</w:t>
      </w:r>
      <w:r w:rsidRPr="00E058B0">
        <w:rPr>
          <w:i/>
          <w:szCs w:val="22"/>
        </w:rPr>
        <w:t xml:space="preserve"> a chcete provést výpočet spotřeby minerálních olejů dle normativů za zdaňovací období kalendářní rok</w:t>
      </w:r>
    </w:p>
    <w:p w:rsidR="008911FC" w:rsidRDefault="008911FC" w:rsidP="008911FC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69F5" w:rsidRPr="008911FC" w:rsidRDefault="00F469F5" w:rsidP="00F469F5">
      <w:pPr>
        <w:spacing w:after="0"/>
        <w:jc w:val="both"/>
        <w:rPr>
          <w:b/>
        </w:rPr>
      </w:pPr>
    </w:p>
    <w:p w:rsidR="00991FA3" w:rsidRPr="008C2FF1" w:rsidRDefault="00991FA3" w:rsidP="00991FA3">
      <w:pPr>
        <w:pStyle w:val="Nadpis3"/>
      </w:pPr>
      <w:r>
        <w:t>Archiv vygenerovaných tisků</w:t>
      </w:r>
    </w:p>
    <w:p w:rsidR="00991FA3" w:rsidRDefault="00991FA3" w:rsidP="00135AFB">
      <w:pPr>
        <w:spacing w:after="0"/>
        <w:jc w:val="both"/>
      </w:pPr>
      <w:r>
        <w:t>Archiv vygenerovaných tisků bude jednoduchý seznam s následujícími sloupci:</w:t>
      </w:r>
    </w:p>
    <w:p w:rsidR="005D65C0" w:rsidRPr="008911FC" w:rsidRDefault="00991FA3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Jednoznačný identifikátor tisku</w:t>
      </w:r>
    </w:p>
    <w:p w:rsidR="005D65C0" w:rsidRPr="008911FC" w:rsidRDefault="005D65C0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 w:rsidRPr="008911FC">
        <w:rPr>
          <w:rFonts w:cs="Calibri"/>
        </w:rPr>
        <w:t>Typ výpočtu</w:t>
      </w:r>
    </w:p>
    <w:p w:rsidR="0062621E" w:rsidRPr="008911FC" w:rsidRDefault="0062621E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 w:rsidRPr="008911FC">
        <w:rPr>
          <w:rFonts w:cs="Calibri"/>
        </w:rPr>
        <w:t>Zdaňovací období</w:t>
      </w:r>
    </w:p>
    <w:p w:rsidR="005D65C0" w:rsidRDefault="00991FA3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Subjekt</w:t>
      </w:r>
    </w:p>
    <w:p w:rsidR="00991FA3" w:rsidRDefault="00991FA3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Uživatel (login), který tisk spustil</w:t>
      </w:r>
    </w:p>
    <w:p w:rsidR="00991FA3" w:rsidRDefault="00991FA3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Datum a čas vygenerování</w:t>
      </w:r>
    </w:p>
    <w:p w:rsidR="00991FA3" w:rsidRDefault="00991FA3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Status </w:t>
      </w:r>
    </w:p>
    <w:p w:rsidR="00991FA3" w:rsidRPr="008911FC" w:rsidRDefault="00991FA3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Ikona ke stažení tisku</w:t>
      </w:r>
    </w:p>
    <w:p w:rsidR="005D65C0" w:rsidRPr="008911FC" w:rsidRDefault="005D65C0" w:rsidP="00A63961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 w:rsidRPr="008911FC">
        <w:rPr>
          <w:rFonts w:cs="Calibri"/>
        </w:rPr>
        <w:t xml:space="preserve">Zahájení výpočtu </w:t>
      </w:r>
    </w:p>
    <w:p w:rsidR="005D65C0" w:rsidRPr="008C2FF1" w:rsidRDefault="007B7D35" w:rsidP="00135AFB">
      <w:pPr>
        <w:spacing w:after="0"/>
        <w:jc w:val="both"/>
      </w:pPr>
      <w:r>
        <w:t>Tisky budou dostupné oprávněným uživatelům (farmářům s heslem na Portál farmáře), přičemž bude respektován přístup k tiskům pouze v rámci dané firmy (uživatele)</w:t>
      </w:r>
      <w:r w:rsidR="00345F63">
        <w:t xml:space="preserve"> a uživatelům s rolí do modulu EP</w:t>
      </w:r>
      <w:r>
        <w:t xml:space="preserve">. </w:t>
      </w:r>
      <w:r w:rsidR="002E3627">
        <w:t xml:space="preserve">Přístup k archivu příslušného tisku se řídí oprávněním ke generování tisku samotného. </w:t>
      </w:r>
    </w:p>
    <w:p w:rsidR="00F469F5" w:rsidRDefault="00F469F5" w:rsidP="00F469F5">
      <w:pPr>
        <w:spacing w:after="0"/>
        <w:jc w:val="both"/>
        <w:rPr>
          <w:b/>
        </w:rPr>
      </w:pPr>
    </w:p>
    <w:p w:rsidR="000510AA" w:rsidRDefault="008013DE" w:rsidP="00F93B29">
      <w:pPr>
        <w:pStyle w:val="Nadpis2"/>
        <w:numPr>
          <w:ilvl w:val="2"/>
          <w:numId w:val="2"/>
        </w:numPr>
      </w:pPr>
      <w:r>
        <w:t>Zastoupení citlivých plodin a révy vinné</w:t>
      </w:r>
    </w:p>
    <w:p w:rsidR="00D94B08" w:rsidRDefault="008013DE" w:rsidP="0043104C">
      <w:pPr>
        <w:autoSpaceDE w:val="0"/>
        <w:autoSpaceDN w:val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Podle § 6 vyhlášky se zastoupení citlivých plodin a révy vinné vypočte jako </w:t>
      </w:r>
      <w:r w:rsidRPr="00D94B08">
        <w:rPr>
          <w:rFonts w:cs="Arial"/>
          <w:szCs w:val="22"/>
        </w:rPr>
        <w:t>podíl</w:t>
      </w:r>
      <w:r w:rsidR="00D94B08" w:rsidRPr="00D94B08">
        <w:rPr>
          <w:rFonts w:cs="Arial"/>
          <w:szCs w:val="22"/>
        </w:rPr>
        <w:t>:</w:t>
      </w:r>
    </w:p>
    <w:p w:rsidR="00D94B08" w:rsidRPr="00D94B08" w:rsidRDefault="00D94B08" w:rsidP="00A63961">
      <w:pPr>
        <w:pStyle w:val="Textodstavce"/>
        <w:numPr>
          <w:ilvl w:val="0"/>
          <w:numId w:val="22"/>
        </w:numPr>
        <w:spacing w:before="0" w:after="0"/>
        <w:rPr>
          <w:rFonts w:ascii="Arial" w:hAnsi="Arial" w:cs="Arial"/>
          <w:sz w:val="22"/>
          <w:szCs w:val="22"/>
        </w:rPr>
      </w:pPr>
      <w:r w:rsidRPr="00D94B08">
        <w:rPr>
          <w:rFonts w:ascii="Arial" w:hAnsi="Arial" w:cs="Arial"/>
          <w:sz w:val="22"/>
          <w:szCs w:val="22"/>
        </w:rPr>
        <w:t>výměry zemědělské půdy s citlivými plodinami nebo révou vinnou</w:t>
      </w:r>
    </w:p>
    <w:p w:rsidR="00D94B08" w:rsidRPr="00D94B08" w:rsidRDefault="00D94B08" w:rsidP="00A63961">
      <w:pPr>
        <w:pStyle w:val="Textodstavce"/>
        <w:numPr>
          <w:ilvl w:val="0"/>
          <w:numId w:val="22"/>
        </w:numPr>
        <w:spacing w:before="0" w:after="0"/>
        <w:rPr>
          <w:rFonts w:cs="Arial"/>
          <w:szCs w:val="22"/>
        </w:rPr>
      </w:pPr>
      <w:r w:rsidRPr="00D94B08">
        <w:rPr>
          <w:rFonts w:ascii="Arial" w:hAnsi="Arial" w:cs="Arial"/>
          <w:sz w:val="22"/>
          <w:szCs w:val="22"/>
          <w:lang w:val="x-none"/>
        </w:rPr>
        <w:t xml:space="preserve">výměry zemědělské půdy s druhem zemědělské kultury orná půda nebo trvalá kultura </w:t>
      </w:r>
    </w:p>
    <w:p w:rsidR="008013DE" w:rsidRDefault="008013DE" w:rsidP="0043104C">
      <w:pPr>
        <w:autoSpaceDE w:val="0"/>
        <w:autoSpaceDN w:val="0"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</w:rPr>
        <w:t>Zastoupení citlivých plodin a révy vinné se zaokrouhluje na 2 desetinná místa dolů.</w:t>
      </w:r>
    </w:p>
    <w:p w:rsidR="0043104C" w:rsidRDefault="0043104C" w:rsidP="0043104C">
      <w:pPr>
        <w:pStyle w:val="Nadpis4"/>
      </w:pPr>
      <w:r>
        <w:t>Výměra zemědělské půdy s citlivými plodinami</w:t>
      </w:r>
    </w:p>
    <w:p w:rsidR="008013DE" w:rsidRPr="005E537C" w:rsidRDefault="00492761" w:rsidP="005E537C">
      <w:pPr>
        <w:jc w:val="both"/>
      </w:pPr>
      <w:r>
        <w:rPr>
          <w:rFonts w:cs="Arial"/>
          <w:szCs w:val="22"/>
        </w:rPr>
        <w:t>Podle vyhlášky § 6 odst. 3 je v</w:t>
      </w:r>
      <w:r w:rsidR="0043104C">
        <w:rPr>
          <w:rFonts w:cs="Arial"/>
          <w:szCs w:val="22"/>
        </w:rPr>
        <w:t xml:space="preserve">ýměra zemědělské půdy s citlivými plodinami </w:t>
      </w:r>
      <w:r>
        <w:rPr>
          <w:rFonts w:cs="Arial"/>
          <w:szCs w:val="22"/>
        </w:rPr>
        <w:t>výměrou</w:t>
      </w:r>
      <w:r w:rsidR="0043104C">
        <w:rPr>
          <w:rFonts w:cs="Arial"/>
          <w:szCs w:val="22"/>
        </w:rPr>
        <w:t xml:space="preserve"> zemědě</w:t>
      </w:r>
      <w:r>
        <w:rPr>
          <w:rFonts w:cs="Arial"/>
          <w:szCs w:val="22"/>
        </w:rPr>
        <w:t xml:space="preserve">lské půdy s citlivými plodinami </w:t>
      </w:r>
      <w:r w:rsidR="0043104C">
        <w:rPr>
          <w:rFonts w:cs="Arial"/>
          <w:szCs w:val="22"/>
        </w:rPr>
        <w:t xml:space="preserve">uvedená v žádosti o poskytnutí dobrovolné podpory vázané na </w:t>
      </w:r>
      <w:r>
        <w:rPr>
          <w:rFonts w:cs="Arial"/>
          <w:szCs w:val="22"/>
        </w:rPr>
        <w:t>p</w:t>
      </w:r>
      <w:r w:rsidR="0043104C">
        <w:rPr>
          <w:rFonts w:cs="Arial"/>
          <w:szCs w:val="22"/>
        </w:rPr>
        <w:t>rodukci podle přímo použitelného předpisu Evropské unie</w:t>
      </w:r>
      <w:r w:rsidR="0043104C">
        <w:rPr>
          <w:rFonts w:cs="Arial"/>
          <w:sz w:val="20"/>
          <w:szCs w:val="22"/>
        </w:rPr>
        <w:t>.</w:t>
      </w:r>
    </w:p>
    <w:p w:rsidR="0043104C" w:rsidRPr="005E537C" w:rsidRDefault="0043104C" w:rsidP="00492761">
      <w:pPr>
        <w:shd w:val="clear" w:color="auto" w:fill="FFFFFF"/>
        <w:spacing w:after="0"/>
        <w:jc w:val="both"/>
        <w:rPr>
          <w:rFonts w:cs="Arial"/>
          <w:bCs/>
          <w:color w:val="000000"/>
          <w:szCs w:val="22"/>
          <w:lang w:eastAsia="cs-CZ"/>
        </w:rPr>
      </w:pPr>
      <w:r w:rsidRPr="005E537C">
        <w:rPr>
          <w:rFonts w:cs="Arial"/>
          <w:bCs/>
          <w:color w:val="000000"/>
          <w:szCs w:val="22"/>
          <w:lang w:eastAsia="cs-CZ"/>
        </w:rPr>
        <w:t>Druhy dobrovolných podpor vázaných na produkci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bCs/>
          <w:color w:val="000000"/>
          <w:szCs w:val="22"/>
          <w:lang w:eastAsia="cs-CZ"/>
        </w:rPr>
      </w:pPr>
      <w:r w:rsidRPr="005E537C">
        <w:rPr>
          <w:rFonts w:cs="Arial"/>
          <w:bCs/>
          <w:color w:val="000000"/>
          <w:szCs w:val="22"/>
          <w:lang w:eastAsia="cs-CZ"/>
        </w:rPr>
        <w:t>podpora na produkci brambor určených pro výrobu škrobu,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chmele,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ovocných druhů s velmi vysokou pracností,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lastRenderedPageBreak/>
        <w:t>podpora na produkci ovocných druhů s vysokou pracností,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konzumních brambor,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zeleninových druhů s velmi vysokou pracností,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zeleninových druhů s vysokou pracností,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cukrové řepy,</w:t>
      </w:r>
    </w:p>
    <w:p w:rsidR="0043104C" w:rsidRPr="005E537C" w:rsidRDefault="0043104C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bílkovinných plodin</w:t>
      </w:r>
    </w:p>
    <w:p w:rsidR="0043104C" w:rsidRDefault="005E537C" w:rsidP="005E537C">
      <w:pPr>
        <w:autoSpaceDE w:val="0"/>
        <w:autoSpaceDN w:val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Výměra zemědělské půdy s citlivými plodinami je </w:t>
      </w:r>
      <w:r w:rsidRPr="005E537C">
        <w:rPr>
          <w:rFonts w:cs="Arial"/>
          <w:b/>
          <w:szCs w:val="22"/>
        </w:rPr>
        <w:t xml:space="preserve">součet výměr za všechny druhy dobrovolných podpor vázaných na </w:t>
      </w:r>
      <w:r w:rsidRPr="00D94B08">
        <w:rPr>
          <w:rFonts w:cs="Arial"/>
          <w:b/>
          <w:szCs w:val="22"/>
        </w:rPr>
        <w:t>produkci</w:t>
      </w:r>
      <w:r w:rsidR="00A25CC8">
        <w:rPr>
          <w:rFonts w:cs="Arial"/>
          <w:b/>
          <w:szCs w:val="22"/>
        </w:rPr>
        <w:t>, které byly primárně identifikovány v LPIS na příslušné DPB.</w:t>
      </w:r>
    </w:p>
    <w:p w:rsidR="00A25CC8" w:rsidRDefault="00A25CC8" w:rsidP="005E537C">
      <w:pPr>
        <w:autoSpaceDE w:val="0"/>
        <w:autoSpaceDN w:val="0"/>
        <w:jc w:val="both"/>
        <w:rPr>
          <w:rFonts w:cs="Arial"/>
          <w:b/>
          <w:szCs w:val="22"/>
        </w:rPr>
      </w:pPr>
    </w:p>
    <w:p w:rsidR="0043104C" w:rsidRPr="0043104C" w:rsidRDefault="0043104C" w:rsidP="0043104C">
      <w:pPr>
        <w:pStyle w:val="Nadpis4"/>
      </w:pPr>
      <w:r w:rsidRPr="0043104C">
        <w:rPr>
          <w:rFonts w:cs="Arial"/>
          <w:szCs w:val="22"/>
        </w:rPr>
        <w:t>Výměra zemědělské půdy s révou vinnou</w:t>
      </w:r>
    </w:p>
    <w:p w:rsidR="0043104C" w:rsidRPr="00D94B08" w:rsidRDefault="0043104C" w:rsidP="0043104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rFonts w:cs="Arial"/>
          <w:szCs w:val="22"/>
        </w:rPr>
        <w:t xml:space="preserve">Výměra zemědělské půdy s révou vinnou se vypočte jako </w:t>
      </w:r>
      <w:r w:rsidRPr="0043104C">
        <w:rPr>
          <w:rFonts w:cs="Arial"/>
          <w:b/>
          <w:szCs w:val="22"/>
        </w:rPr>
        <w:t>aritmetický průměr výměry zemědělské půdy s druhem zemědělské kultury vinice</w:t>
      </w:r>
      <w:r>
        <w:rPr>
          <w:rFonts w:cs="Arial"/>
          <w:szCs w:val="22"/>
        </w:rPr>
        <w:t xml:space="preserve"> </w:t>
      </w:r>
      <w:r w:rsidRPr="00D94B08">
        <w:rPr>
          <w:rFonts w:cs="Arial"/>
          <w:b/>
          <w:szCs w:val="22"/>
        </w:rPr>
        <w:t>k poslednímu dni kalendářních měsíců zdaňovacího období.</w:t>
      </w:r>
    </w:p>
    <w:p w:rsidR="0043104C" w:rsidRPr="0043104C" w:rsidRDefault="0043104C" w:rsidP="0043104C">
      <w:pPr>
        <w:pStyle w:val="Nadpis4"/>
        <w:rPr>
          <w:rFonts w:cs="Arial"/>
          <w:szCs w:val="22"/>
        </w:rPr>
      </w:pPr>
      <w:r w:rsidRPr="0043104C">
        <w:rPr>
          <w:rFonts w:cs="Arial"/>
          <w:szCs w:val="22"/>
        </w:rPr>
        <w:t>Výměra ZP s druhem kultury orná půda nebo trvalá kultura</w:t>
      </w:r>
    </w:p>
    <w:p w:rsidR="00D70449" w:rsidRDefault="0043104C" w:rsidP="004927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Podle vyhlášky § 6 odst. se výměra zemědělské půdy s druhem zemědělské kultury orná půda nebo trvalá kultura vypočte jako </w:t>
      </w:r>
      <w:r w:rsidRPr="009409B0">
        <w:rPr>
          <w:rFonts w:cs="Arial"/>
          <w:b/>
          <w:szCs w:val="22"/>
        </w:rPr>
        <w:t>aritmetický průměr výměry zemědělské půdy v hektarech s druhem zemědělské kultury orná půda nebo trvalá kultura</w:t>
      </w:r>
      <w:r>
        <w:rPr>
          <w:rFonts w:cs="Arial"/>
          <w:szCs w:val="22"/>
        </w:rPr>
        <w:t xml:space="preserve"> vedených pro osobu uplatňující nárok na vrácení daně v evidenci využití půdy podle uživatelských vztahů vedené podle zákona upravujícího zemědělství </w:t>
      </w:r>
      <w:r w:rsidRPr="009409B0">
        <w:rPr>
          <w:rFonts w:cs="Arial"/>
          <w:b/>
          <w:szCs w:val="22"/>
        </w:rPr>
        <w:t>k poslednímu dni kalendářních měsíců zdaňovacího období</w:t>
      </w:r>
      <w:r>
        <w:rPr>
          <w:rFonts w:cs="Arial"/>
          <w:szCs w:val="22"/>
        </w:rPr>
        <w:t xml:space="preserve">, za které se uplatňuje nárok na vrácení spotřební daně z minerálních olejů. </w:t>
      </w:r>
    </w:p>
    <w:p w:rsidR="009409B0" w:rsidRDefault="0043104C" w:rsidP="004927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Výměra zemědělské půdy s druhem zemědělské kultury orná půda nebo trvalá kultura se zaokrouhluje na 2 desetinná místa dolů</w:t>
      </w:r>
      <w:r w:rsidR="00492761">
        <w:rPr>
          <w:rFonts w:cs="Arial"/>
          <w:szCs w:val="22"/>
        </w:rPr>
        <w:t>.</w:t>
      </w:r>
    </w:p>
    <w:p w:rsidR="00CD4AF9" w:rsidRPr="0043104C" w:rsidRDefault="00CD4AF9" w:rsidP="008013DE">
      <w:pPr>
        <w:rPr>
          <w:rFonts w:cs="Arial"/>
          <w:szCs w:val="22"/>
        </w:rPr>
      </w:pPr>
      <w:r w:rsidRPr="0043104C">
        <w:rPr>
          <w:rFonts w:cs="Arial"/>
          <w:szCs w:val="22"/>
        </w:rPr>
        <w:t>Orná půda + trvalé kultura</w:t>
      </w:r>
      <w:r w:rsidR="00492761">
        <w:rPr>
          <w:rFonts w:cs="Arial"/>
          <w:szCs w:val="22"/>
        </w:rPr>
        <w:t xml:space="preserve"> zahrnuje následující kultury: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R – standardní orná půda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U – úhor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>
        <w:t>G – travní porost (na orné pudě</w:t>
      </w:r>
      <w:r w:rsidRPr="00790E88">
        <w:t>)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V – vinice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C – chmelnice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S – sad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K – školka</w:t>
      </w:r>
    </w:p>
    <w:p w:rsidR="00CD4AF9" w:rsidRPr="00790E88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J – jiná trvalá kultura</w:t>
      </w:r>
    </w:p>
    <w:p w:rsidR="00CD4AF9" w:rsidRDefault="00CD4AF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>
        <w:t>D – rychle rostoucí dřeviny pě</w:t>
      </w:r>
      <w:r w:rsidRPr="00790E88">
        <w:t>stované ve výmladkových plantážích</w:t>
      </w:r>
    </w:p>
    <w:p w:rsidR="00D70449" w:rsidRDefault="00D70449" w:rsidP="00D70449">
      <w:pPr>
        <w:autoSpaceDE w:val="0"/>
        <w:autoSpaceDN w:val="0"/>
        <w:adjustRightInd w:val="0"/>
        <w:spacing w:after="0"/>
        <w:jc w:val="both"/>
      </w:pPr>
    </w:p>
    <w:p w:rsidR="00D70449" w:rsidRPr="00D70449" w:rsidRDefault="00D70449" w:rsidP="00D70449">
      <w:pPr>
        <w:autoSpaceDE w:val="0"/>
        <w:autoSpaceDN w:val="0"/>
        <w:adjustRightInd w:val="0"/>
        <w:spacing w:after="0"/>
        <w:jc w:val="both"/>
        <w:rPr>
          <w:b/>
          <w:i/>
        </w:rPr>
      </w:pPr>
      <w:r w:rsidRPr="00D70449">
        <w:rPr>
          <w:b/>
          <w:i/>
        </w:rPr>
        <w:t>Implementační poznámka:</w:t>
      </w:r>
    </w:p>
    <w:p w:rsidR="00D70449" w:rsidRPr="00D70449" w:rsidRDefault="00D70449" w:rsidP="00A6396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/>
          <w:i/>
        </w:rPr>
      </w:pPr>
      <w:r w:rsidRPr="00D70449">
        <w:rPr>
          <w:b/>
          <w:i/>
        </w:rPr>
        <w:t>Dle výběru zdaňovacího období (rok x příslušné čtvrtletí) se vezmou v potaz sumy evidovaných DPB s příslušnými kulturami k poslednímu dni daných měsíců</w:t>
      </w:r>
    </w:p>
    <w:p w:rsidR="00D70449" w:rsidRPr="00D70449" w:rsidRDefault="00D70449" w:rsidP="00A6396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/>
          <w:i/>
        </w:rPr>
      </w:pPr>
      <w:r w:rsidRPr="00D70449">
        <w:rPr>
          <w:b/>
          <w:i/>
        </w:rPr>
        <w:t>Následně se vypočte aritmetický průměr hodnot z předchozího bodu a zaokrouhlí se  na 2 desetinná místa</w:t>
      </w:r>
    </w:p>
    <w:p w:rsidR="00492761" w:rsidRPr="00B92DD3" w:rsidRDefault="00492761" w:rsidP="00B92DD3">
      <w:pPr>
        <w:pStyle w:val="Nadpis4"/>
        <w:rPr>
          <w:rFonts w:cs="Arial"/>
          <w:szCs w:val="22"/>
        </w:rPr>
      </w:pPr>
      <w:r w:rsidRPr="00B92DD3">
        <w:rPr>
          <w:rFonts w:cs="Arial"/>
          <w:szCs w:val="22"/>
        </w:rPr>
        <w:t xml:space="preserve">Specifikace výpočtu Zastoupení citlivých plodin a révy vinné </w:t>
      </w:r>
    </w:p>
    <w:p w:rsidR="00CD4AF9" w:rsidRDefault="00492761" w:rsidP="00DC78D3">
      <w:pPr>
        <w:jc w:val="both"/>
      </w:pPr>
      <w:r w:rsidRPr="00111EB8">
        <w:rPr>
          <w:szCs w:val="22"/>
        </w:rPr>
        <w:t>Pokud subjekt prokazuje spotřebu minerálních olejů evidencí o skutečné spotřebě,</w:t>
      </w:r>
      <w:r w:rsidRPr="00111EB8">
        <w:t xml:space="preserve"> daňové přiznání předkládá za kalendářní čtvrtletí (vždy zpětně), </w:t>
      </w:r>
      <w:r w:rsidRPr="00111BAD">
        <w:rPr>
          <w:b/>
        </w:rPr>
        <w:t>zdaňovacím obdobím je kalendářní čtvrtletí</w:t>
      </w:r>
      <w:r w:rsidR="00D94B08">
        <w:t xml:space="preserve"> a musí doložit výsledné zastoupení citlivých plodin a révy vinné</w:t>
      </w:r>
      <w:r w:rsidRPr="00111EB8">
        <w:t xml:space="preserve"> za toto kalendářní čtvrtletí</w:t>
      </w:r>
      <w:r>
        <w:t>.</w:t>
      </w:r>
      <w:r w:rsidR="00D70449">
        <w:t xml:space="preserve"> Obdobně tak bude činit subjekt, pro kterého bu</w:t>
      </w:r>
      <w:r w:rsidR="0036339E">
        <w:t>de zdaň</w:t>
      </w:r>
      <w:r w:rsidR="00D70449">
        <w:t>ovací období kalendářní rok a bude uplatňovat roční normativ.</w:t>
      </w:r>
    </w:p>
    <w:p w:rsidR="00492761" w:rsidRDefault="00492761" w:rsidP="00DC78D3">
      <w:pPr>
        <w:ind w:left="708"/>
        <w:jc w:val="both"/>
        <w:rPr>
          <w:rFonts w:cs="Arial"/>
          <w:lang w:val="x-none"/>
        </w:rPr>
      </w:pPr>
    </w:p>
    <w:p w:rsidR="00DA78D7" w:rsidRPr="00D4711A" w:rsidRDefault="00DA78D7" w:rsidP="00DC78D3">
      <w:pPr>
        <w:pStyle w:val="Textodstavce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Postup výpočtu na příkladu </w:t>
      </w:r>
      <w:r w:rsidRPr="00D4711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abulky</w:t>
      </w:r>
      <w:r w:rsidRPr="00D4711A">
        <w:rPr>
          <w:rFonts w:ascii="Arial" w:hAnsi="Arial" w:cs="Arial"/>
          <w:sz w:val="22"/>
          <w:szCs w:val="22"/>
        </w:rPr>
        <w:t xml:space="preserve"> 1. čtvrtletí 2019 v podkapitole </w:t>
      </w:r>
      <w:r w:rsidR="00D94B08">
        <w:rPr>
          <w:rFonts w:ascii="Arial" w:hAnsi="Arial" w:cs="Arial"/>
          <w:sz w:val="22"/>
          <w:szCs w:val="22"/>
        </w:rPr>
        <w:t>Prezentace podkladových dat Zastoupení citlivých plodin a révy vinné čtvrtletí</w:t>
      </w:r>
      <w:r w:rsidRPr="00D4711A">
        <w:rPr>
          <w:rFonts w:ascii="Arial" w:hAnsi="Arial" w:cs="Arial"/>
          <w:sz w:val="22"/>
          <w:szCs w:val="22"/>
        </w:rPr>
        <w:t>:</w:t>
      </w:r>
    </w:p>
    <w:p w:rsidR="00DA78D7" w:rsidRPr="00DC78D3" w:rsidRDefault="00DA78D7" w:rsidP="00A63961">
      <w:pPr>
        <w:pStyle w:val="Textodstavce"/>
        <w:numPr>
          <w:ilvl w:val="0"/>
          <w:numId w:val="17"/>
        </w:numPr>
        <w:spacing w:before="0" w:after="0"/>
        <w:rPr>
          <w:rFonts w:ascii="Arial" w:hAnsi="Arial" w:cs="Arial"/>
          <w:sz w:val="22"/>
          <w:szCs w:val="22"/>
        </w:rPr>
      </w:pPr>
      <w:r w:rsidRPr="00DC78D3">
        <w:rPr>
          <w:rFonts w:ascii="Arial" w:hAnsi="Arial" w:cs="Arial"/>
          <w:sz w:val="22"/>
          <w:szCs w:val="22"/>
        </w:rPr>
        <w:lastRenderedPageBreak/>
        <w:t>Ze žádosti o poskytnutí dobrovolné podpory vázané na produkci se převezme výměra zem. půdy s citlivými plodinami a zaokrouhlí na 2 desetinná místa dolů.</w:t>
      </w:r>
    </w:p>
    <w:p w:rsidR="00DA78D7" w:rsidRPr="00DC78D3" w:rsidRDefault="00DA78D7" w:rsidP="00A63961">
      <w:pPr>
        <w:pStyle w:val="Textodstavce"/>
        <w:numPr>
          <w:ilvl w:val="0"/>
          <w:numId w:val="17"/>
        </w:numPr>
        <w:spacing w:before="0" w:after="0"/>
        <w:rPr>
          <w:rFonts w:ascii="Arial" w:hAnsi="Arial" w:cs="Arial"/>
          <w:sz w:val="22"/>
          <w:szCs w:val="22"/>
        </w:rPr>
      </w:pPr>
      <w:r w:rsidRPr="00DC78D3">
        <w:rPr>
          <w:rFonts w:ascii="Arial" w:hAnsi="Arial" w:cs="Arial"/>
          <w:sz w:val="22"/>
          <w:szCs w:val="22"/>
        </w:rPr>
        <w:t xml:space="preserve">Vypočítá se aritmetický průměr výměry </w:t>
      </w:r>
      <w:r w:rsidRPr="00352B3A">
        <w:rPr>
          <w:rFonts w:ascii="Arial" w:hAnsi="Arial" w:cs="Arial"/>
          <w:sz w:val="22"/>
          <w:szCs w:val="22"/>
        </w:rPr>
        <w:t>zemědělské kultury vinice</w:t>
      </w:r>
      <w:r w:rsidR="00352B3A">
        <w:rPr>
          <w:rFonts w:ascii="Arial" w:hAnsi="Arial" w:cs="Arial"/>
          <w:sz w:val="22"/>
          <w:szCs w:val="22"/>
        </w:rPr>
        <w:t xml:space="preserve"> (tzn. ze </w:t>
      </w:r>
      <w:r w:rsidR="00A25CC8">
        <w:rPr>
          <w:rFonts w:ascii="Arial" w:hAnsi="Arial" w:cs="Arial"/>
          <w:sz w:val="22"/>
          <w:szCs w:val="22"/>
        </w:rPr>
        <w:t>3</w:t>
      </w:r>
      <w:r w:rsidRPr="00DC78D3">
        <w:rPr>
          <w:rFonts w:ascii="Arial" w:hAnsi="Arial" w:cs="Arial"/>
          <w:sz w:val="22"/>
          <w:szCs w:val="22"/>
        </w:rPr>
        <w:t>) a zaokrouhlí na 2 desetinná místa dolů = Aritmetický průměr výměry (předposlední řádek).</w:t>
      </w:r>
    </w:p>
    <w:p w:rsidR="00DC78D3" w:rsidRDefault="00DC78D3" w:rsidP="00A63961">
      <w:pPr>
        <w:pStyle w:val="Textodstavce"/>
        <w:numPr>
          <w:ilvl w:val="0"/>
          <w:numId w:val="17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Vypočte se výměra orná + trvalá kultura k posledním dnům zdaňovacího období – jedná se o součet výměr jednotlivých kultur z pravé části tabulky. </w:t>
      </w:r>
    </w:p>
    <w:p w:rsidR="00DA78D7" w:rsidRPr="00DC78D3" w:rsidRDefault="00DA78D7" w:rsidP="00A63961">
      <w:pPr>
        <w:pStyle w:val="Textodstavce"/>
        <w:numPr>
          <w:ilvl w:val="0"/>
          <w:numId w:val="17"/>
        </w:numPr>
        <w:spacing w:before="0" w:after="0"/>
        <w:rPr>
          <w:rFonts w:ascii="Arial" w:hAnsi="Arial" w:cs="Arial"/>
          <w:sz w:val="22"/>
          <w:szCs w:val="22"/>
        </w:rPr>
      </w:pPr>
      <w:r w:rsidRPr="00DC78D3">
        <w:rPr>
          <w:rFonts w:ascii="Arial" w:hAnsi="Arial" w:cs="Arial"/>
          <w:sz w:val="22"/>
          <w:szCs w:val="22"/>
        </w:rPr>
        <w:t>Vypočítá se aritm</w:t>
      </w:r>
      <w:r w:rsidR="00352B3A">
        <w:rPr>
          <w:rFonts w:ascii="Arial" w:hAnsi="Arial" w:cs="Arial"/>
          <w:sz w:val="22"/>
          <w:szCs w:val="22"/>
        </w:rPr>
        <w:t>etický průměr výměry orná půda +</w:t>
      </w:r>
      <w:r w:rsidRPr="00DC78D3">
        <w:rPr>
          <w:rFonts w:ascii="Arial" w:hAnsi="Arial" w:cs="Arial"/>
          <w:sz w:val="22"/>
          <w:szCs w:val="22"/>
        </w:rPr>
        <w:t xml:space="preserve"> trva</w:t>
      </w:r>
      <w:r w:rsidR="00DC78D3">
        <w:rPr>
          <w:rFonts w:ascii="Arial" w:hAnsi="Arial" w:cs="Arial"/>
          <w:sz w:val="22"/>
          <w:szCs w:val="22"/>
        </w:rPr>
        <w:t xml:space="preserve">lá kultura (tzn. </w:t>
      </w:r>
      <w:r w:rsidR="00A25CC8">
        <w:rPr>
          <w:rFonts w:ascii="Arial" w:hAnsi="Arial" w:cs="Arial"/>
          <w:sz w:val="22"/>
          <w:szCs w:val="22"/>
        </w:rPr>
        <w:t>ze 3</w:t>
      </w:r>
      <w:r w:rsidR="00DC78D3">
        <w:rPr>
          <w:rFonts w:ascii="Arial" w:hAnsi="Arial" w:cs="Arial"/>
          <w:sz w:val="22"/>
          <w:szCs w:val="22"/>
        </w:rPr>
        <w:t xml:space="preserve">) </w:t>
      </w:r>
      <w:r w:rsidRPr="00DC78D3">
        <w:rPr>
          <w:rFonts w:ascii="Arial" w:hAnsi="Arial" w:cs="Arial"/>
          <w:sz w:val="22"/>
          <w:szCs w:val="22"/>
        </w:rPr>
        <w:t>a zaokrouhlí na 2 desetinná místa dolů = Aritmetický průměr výměry (předposlední řádek).</w:t>
      </w:r>
    </w:p>
    <w:p w:rsidR="001A4B49" w:rsidRPr="00DC78D3" w:rsidRDefault="00DA78D7" w:rsidP="00A63961">
      <w:pPr>
        <w:pStyle w:val="Textodstavce"/>
        <w:numPr>
          <w:ilvl w:val="0"/>
          <w:numId w:val="17"/>
        </w:numPr>
        <w:spacing w:before="0" w:after="0"/>
        <w:rPr>
          <w:rFonts w:ascii="Arial" w:hAnsi="Arial" w:cs="Arial"/>
          <w:sz w:val="22"/>
          <w:szCs w:val="22"/>
        </w:rPr>
      </w:pPr>
      <w:r w:rsidRPr="00DC78D3">
        <w:rPr>
          <w:rFonts w:ascii="Arial" w:hAnsi="Arial" w:cs="Arial"/>
          <w:b/>
          <w:sz w:val="22"/>
          <w:szCs w:val="22"/>
        </w:rPr>
        <w:t>Zastoupení citlivých plodin a révy vinné</w:t>
      </w:r>
      <w:r w:rsidRPr="00DC78D3">
        <w:rPr>
          <w:rFonts w:ascii="Arial" w:hAnsi="Arial" w:cs="Arial"/>
          <w:sz w:val="22"/>
          <w:szCs w:val="22"/>
        </w:rPr>
        <w:t xml:space="preserve"> v</w:t>
      </w:r>
      <w:r w:rsidR="00DC78D3">
        <w:rPr>
          <w:rFonts w:ascii="Arial" w:hAnsi="Arial" w:cs="Arial"/>
          <w:sz w:val="22"/>
          <w:szCs w:val="22"/>
        </w:rPr>
        <w:t> posledním řádku se vypočítá jako podíl:</w:t>
      </w:r>
    </w:p>
    <w:p w:rsidR="001A4B49" w:rsidRPr="00DC78D3" w:rsidRDefault="001A4B49" w:rsidP="00A63961">
      <w:pPr>
        <w:pStyle w:val="Textodstavce"/>
        <w:numPr>
          <w:ilvl w:val="0"/>
          <w:numId w:val="21"/>
        </w:numPr>
        <w:spacing w:before="0" w:after="0"/>
        <w:rPr>
          <w:rFonts w:ascii="Arial" w:hAnsi="Arial" w:cs="Arial"/>
          <w:sz w:val="22"/>
          <w:szCs w:val="22"/>
        </w:rPr>
      </w:pPr>
      <w:r w:rsidRPr="00DC78D3">
        <w:rPr>
          <w:rFonts w:ascii="Arial" w:hAnsi="Arial" w:cs="Arial"/>
          <w:sz w:val="22"/>
          <w:szCs w:val="22"/>
        </w:rPr>
        <w:t xml:space="preserve">Čitatel </w:t>
      </w:r>
      <w:r w:rsidR="00DC78D3" w:rsidRPr="00DC78D3">
        <w:rPr>
          <w:rFonts w:ascii="Arial" w:hAnsi="Arial" w:cs="Arial"/>
          <w:sz w:val="22"/>
          <w:szCs w:val="22"/>
        </w:rPr>
        <w:t>=</w:t>
      </w:r>
      <w:r w:rsidRPr="00DC78D3">
        <w:rPr>
          <w:rFonts w:ascii="Arial" w:hAnsi="Arial" w:cs="Arial"/>
          <w:sz w:val="22"/>
          <w:szCs w:val="22"/>
        </w:rPr>
        <w:t xml:space="preserve"> součet citlivé plodiny a aritmetický průměr výměry révy vinné</w:t>
      </w:r>
    </w:p>
    <w:p w:rsidR="001A4B49" w:rsidRPr="00DC78D3" w:rsidRDefault="001A4B49" w:rsidP="00A63961">
      <w:pPr>
        <w:pStyle w:val="Textodstavce"/>
        <w:numPr>
          <w:ilvl w:val="0"/>
          <w:numId w:val="21"/>
        </w:numPr>
        <w:spacing w:before="0" w:after="0"/>
        <w:rPr>
          <w:rFonts w:ascii="Arial" w:hAnsi="Arial" w:cs="Arial"/>
          <w:sz w:val="22"/>
          <w:szCs w:val="22"/>
        </w:rPr>
      </w:pPr>
      <w:r w:rsidRPr="00DC78D3">
        <w:rPr>
          <w:rFonts w:ascii="Arial" w:hAnsi="Arial" w:cs="Arial"/>
          <w:sz w:val="22"/>
          <w:szCs w:val="22"/>
        </w:rPr>
        <w:t xml:space="preserve">Jmenovatel </w:t>
      </w:r>
      <w:r w:rsidR="00DC78D3" w:rsidRPr="00DC78D3">
        <w:rPr>
          <w:rFonts w:ascii="Arial" w:hAnsi="Arial" w:cs="Arial"/>
          <w:sz w:val="22"/>
          <w:szCs w:val="22"/>
        </w:rPr>
        <w:t xml:space="preserve">= </w:t>
      </w:r>
      <w:r w:rsidRPr="00DC78D3">
        <w:rPr>
          <w:rFonts w:ascii="Arial" w:hAnsi="Arial" w:cs="Arial"/>
          <w:sz w:val="22"/>
          <w:szCs w:val="22"/>
        </w:rPr>
        <w:t>aritmetický průměr výměry orná + trvalá kultura</w:t>
      </w:r>
    </w:p>
    <w:p w:rsidR="00DA78D7" w:rsidRPr="00DC78D3" w:rsidRDefault="00DA78D7" w:rsidP="00DC78D3">
      <w:pPr>
        <w:pStyle w:val="Textodstavce"/>
        <w:spacing w:before="0" w:after="0"/>
        <w:ind w:left="780"/>
        <w:rPr>
          <w:rFonts w:ascii="Arial" w:hAnsi="Arial" w:cs="Arial"/>
          <w:sz w:val="22"/>
          <w:szCs w:val="22"/>
        </w:rPr>
      </w:pPr>
      <w:r w:rsidRPr="00DC78D3">
        <w:rPr>
          <w:rFonts w:ascii="Arial" w:hAnsi="Arial" w:cs="Arial"/>
          <w:sz w:val="22"/>
          <w:szCs w:val="22"/>
        </w:rPr>
        <w:t xml:space="preserve">Tato hodnota </w:t>
      </w:r>
      <w:r w:rsidR="00DC78D3">
        <w:rPr>
          <w:rFonts w:ascii="Arial" w:hAnsi="Arial" w:cs="Arial"/>
          <w:sz w:val="22"/>
          <w:szCs w:val="22"/>
        </w:rPr>
        <w:t>se zaokrouhlí na</w:t>
      </w:r>
      <w:r w:rsidRPr="00DC78D3">
        <w:rPr>
          <w:rFonts w:ascii="Arial" w:hAnsi="Arial" w:cs="Arial"/>
          <w:sz w:val="22"/>
          <w:szCs w:val="22"/>
        </w:rPr>
        <w:t xml:space="preserve"> </w:t>
      </w:r>
      <w:r w:rsidR="001A4B49" w:rsidRPr="00DC78D3">
        <w:rPr>
          <w:rFonts w:ascii="Arial" w:hAnsi="Arial" w:cs="Arial"/>
          <w:sz w:val="22"/>
          <w:szCs w:val="22"/>
        </w:rPr>
        <w:t>2 desetinná místa dolů</w:t>
      </w:r>
      <w:r w:rsidRPr="00DC78D3">
        <w:rPr>
          <w:rFonts w:ascii="Arial" w:hAnsi="Arial" w:cs="Arial"/>
          <w:sz w:val="22"/>
          <w:szCs w:val="22"/>
        </w:rPr>
        <w:t>.</w:t>
      </w:r>
    </w:p>
    <w:p w:rsidR="00492761" w:rsidRDefault="00492761" w:rsidP="00DC78D3">
      <w:pPr>
        <w:jc w:val="both"/>
      </w:pPr>
    </w:p>
    <w:p w:rsidR="0071083C" w:rsidRDefault="0071083C" w:rsidP="0071083C">
      <w:pPr>
        <w:jc w:val="both"/>
        <w:rPr>
          <w:i/>
        </w:rPr>
      </w:pPr>
      <w:r w:rsidRPr="00111BAD">
        <w:t xml:space="preserve">Legenda nad tabulkou: </w:t>
      </w:r>
      <w:r w:rsidR="009A66C9" w:rsidRPr="009A66C9">
        <w:rPr>
          <w:i/>
        </w:rPr>
        <w:t xml:space="preserve">Výměra zemědělské </w:t>
      </w:r>
      <w:r w:rsidR="009A66C9">
        <w:rPr>
          <w:i/>
        </w:rPr>
        <w:t xml:space="preserve">půdy </w:t>
      </w:r>
      <w:r w:rsidR="009A66C9" w:rsidRPr="009A66C9">
        <w:rPr>
          <w:i/>
        </w:rPr>
        <w:t xml:space="preserve">podle jednotlivých kategorií pro stanovení zastoupení citlivých plodin a révy vinné za </w:t>
      </w:r>
      <w:r w:rsidR="009A66C9">
        <w:rPr>
          <w:i/>
        </w:rPr>
        <w:t>zdaňovací</w:t>
      </w:r>
      <w:r w:rsidR="0036339E">
        <w:rPr>
          <w:i/>
        </w:rPr>
        <w:t xml:space="preserve"> období.</w:t>
      </w:r>
    </w:p>
    <w:p w:rsidR="009A66C9" w:rsidRPr="009A66C9" w:rsidRDefault="009A66C9" w:rsidP="0071083C">
      <w:pPr>
        <w:jc w:val="both"/>
        <w:rPr>
          <w:i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850"/>
        <w:gridCol w:w="851"/>
        <w:gridCol w:w="992"/>
        <w:gridCol w:w="567"/>
        <w:gridCol w:w="425"/>
        <w:gridCol w:w="709"/>
        <w:gridCol w:w="425"/>
        <w:gridCol w:w="426"/>
        <w:gridCol w:w="425"/>
        <w:gridCol w:w="425"/>
        <w:gridCol w:w="567"/>
        <w:gridCol w:w="425"/>
      </w:tblGrid>
      <w:tr w:rsidR="001C1FA1" w:rsidRPr="006439A5" w:rsidTr="00BA10CD">
        <w:trPr>
          <w:cantSplit/>
          <w:trHeight w:val="2588"/>
        </w:trPr>
        <w:tc>
          <w:tcPr>
            <w:tcW w:w="2439" w:type="dxa"/>
            <w:shd w:val="clear" w:color="auto" w:fill="auto"/>
            <w:textDirection w:val="btLr"/>
            <w:vAlign w:val="center"/>
          </w:tcPr>
          <w:p w:rsidR="00441EC9" w:rsidRPr="00BA10CD" w:rsidRDefault="00441EC9" w:rsidP="00BA10CD">
            <w:pPr>
              <w:ind w:left="113" w:right="113"/>
              <w:rPr>
                <w:rFonts w:ascii="Calibri" w:hAnsi="Calibri" w:cs="Calibri"/>
                <w:b/>
                <w:szCs w:val="22"/>
              </w:rPr>
            </w:pPr>
            <w:r w:rsidRPr="00BA10CD">
              <w:rPr>
                <w:rFonts w:ascii="Calibri" w:hAnsi="Calibri" w:cs="Calibri"/>
                <w:b/>
                <w:szCs w:val="22"/>
              </w:rPr>
              <w:t>Datum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rFonts w:cs="Calibri"/>
                <w:b/>
                <w:sz w:val="24"/>
                <w:szCs w:val="24"/>
              </w:rPr>
            </w:pPr>
            <w:r w:rsidRPr="00BA10CD">
              <w:rPr>
                <w:rFonts w:cs="Calibri"/>
                <w:b/>
                <w:sz w:val="24"/>
                <w:szCs w:val="24"/>
              </w:rPr>
              <w:t>Citlivé plodiny</w:t>
            </w:r>
            <w:r w:rsidR="0064232D" w:rsidRPr="00BA10C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4232D" w:rsidRPr="00BA10CD">
              <w:rPr>
                <w:rFonts w:cs="Calibri"/>
                <w:sz w:val="24"/>
                <w:szCs w:val="24"/>
              </w:rPr>
              <w:t>(uvedené v žádosti)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rFonts w:cs="Calibri"/>
                <w:b/>
                <w:sz w:val="24"/>
                <w:szCs w:val="24"/>
              </w:rPr>
            </w:pPr>
            <w:r w:rsidRPr="00BA10CD">
              <w:rPr>
                <w:rFonts w:cs="Calibri"/>
                <w:b/>
                <w:sz w:val="24"/>
                <w:szCs w:val="24"/>
              </w:rPr>
              <w:t>Výměra s révou vinnou</w:t>
            </w:r>
            <w:r w:rsidR="0064232D" w:rsidRPr="00BA10C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4232D" w:rsidRPr="00BA10CD">
              <w:rPr>
                <w:rFonts w:cs="Calibri"/>
                <w:sz w:val="24"/>
                <w:szCs w:val="24"/>
              </w:rPr>
              <w:t>(vinice)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rFonts w:cs="Calibri"/>
                <w:b/>
                <w:sz w:val="24"/>
                <w:szCs w:val="24"/>
              </w:rPr>
            </w:pPr>
            <w:r w:rsidRPr="00BA10CD">
              <w:rPr>
                <w:rFonts w:cs="Calibri"/>
                <w:b/>
                <w:sz w:val="24"/>
                <w:szCs w:val="24"/>
              </w:rPr>
              <w:t>Výměra orná + trvalá kultura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41EC9" w:rsidRPr="00BA10CD" w:rsidRDefault="00441EC9" w:rsidP="00BA10CD">
            <w:pPr>
              <w:tabs>
                <w:tab w:val="left" w:pos="0"/>
              </w:tabs>
              <w:ind w:left="113" w:right="113"/>
              <w:jc w:val="both"/>
              <w:rPr>
                <w:rFonts w:ascii="Calibri" w:hAnsi="Calibri" w:cs="Calibri"/>
                <w:szCs w:val="22"/>
              </w:rPr>
            </w:pPr>
            <w:r w:rsidRPr="00BA10CD">
              <w:rPr>
                <w:rFonts w:ascii="Calibri" w:hAnsi="Calibri" w:cs="Calibri"/>
              </w:rPr>
              <w:t>R – standardní orná půda</w:t>
            </w:r>
            <w:r w:rsidRPr="00BA10CD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rFonts w:cs="Calibri"/>
                <w:szCs w:val="22"/>
              </w:rPr>
            </w:pPr>
            <w:r w:rsidRPr="00BA10CD">
              <w:rPr>
                <w:rFonts w:cs="Calibri"/>
              </w:rPr>
              <w:t>U - úhor</w:t>
            </w:r>
          </w:p>
          <w:p w:rsidR="00441EC9" w:rsidRPr="00BA10CD" w:rsidRDefault="00441EC9" w:rsidP="00BA10CD">
            <w:pPr>
              <w:ind w:left="113" w:right="113"/>
              <w:rPr>
                <w:rFonts w:ascii="Calibri" w:hAnsi="Calibri" w:cs="Calibri"/>
                <w:szCs w:val="22"/>
              </w:rPr>
            </w:pPr>
            <w:r w:rsidRPr="00BA10CD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ind w:left="26" w:right="113"/>
              <w:rPr>
                <w:rFonts w:ascii="Calibri" w:hAnsi="Calibri" w:cs="Calibri"/>
                <w:bCs/>
                <w:szCs w:val="22"/>
              </w:rPr>
            </w:pPr>
            <w:r w:rsidRPr="00BA10CD">
              <w:rPr>
                <w:rFonts w:ascii="Calibri" w:hAnsi="Calibri" w:cs="Calibri"/>
              </w:rPr>
              <w:t>G – travní porost (na orné pudě)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ind w:left="26" w:right="113"/>
              <w:rPr>
                <w:rFonts w:ascii="Calibri" w:hAnsi="Calibri" w:cs="Calibri"/>
                <w:bCs/>
                <w:szCs w:val="22"/>
              </w:rPr>
            </w:pPr>
            <w:r w:rsidRPr="00BA10CD">
              <w:rPr>
                <w:rFonts w:ascii="Calibri" w:hAnsi="Calibri" w:cs="Calibri"/>
              </w:rPr>
              <w:t>V – vinice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ind w:left="26" w:right="113"/>
              <w:rPr>
                <w:rFonts w:ascii="Calibri" w:hAnsi="Calibri" w:cs="Calibri"/>
                <w:bCs/>
                <w:szCs w:val="22"/>
              </w:rPr>
            </w:pPr>
            <w:r w:rsidRPr="00BA10CD">
              <w:rPr>
                <w:rFonts w:ascii="Calibri" w:hAnsi="Calibri" w:cs="Calibri"/>
              </w:rPr>
              <w:t>C – chmelnice</w:t>
            </w:r>
            <w:r w:rsidRPr="00BA10CD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ind w:left="26" w:right="113"/>
              <w:rPr>
                <w:rFonts w:ascii="Calibri" w:hAnsi="Calibri" w:cs="Calibri"/>
              </w:rPr>
            </w:pPr>
            <w:r w:rsidRPr="00BA10CD">
              <w:rPr>
                <w:rFonts w:ascii="Calibri" w:hAnsi="Calibri" w:cs="Calibri"/>
              </w:rPr>
              <w:t xml:space="preserve">S – sad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ind w:left="41" w:right="113"/>
              <w:rPr>
                <w:rFonts w:ascii="Calibri" w:hAnsi="Calibri" w:cs="Calibri"/>
                <w:bCs/>
                <w:szCs w:val="22"/>
              </w:rPr>
            </w:pPr>
            <w:r w:rsidRPr="00BA10CD">
              <w:rPr>
                <w:rFonts w:ascii="Calibri" w:hAnsi="Calibri" w:cs="Calibri"/>
              </w:rPr>
              <w:t>K – školka</w:t>
            </w:r>
            <w:r w:rsidRPr="00BA10CD">
              <w:rPr>
                <w:rFonts w:ascii="Calibri" w:hAnsi="Calibri" w:cs="Calibri"/>
                <w:bCs/>
                <w:szCs w:val="22"/>
              </w:rPr>
              <w:t xml:space="preserve">  </w:t>
            </w:r>
          </w:p>
          <w:p w:rsidR="00441EC9" w:rsidRPr="00BA10CD" w:rsidRDefault="00441EC9" w:rsidP="00BA10CD">
            <w:pPr>
              <w:ind w:left="113" w:right="113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rFonts w:cs="Calibri"/>
                <w:szCs w:val="22"/>
              </w:rPr>
            </w:pPr>
            <w:r w:rsidRPr="00BA10CD">
              <w:rPr>
                <w:rFonts w:cs="Calibri"/>
              </w:rPr>
              <w:t>J – jiná trvalá kultura</w:t>
            </w:r>
            <w:r w:rsidRPr="00BA10CD">
              <w:rPr>
                <w:rFonts w:cs="Calibri"/>
                <w:szCs w:val="22"/>
              </w:rPr>
              <w:t xml:space="preserve"> </w:t>
            </w:r>
          </w:p>
          <w:p w:rsidR="00441EC9" w:rsidRPr="00BA10CD" w:rsidRDefault="00441EC9" w:rsidP="00BA10CD">
            <w:pPr>
              <w:tabs>
                <w:tab w:val="left" w:pos="0"/>
              </w:tabs>
              <w:ind w:left="10" w:right="113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rFonts w:cs="Calibri"/>
                <w:szCs w:val="22"/>
              </w:rPr>
            </w:pPr>
            <w:r w:rsidRPr="00BA10CD">
              <w:rPr>
                <w:rFonts w:cs="Calibri"/>
              </w:rPr>
              <w:t xml:space="preserve">D – rychle rostoucí dřeviny pěstované </w:t>
            </w:r>
            <w:r w:rsidRPr="00BA10CD">
              <w:rPr>
                <w:rFonts w:cs="Calibri"/>
              </w:rPr>
              <w:br/>
              <w:t>ve výmladkových plantážích</w:t>
            </w:r>
            <w:r w:rsidRPr="00BA10CD">
              <w:rPr>
                <w:rFonts w:cs="Calibri"/>
                <w:szCs w:val="22"/>
              </w:rPr>
              <w:t xml:space="preserve"> ě</w:t>
            </w:r>
          </w:p>
          <w:p w:rsidR="00441EC9" w:rsidRPr="00BA10CD" w:rsidRDefault="00441EC9" w:rsidP="00BA10CD">
            <w:pPr>
              <w:tabs>
                <w:tab w:val="left" w:pos="0"/>
              </w:tabs>
              <w:ind w:left="10" w:right="113"/>
              <w:rPr>
                <w:rFonts w:ascii="Calibri" w:hAnsi="Calibri" w:cs="Calibri"/>
                <w:szCs w:val="22"/>
              </w:rPr>
            </w:pPr>
          </w:p>
        </w:tc>
      </w:tr>
      <w:tr w:rsidR="001C1FA1" w:rsidRPr="0000434F" w:rsidTr="00BA10CD">
        <w:tc>
          <w:tcPr>
            <w:tcW w:w="2439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31.1.2019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6439A5" w:rsidRDefault="00441EC9" w:rsidP="00BA10CD">
            <w:pPr>
              <w:ind w:left="26" w:right="113"/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28.2.2019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6439A5" w:rsidRDefault="00441EC9" w:rsidP="00BA10CD">
            <w:pPr>
              <w:ind w:left="26" w:right="113"/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39" w:type="dxa"/>
            <w:tcBorders>
              <w:bottom w:val="doub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31.3.2019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1EC9" w:rsidRPr="006439A5" w:rsidRDefault="00441EC9" w:rsidP="00BA10CD">
            <w:pPr>
              <w:ind w:left="26" w:right="113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1EC9" w:rsidRPr="00BA10CD" w:rsidRDefault="00441EC9" w:rsidP="007834D7">
            <w:pPr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rPr>
          <w:trHeight w:val="417"/>
        </w:trPr>
        <w:tc>
          <w:tcPr>
            <w:tcW w:w="2439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32D" w:rsidRPr="00BA10CD" w:rsidRDefault="0064232D" w:rsidP="0064232D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Aritmetický průměr výměry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232D" w:rsidRPr="00BA10CD" w:rsidRDefault="0064232D" w:rsidP="00BA10CD">
            <w:pPr>
              <w:pStyle w:val="Zkladntextodsazen"/>
              <w:tabs>
                <w:tab w:val="left" w:pos="0"/>
              </w:tabs>
              <w:ind w:left="10" w:right="113"/>
              <w:jc w:val="center"/>
              <w:rPr>
                <w:b/>
                <w:sz w:val="28"/>
                <w:szCs w:val="28"/>
              </w:rPr>
            </w:pPr>
            <w:r w:rsidRPr="00BA10C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232D" w:rsidRPr="00BA10CD" w:rsidRDefault="0064232D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32D" w:rsidRPr="00BA10CD" w:rsidRDefault="0064232D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6439A5" w:rsidRDefault="0064232D" w:rsidP="00BA10CD">
            <w:pPr>
              <w:ind w:left="26" w:right="113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rPr>
          <w:trHeight w:val="643"/>
        </w:trPr>
        <w:tc>
          <w:tcPr>
            <w:tcW w:w="2439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32D" w:rsidRPr="00BA10CD" w:rsidRDefault="0064232D" w:rsidP="0064232D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Zastoupení citlivých plodin a révy vinné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32D" w:rsidRPr="00BA10CD" w:rsidRDefault="0064232D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BA10CD">
            <w:pPr>
              <w:pStyle w:val="Zkladntextodsazen"/>
              <w:tabs>
                <w:tab w:val="left" w:pos="0"/>
              </w:tabs>
              <w:ind w:left="10" w:right="113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6439A5" w:rsidRDefault="0064232D" w:rsidP="00BA10CD">
            <w:pPr>
              <w:ind w:left="26" w:right="11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2D" w:rsidRPr="00BA10CD" w:rsidRDefault="0064232D" w:rsidP="007834D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13DE" w:rsidRDefault="008013DE" w:rsidP="008013DE"/>
    <w:p w:rsidR="008013DE" w:rsidRDefault="00272576" w:rsidP="008013DE">
      <w:r>
        <w:t xml:space="preserve">Z údaje </w:t>
      </w:r>
      <w:r w:rsidR="00352B3A">
        <w:t>C</w:t>
      </w:r>
      <w:r>
        <w:t xml:space="preserve">itlivé plodiny bude prolink na </w:t>
      </w:r>
      <w:r w:rsidR="00340B03">
        <w:t>Dotace</w:t>
      </w:r>
      <w:r w:rsidR="00352B3A">
        <w:t>-JŽ-VCS</w:t>
      </w:r>
      <w:r w:rsidR="00340B03">
        <w:t xml:space="preserve">, kde jsou zobrazeny výměry </w:t>
      </w:r>
      <w:r w:rsidR="00352B3A">
        <w:t xml:space="preserve">za jednotlivé druhy dobrovolných podpor vázaných na produkci. </w:t>
      </w:r>
    </w:p>
    <w:p w:rsidR="00751800" w:rsidRDefault="00751800" w:rsidP="008013DE"/>
    <w:p w:rsidR="00751800" w:rsidRDefault="00751800" w:rsidP="008013DE">
      <w:r>
        <w:t>Obdobně se bude postupovat i v případě stanovení ročního poměru CP s tím rozdílem, že do výpočtu vstupuje 12 hodnot.</w:t>
      </w:r>
    </w:p>
    <w:p w:rsidR="00352B3A" w:rsidRDefault="00352B3A" w:rsidP="00352B3A">
      <w:pPr>
        <w:jc w:val="both"/>
      </w:pPr>
      <w:r>
        <w:t xml:space="preserve">Po ukončení výpočtu </w:t>
      </w:r>
      <w:r w:rsidR="00B92DD3">
        <w:t>v tabulce datových sad ve sloupci ‚Tisky‘</w:t>
      </w:r>
      <w:r>
        <w:t xml:space="preserve"> bude </w:t>
      </w:r>
      <w:r w:rsidR="00B92DD3">
        <w:t>vytvořen</w:t>
      </w:r>
      <w:r>
        <w:t xml:space="preserve"> doklad o provedeném výpočtu </w:t>
      </w:r>
      <w:r w:rsidR="00B92DD3">
        <w:t>v</w:t>
      </w:r>
      <w:r>
        <w:t xml:space="preserve"> PDF </w:t>
      </w:r>
      <w:r w:rsidR="00B92DD3">
        <w:t xml:space="preserve">formátu pro tisk. </w:t>
      </w:r>
      <w:r>
        <w:t>Pro každý výpočet lze tisk opakovat, musí být zajištěno, že tisk obsahuje vždy totožná data identifikovaná jednoznačným ID datové sady.</w:t>
      </w:r>
    </w:p>
    <w:p w:rsidR="00352B3A" w:rsidRPr="005B452B" w:rsidRDefault="00352B3A" w:rsidP="00352B3A"/>
    <w:bookmarkStart w:id="1" w:name="_MON_1613030657"/>
    <w:bookmarkEnd w:id="1"/>
    <w:p w:rsidR="00352B3A" w:rsidRPr="001B1313" w:rsidRDefault="00352B3A" w:rsidP="00352B3A">
      <w: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20210358" r:id="rId9">
            <o:FieldCodes>\s</o:FieldCodes>
          </o:OLEObject>
        </w:object>
      </w:r>
    </w:p>
    <w:p w:rsidR="00D70449" w:rsidRDefault="00D70449" w:rsidP="00B92DD3">
      <w:pPr>
        <w:pStyle w:val="Nadpis4"/>
        <w:rPr>
          <w:rFonts w:cs="Arial"/>
          <w:szCs w:val="22"/>
        </w:rPr>
      </w:pPr>
      <w:r>
        <w:rPr>
          <w:rFonts w:cs="Arial"/>
          <w:szCs w:val="22"/>
        </w:rPr>
        <w:lastRenderedPageBreak/>
        <w:t>Ošetření neexistence dat ze SZIF</w:t>
      </w:r>
    </w:p>
    <w:p w:rsidR="00751800" w:rsidRPr="00751800" w:rsidRDefault="00751800" w:rsidP="00751800">
      <w:r>
        <w:t>V případě, že žadatel nebude mít ještě k dispozici replikovaná data JŽ ze SZIF bude při spuštění výpočtu na tuto situaci upozorněn, ale nebude mu to bránit ve výpočtu – do výměry VCS plateb bude vstupovat v takovém případě 0.</w:t>
      </w:r>
    </w:p>
    <w:p w:rsidR="00D70449" w:rsidRPr="00D70449" w:rsidRDefault="00D70449" w:rsidP="00D70449"/>
    <w:p w:rsidR="00EC44C4" w:rsidRDefault="00385734" w:rsidP="00B92DD3">
      <w:pPr>
        <w:pStyle w:val="Nadpis2"/>
        <w:numPr>
          <w:ilvl w:val="2"/>
          <w:numId w:val="2"/>
        </w:numPr>
      </w:pPr>
      <w:r>
        <w:t>Spotřeba</w:t>
      </w:r>
      <w:r w:rsidR="00EC44C4">
        <w:t xml:space="preserve"> dle normativů</w:t>
      </w:r>
      <w:r w:rsidR="00751800">
        <w:t xml:space="preserve"> za kalendářní rok</w:t>
      </w:r>
    </w:p>
    <w:p w:rsidR="00E0044C" w:rsidRDefault="00376D41" w:rsidP="00376D4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 w:rsidRPr="00376D41">
        <w:rPr>
          <w:szCs w:val="22"/>
        </w:rPr>
        <w:t xml:space="preserve">Pokud si subjekt zvolí pro </w:t>
      </w:r>
      <w:r w:rsidRPr="00376D41">
        <w:rPr>
          <w:rFonts w:cs="Arial"/>
          <w:color w:val="000000"/>
          <w:szCs w:val="22"/>
          <w:lang w:eastAsia="cs-CZ"/>
        </w:rPr>
        <w:t>prokázání vzniku nároku na vrácení daně</w:t>
      </w:r>
      <w:r>
        <w:rPr>
          <w:rFonts w:cs="Arial"/>
          <w:color w:val="000000"/>
          <w:szCs w:val="22"/>
          <w:lang w:eastAsia="cs-CZ"/>
        </w:rPr>
        <w:t xml:space="preserve"> </w:t>
      </w:r>
      <w:r w:rsidRPr="00FE1F79">
        <w:rPr>
          <w:b/>
          <w:szCs w:val="22"/>
        </w:rPr>
        <w:t xml:space="preserve">výpočet spotřeby minerálních olejů dle </w:t>
      </w:r>
      <w:r>
        <w:rPr>
          <w:b/>
          <w:szCs w:val="22"/>
        </w:rPr>
        <w:t>r</w:t>
      </w:r>
      <w:r w:rsidRPr="00FE1F79">
        <w:rPr>
          <w:b/>
          <w:szCs w:val="22"/>
        </w:rPr>
        <w:t>očních normativů</w:t>
      </w:r>
      <w:r w:rsidRPr="00376D41">
        <w:rPr>
          <w:rFonts w:cs="Arial"/>
          <w:color w:val="000000"/>
          <w:szCs w:val="22"/>
          <w:lang w:eastAsia="cs-CZ"/>
        </w:rPr>
        <w:t>, prokazuje spotřebu minerálních olejů na základě dokladu z</w:t>
      </w:r>
      <w:r w:rsidR="00E0044C">
        <w:rPr>
          <w:rFonts w:cs="Arial"/>
          <w:color w:val="000000"/>
          <w:szCs w:val="22"/>
          <w:lang w:eastAsia="cs-CZ"/>
        </w:rPr>
        <w:t> </w:t>
      </w:r>
      <w:r w:rsidR="001E65E1">
        <w:rPr>
          <w:rFonts w:cs="Arial"/>
          <w:color w:val="000000"/>
          <w:szCs w:val="22"/>
          <w:lang w:eastAsia="cs-CZ"/>
        </w:rPr>
        <w:t>LPIS</w:t>
      </w:r>
      <w:r w:rsidR="00E0044C">
        <w:rPr>
          <w:rFonts w:cs="Arial"/>
          <w:color w:val="000000"/>
          <w:szCs w:val="22"/>
          <w:lang w:eastAsia="cs-CZ"/>
        </w:rPr>
        <w:t>.</w:t>
      </w:r>
      <w:r w:rsidRPr="00376D41">
        <w:rPr>
          <w:rFonts w:cs="Arial"/>
          <w:color w:val="000000"/>
          <w:szCs w:val="22"/>
          <w:lang w:eastAsia="cs-CZ"/>
        </w:rPr>
        <w:t xml:space="preserve"> </w:t>
      </w:r>
      <w:r w:rsidR="00E0044C">
        <w:rPr>
          <w:rFonts w:cs="Arial"/>
          <w:color w:val="000000"/>
          <w:szCs w:val="22"/>
          <w:lang w:eastAsia="cs-CZ"/>
        </w:rPr>
        <w:t xml:space="preserve">Na tomto dokladu bude uvedena spotřeba v litrech, která byla vypočítána v LPIS na základě výměry a podílů ročního normativu stanovených pro každý kalendářní měsíc a pro každou kategorii podle druhu zemědělské kultury. </w:t>
      </w:r>
    </w:p>
    <w:p w:rsidR="00376D41" w:rsidRDefault="00376D41" w:rsidP="00376D4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P</w:t>
      </w:r>
      <w:r w:rsidRPr="00855F52">
        <w:rPr>
          <w:rFonts w:cs="Arial"/>
          <w:color w:val="000000"/>
          <w:szCs w:val="22"/>
          <w:lang w:eastAsia="cs-CZ"/>
        </w:rPr>
        <w:t xml:space="preserve">ro tento </w:t>
      </w:r>
      <w:r w:rsidR="00F207A3">
        <w:rPr>
          <w:rFonts w:cs="Arial"/>
          <w:color w:val="000000"/>
          <w:szCs w:val="22"/>
          <w:lang w:eastAsia="cs-CZ"/>
        </w:rPr>
        <w:t>typ výpočtu</w:t>
      </w:r>
      <w:r w:rsidRPr="00855F52">
        <w:rPr>
          <w:rFonts w:cs="Arial"/>
          <w:color w:val="000000"/>
          <w:szCs w:val="22"/>
          <w:lang w:eastAsia="cs-CZ"/>
        </w:rPr>
        <w:t xml:space="preserve"> je vždy </w:t>
      </w:r>
      <w:r w:rsidRPr="00855F52">
        <w:rPr>
          <w:rFonts w:cs="Arial"/>
          <w:b/>
          <w:color w:val="000000"/>
          <w:szCs w:val="22"/>
          <w:lang w:eastAsia="cs-CZ"/>
        </w:rPr>
        <w:t>zdaňovacím obdobím kalendářní rok</w:t>
      </w:r>
      <w:r w:rsidR="00340B03">
        <w:rPr>
          <w:rFonts w:cs="Arial"/>
          <w:b/>
          <w:color w:val="000000"/>
          <w:szCs w:val="22"/>
          <w:lang w:eastAsia="cs-CZ"/>
        </w:rPr>
        <w:t>.</w:t>
      </w:r>
    </w:p>
    <w:p w:rsidR="00582A99" w:rsidRDefault="00582A99" w:rsidP="00582A99">
      <w:pPr>
        <w:pStyle w:val="Nadpis4"/>
      </w:pPr>
      <w:r w:rsidRPr="00582A99">
        <w:t>Kategorie podle druhu ZP a výše ročních normativů</w:t>
      </w:r>
    </w:p>
    <w:p w:rsidR="00340B03" w:rsidRPr="000A4FF0" w:rsidRDefault="00340B03" w:rsidP="001B1625">
      <w:pPr>
        <w:shd w:val="clear" w:color="auto" w:fill="FFFFFF"/>
        <w:jc w:val="center"/>
        <w:rPr>
          <w:rFonts w:cs="Arial"/>
          <w:bCs/>
          <w:szCs w:val="22"/>
          <w:lang w:eastAsia="cs-CZ"/>
        </w:rPr>
      </w:pPr>
      <w:r w:rsidRPr="000A4FF0">
        <w:rPr>
          <w:rFonts w:cs="Arial"/>
          <w:bCs/>
          <w:szCs w:val="22"/>
        </w:rPr>
        <w:t>Výše ročních normativů minimální spotřeby minerálních olejů a jejich kategorie</w:t>
      </w:r>
      <w:r w:rsidR="000A4FF0" w:rsidRPr="000A4FF0">
        <w:rPr>
          <w:rFonts w:cs="Arial"/>
          <w:bCs/>
          <w:szCs w:val="22"/>
        </w:rPr>
        <w:t xml:space="preserve"> </w:t>
      </w:r>
      <w:r w:rsidR="000A4FF0">
        <w:rPr>
          <w:rFonts w:cs="Arial"/>
          <w:bCs/>
          <w:szCs w:val="22"/>
        </w:rPr>
        <w:br/>
      </w:r>
      <w:r w:rsidR="000A4FF0" w:rsidRPr="000A4FF0">
        <w:rPr>
          <w:rFonts w:cs="Arial"/>
          <w:bCs/>
          <w:szCs w:val="22"/>
        </w:rPr>
        <w:t>dle Přílohy č. 2 k</w:t>
      </w:r>
      <w:r w:rsidR="005F67F6">
        <w:rPr>
          <w:rFonts w:cs="Arial"/>
          <w:bCs/>
          <w:szCs w:val="22"/>
        </w:rPr>
        <w:t> </w:t>
      </w:r>
      <w:r w:rsidR="000A4FF0" w:rsidRPr="000A4FF0">
        <w:rPr>
          <w:rFonts w:cs="Arial"/>
          <w:bCs/>
          <w:szCs w:val="22"/>
        </w:rPr>
        <w:t>vyhlášce</w:t>
      </w:r>
      <w:r w:rsidR="005F67F6">
        <w:rPr>
          <w:rFonts w:cs="Arial"/>
          <w:bCs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340B03" w:rsidTr="00BA10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center"/>
              <w:rPr>
                <w:rFonts w:cs="Arial"/>
                <w:b/>
                <w:szCs w:val="22"/>
              </w:rPr>
            </w:pPr>
            <w:r w:rsidRPr="00BA10CD">
              <w:rPr>
                <w:rFonts w:cs="Arial"/>
                <w:b/>
              </w:rPr>
              <w:t>Kategorie podle druhu zemědělské kultury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center"/>
              <w:rPr>
                <w:rFonts w:cs="Arial"/>
                <w:b/>
              </w:rPr>
            </w:pPr>
            <w:r w:rsidRPr="00BA10CD">
              <w:rPr>
                <w:rFonts w:cs="Arial"/>
                <w:b/>
              </w:rPr>
              <w:t>Roční normativ minimální spotřeby minerálních olejů (l / 1 ha)</w:t>
            </w:r>
          </w:p>
        </w:tc>
      </w:tr>
      <w:tr w:rsidR="00340B03" w:rsidTr="00BA10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orná půda s okopaninami, zeleninou nebo jahodníkem, na které je poskytována dobrovolná podpora vázaná na produkci podle nařízení vlády upravujícího stanovení některých podmínek poskytování přímých plateb zemědělcům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 xml:space="preserve">174 </w:t>
            </w:r>
          </w:p>
        </w:tc>
      </w:tr>
      <w:tr w:rsidR="00340B03" w:rsidTr="00BA10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 xml:space="preserve">ostatní orná půda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90</w:t>
            </w:r>
          </w:p>
        </w:tc>
      </w:tr>
      <w:tr w:rsidR="00340B03" w:rsidTr="00BA10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trvalý travní porost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 xml:space="preserve">43 </w:t>
            </w:r>
          </w:p>
        </w:tc>
      </w:tr>
      <w:tr w:rsidR="00340B03" w:rsidTr="00BA10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trvalá kultura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 xml:space="preserve">212 </w:t>
            </w:r>
          </w:p>
        </w:tc>
      </w:tr>
    </w:tbl>
    <w:p w:rsidR="00340B03" w:rsidRDefault="00340B03" w:rsidP="00376D4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</w:p>
    <w:p w:rsidR="00582A99" w:rsidRPr="00582A99" w:rsidRDefault="00582A99" w:rsidP="00376D4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u w:val="single"/>
          <w:lang w:eastAsia="cs-CZ"/>
        </w:rPr>
      </w:pPr>
      <w:r>
        <w:rPr>
          <w:rFonts w:cs="Arial"/>
          <w:b/>
          <w:u w:val="single"/>
        </w:rPr>
        <w:t>O</w:t>
      </w:r>
      <w:r w:rsidRPr="00582A99">
        <w:rPr>
          <w:rFonts w:cs="Arial"/>
          <w:b/>
          <w:u w:val="single"/>
        </w:rPr>
        <w:t>rná půda s okopaninami, zeleninou nebo jahodníkem</w:t>
      </w:r>
    </w:p>
    <w:p w:rsidR="00C879F1" w:rsidRDefault="005F67F6" w:rsidP="005F67F6">
      <w:pPr>
        <w:pStyle w:val="Textodstavce"/>
        <w:tabs>
          <w:tab w:val="clear" w:pos="851"/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 § 3 odst. 2 - p</w:t>
      </w:r>
      <w:r w:rsidR="00C879F1" w:rsidRPr="00D36F5D">
        <w:rPr>
          <w:rFonts w:ascii="Arial" w:hAnsi="Arial" w:cs="Arial"/>
          <w:sz w:val="22"/>
          <w:szCs w:val="22"/>
        </w:rPr>
        <w:t xml:space="preserve">ro účely určení kategorie normativu </w:t>
      </w:r>
      <w:r w:rsidR="00311EA9">
        <w:rPr>
          <w:rFonts w:ascii="Arial" w:hAnsi="Arial" w:cs="Arial"/>
          <w:sz w:val="22"/>
          <w:szCs w:val="22"/>
        </w:rPr>
        <w:t>„</w:t>
      </w:r>
      <w:r w:rsidR="00C879F1" w:rsidRPr="00D36F5D">
        <w:rPr>
          <w:rFonts w:ascii="Arial" w:hAnsi="Arial" w:cs="Arial"/>
          <w:sz w:val="22"/>
          <w:szCs w:val="22"/>
        </w:rPr>
        <w:t>orná půda s</w:t>
      </w:r>
      <w:r w:rsidR="00C879F1">
        <w:rPr>
          <w:rFonts w:ascii="Arial" w:hAnsi="Arial" w:cs="Arial"/>
          <w:sz w:val="22"/>
          <w:szCs w:val="22"/>
        </w:rPr>
        <w:t> </w:t>
      </w:r>
      <w:r w:rsidR="00C879F1" w:rsidRPr="00D36F5D">
        <w:rPr>
          <w:rFonts w:ascii="Arial" w:hAnsi="Arial" w:cs="Arial"/>
          <w:sz w:val="22"/>
          <w:szCs w:val="22"/>
        </w:rPr>
        <w:t>okopaninami</w:t>
      </w:r>
      <w:r w:rsidR="00C879F1">
        <w:rPr>
          <w:rFonts w:ascii="Arial" w:hAnsi="Arial" w:cs="Arial"/>
          <w:sz w:val="22"/>
          <w:szCs w:val="22"/>
        </w:rPr>
        <w:t>,</w:t>
      </w:r>
      <w:r w:rsidR="00C879F1" w:rsidRPr="00D36F5D">
        <w:rPr>
          <w:rFonts w:ascii="Arial" w:hAnsi="Arial" w:cs="Arial"/>
          <w:sz w:val="22"/>
          <w:szCs w:val="22"/>
        </w:rPr>
        <w:t xml:space="preserve"> zeleninou</w:t>
      </w:r>
      <w:r w:rsidR="00C879F1">
        <w:rPr>
          <w:rFonts w:ascii="Arial" w:hAnsi="Arial" w:cs="Arial"/>
          <w:sz w:val="22"/>
          <w:szCs w:val="22"/>
        </w:rPr>
        <w:t xml:space="preserve"> nebo jahodníkem</w:t>
      </w:r>
      <w:r>
        <w:rPr>
          <w:rFonts w:ascii="Arial" w:hAnsi="Arial" w:cs="Arial"/>
          <w:sz w:val="22"/>
          <w:szCs w:val="22"/>
        </w:rPr>
        <w:t>‘</w:t>
      </w:r>
      <w:r w:rsidR="00C879F1" w:rsidRPr="00D36F5D">
        <w:rPr>
          <w:rFonts w:ascii="Arial" w:hAnsi="Arial" w:cs="Arial"/>
          <w:sz w:val="22"/>
          <w:szCs w:val="22"/>
        </w:rPr>
        <w:t>, na které je poskytována dobrovolná podpora vázaná na produkci podle nařízení vlády upravujícího stanovení některých podmínek poskytování přímých plateb zemědělcům</w:t>
      </w:r>
      <w:r w:rsidR="00311EA9">
        <w:rPr>
          <w:rFonts w:ascii="Arial" w:hAnsi="Arial" w:cs="Arial"/>
          <w:sz w:val="22"/>
          <w:szCs w:val="22"/>
        </w:rPr>
        <w:t>“</w:t>
      </w:r>
      <w:r w:rsidR="00C879F1" w:rsidRPr="00D36F5D">
        <w:rPr>
          <w:rFonts w:ascii="Arial" w:hAnsi="Arial" w:cs="Arial"/>
          <w:sz w:val="22"/>
          <w:szCs w:val="22"/>
        </w:rPr>
        <w:t>, platí, že do této kategorie normativu patří zemědělská půda s druhem zemědělské kultury orná půda, jejíž výměra je výměrou zemědělské půdy s citlivými plodinami podle § 6 odst. 3, jsou-li těmito citlivými plodinami okopaniny, zelenina nebo jahodník. Okopaninami se</w:t>
      </w:r>
      <w:r w:rsidR="00C879F1">
        <w:rPr>
          <w:rFonts w:ascii="Arial" w:hAnsi="Arial" w:cs="Arial"/>
          <w:sz w:val="22"/>
          <w:szCs w:val="22"/>
        </w:rPr>
        <w:t xml:space="preserve"> </w:t>
      </w:r>
      <w:r w:rsidR="00C879F1" w:rsidRPr="00D36F5D">
        <w:rPr>
          <w:rFonts w:ascii="Arial" w:hAnsi="Arial" w:cs="Arial"/>
          <w:sz w:val="22"/>
          <w:szCs w:val="22"/>
        </w:rPr>
        <w:t>rozumí brambory určené pro výrobu škrobu, konzumní brambory a cukrová řepa.</w:t>
      </w:r>
    </w:p>
    <w:p w:rsidR="00C879F1" w:rsidRPr="00311EA9" w:rsidRDefault="00311EA9" w:rsidP="00C879F1">
      <w:pPr>
        <w:shd w:val="clear" w:color="auto" w:fill="FFFFFF"/>
        <w:spacing w:after="0"/>
        <w:jc w:val="both"/>
        <w:rPr>
          <w:rFonts w:cs="Arial"/>
          <w:b/>
          <w:bCs/>
          <w:color w:val="000000"/>
          <w:szCs w:val="22"/>
          <w:lang w:eastAsia="cs-CZ"/>
        </w:rPr>
      </w:pPr>
      <w:r w:rsidRPr="00311EA9">
        <w:rPr>
          <w:rFonts w:cs="Arial"/>
          <w:b/>
          <w:bCs/>
          <w:color w:val="000000"/>
          <w:szCs w:val="22"/>
          <w:lang w:eastAsia="cs-CZ"/>
        </w:rPr>
        <w:t>Pro tuto kategorii bude výměra stanovena jako součet výměr ze žádostí následujících druhů</w:t>
      </w:r>
      <w:r w:rsidR="00C879F1" w:rsidRPr="00311EA9">
        <w:rPr>
          <w:rFonts w:cs="Arial"/>
          <w:b/>
          <w:bCs/>
          <w:color w:val="000000"/>
          <w:szCs w:val="22"/>
          <w:lang w:eastAsia="cs-CZ"/>
        </w:rPr>
        <w:t xml:space="preserve"> dobrovolných podpor vázaných na produkci</w:t>
      </w:r>
      <w:r w:rsidRPr="00311EA9">
        <w:rPr>
          <w:rFonts w:cs="Arial"/>
          <w:b/>
          <w:bCs/>
          <w:color w:val="000000"/>
          <w:szCs w:val="22"/>
          <w:lang w:eastAsia="cs-CZ"/>
        </w:rPr>
        <w:t xml:space="preserve"> (VCS):</w:t>
      </w:r>
    </w:p>
    <w:p w:rsidR="00C879F1" w:rsidRDefault="00C879F1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bCs/>
          <w:color w:val="000000"/>
          <w:szCs w:val="22"/>
          <w:lang w:eastAsia="cs-CZ"/>
        </w:rPr>
      </w:pPr>
      <w:r w:rsidRPr="005E537C">
        <w:rPr>
          <w:rFonts w:cs="Arial"/>
          <w:bCs/>
          <w:color w:val="000000"/>
          <w:szCs w:val="22"/>
          <w:lang w:eastAsia="cs-CZ"/>
        </w:rPr>
        <w:t>podpora na produkci brambor určených pro výrobu škrobu,</w:t>
      </w:r>
    </w:p>
    <w:p w:rsidR="00C879F1" w:rsidRPr="005E537C" w:rsidRDefault="00C879F1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konzumních brambor,</w:t>
      </w:r>
    </w:p>
    <w:p w:rsidR="00C879F1" w:rsidRPr="005E537C" w:rsidRDefault="00C879F1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cukrové řepy,</w:t>
      </w:r>
    </w:p>
    <w:p w:rsidR="00C879F1" w:rsidRPr="00C879F1" w:rsidRDefault="00C879F1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bCs/>
          <w:color w:val="000000"/>
          <w:szCs w:val="22"/>
          <w:lang w:eastAsia="cs-CZ"/>
        </w:rPr>
      </w:pPr>
      <w:r w:rsidRPr="00C879F1">
        <w:rPr>
          <w:rFonts w:cs="Arial"/>
          <w:color w:val="000000"/>
          <w:szCs w:val="22"/>
          <w:lang w:eastAsia="cs-CZ"/>
        </w:rPr>
        <w:t>podpora na produkci ovo</w:t>
      </w:r>
      <w:r>
        <w:rPr>
          <w:rFonts w:cs="Arial"/>
          <w:color w:val="000000"/>
          <w:szCs w:val="22"/>
          <w:lang w:eastAsia="cs-CZ"/>
        </w:rPr>
        <w:t xml:space="preserve">cných druhů s vysokou pracností – pouze </w:t>
      </w:r>
      <w:r w:rsidR="00311EA9">
        <w:rPr>
          <w:rFonts w:cs="Arial"/>
          <w:color w:val="000000"/>
          <w:szCs w:val="22"/>
          <w:lang w:eastAsia="cs-CZ"/>
        </w:rPr>
        <w:t xml:space="preserve">ovocný </w:t>
      </w:r>
      <w:r>
        <w:rPr>
          <w:rFonts w:cs="Arial"/>
          <w:color w:val="000000"/>
          <w:szCs w:val="22"/>
          <w:lang w:eastAsia="cs-CZ"/>
        </w:rPr>
        <w:t>druh JAHODNÍK</w:t>
      </w:r>
    </w:p>
    <w:p w:rsidR="00C879F1" w:rsidRPr="005E537C" w:rsidRDefault="00C879F1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zeleninových druhů s velmi vysokou pracností,</w:t>
      </w:r>
    </w:p>
    <w:p w:rsidR="00C879F1" w:rsidRDefault="00C879F1" w:rsidP="00A63961">
      <w:pPr>
        <w:pStyle w:val="Odstavecseseznamem"/>
        <w:numPr>
          <w:ilvl w:val="0"/>
          <w:numId w:val="19"/>
        </w:numPr>
        <w:shd w:val="clear" w:color="auto" w:fill="FFFFFF"/>
        <w:spacing w:after="0"/>
        <w:jc w:val="both"/>
        <w:rPr>
          <w:rFonts w:cs="Arial"/>
          <w:color w:val="000000"/>
          <w:szCs w:val="22"/>
          <w:lang w:eastAsia="cs-CZ"/>
        </w:rPr>
      </w:pPr>
      <w:r w:rsidRPr="005E537C">
        <w:rPr>
          <w:rFonts w:cs="Arial"/>
          <w:color w:val="000000"/>
          <w:szCs w:val="22"/>
          <w:lang w:eastAsia="cs-CZ"/>
        </w:rPr>
        <w:t>podpora na produkci zeleninových druhů s vysokou pracností</w:t>
      </w:r>
    </w:p>
    <w:p w:rsidR="00C879F1" w:rsidRPr="00D36F5D" w:rsidRDefault="00C879F1" w:rsidP="00C879F1">
      <w:pPr>
        <w:pStyle w:val="Textodstavce"/>
        <w:tabs>
          <w:tab w:val="clear" w:pos="851"/>
          <w:tab w:val="left" w:pos="0"/>
        </w:tabs>
        <w:spacing w:before="0" w:after="0"/>
        <w:ind w:firstLine="426"/>
        <w:rPr>
          <w:rFonts w:ascii="Arial" w:hAnsi="Arial" w:cs="Arial"/>
          <w:sz w:val="22"/>
          <w:szCs w:val="22"/>
        </w:rPr>
      </w:pPr>
    </w:p>
    <w:p w:rsidR="00340B03" w:rsidRDefault="00582A99" w:rsidP="00376D41">
      <w:pPr>
        <w:widowControl w:val="0"/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O</w:t>
      </w:r>
      <w:r w:rsidRPr="00582A99">
        <w:rPr>
          <w:rFonts w:cs="Arial"/>
          <w:b/>
          <w:u w:val="single"/>
        </w:rPr>
        <w:t>statní orná půda</w:t>
      </w:r>
    </w:p>
    <w:p w:rsidR="00582A99" w:rsidRPr="00751800" w:rsidRDefault="00751800" w:rsidP="00376D4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 w:rsidRPr="00751800">
        <w:rPr>
          <w:rFonts w:cs="Arial"/>
          <w:color w:val="000000"/>
          <w:szCs w:val="22"/>
          <w:lang w:eastAsia="cs-CZ"/>
        </w:rPr>
        <w:t>O</w:t>
      </w:r>
      <w:r w:rsidR="00582A99" w:rsidRPr="00751800">
        <w:rPr>
          <w:rFonts w:cs="Arial"/>
          <w:color w:val="000000"/>
          <w:szCs w:val="22"/>
          <w:lang w:eastAsia="cs-CZ"/>
        </w:rPr>
        <w:t>d výměry níže uvedených kultur se odečte výměra orné půdy s okopaninami, zeleninou a jahodníkem = ostatní orná půda.</w:t>
      </w:r>
    </w:p>
    <w:p w:rsidR="00582A99" w:rsidRPr="00751800" w:rsidRDefault="00582A9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51800">
        <w:t>R – standardní orná půda</w:t>
      </w:r>
    </w:p>
    <w:p w:rsidR="00582A99" w:rsidRPr="00751800" w:rsidRDefault="00582A9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51800">
        <w:t>U – úhor</w:t>
      </w:r>
    </w:p>
    <w:p w:rsidR="00582A99" w:rsidRPr="00751800" w:rsidRDefault="00582A9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51800">
        <w:lastRenderedPageBreak/>
        <w:t>G – travní porost (na orné pudě)</w:t>
      </w:r>
      <w:r w:rsidR="00751800" w:rsidRPr="00751800">
        <w:t>.</w:t>
      </w:r>
    </w:p>
    <w:p w:rsidR="00751800" w:rsidRPr="0036339E" w:rsidRDefault="00751800" w:rsidP="00751800">
      <w:pPr>
        <w:autoSpaceDE w:val="0"/>
        <w:autoSpaceDN w:val="0"/>
        <w:adjustRightInd w:val="0"/>
        <w:spacing w:after="0"/>
        <w:jc w:val="both"/>
        <w:rPr>
          <w:i/>
        </w:rPr>
      </w:pPr>
      <w:r w:rsidRPr="0036339E">
        <w:rPr>
          <w:i/>
        </w:rPr>
        <w:t>Pozn: Musí přitom platit, že k poslednímu dni příslušného kalendářního měsíce je vždy suma výměry orné půdy s okopaninami, zeleninou a jahodníkem  a výměra ostatní orné půdy rovna sumě výměry R,U,G, přičemž POZOR kultura se posuzuje dle pravidla uvedeného v následující kapitole.</w:t>
      </w:r>
    </w:p>
    <w:p w:rsidR="00751800" w:rsidRPr="00790E88" w:rsidRDefault="00751800" w:rsidP="00751800">
      <w:pPr>
        <w:autoSpaceDE w:val="0"/>
        <w:autoSpaceDN w:val="0"/>
        <w:adjustRightInd w:val="0"/>
        <w:spacing w:after="0"/>
        <w:jc w:val="both"/>
      </w:pPr>
    </w:p>
    <w:p w:rsidR="00311EA9" w:rsidRPr="00790E88" w:rsidRDefault="00311EA9" w:rsidP="00311EA9">
      <w:pPr>
        <w:autoSpaceDE w:val="0"/>
        <w:autoSpaceDN w:val="0"/>
        <w:adjustRightInd w:val="0"/>
        <w:spacing w:after="0"/>
        <w:jc w:val="both"/>
      </w:pPr>
      <w:r w:rsidRPr="00311EA9">
        <w:rPr>
          <w:rFonts w:cs="Arial"/>
          <w:b/>
          <w:color w:val="000000"/>
          <w:szCs w:val="22"/>
          <w:u w:val="single"/>
          <w:lang w:eastAsia="cs-CZ"/>
        </w:rPr>
        <w:t xml:space="preserve">Trvalý travní porost </w:t>
      </w:r>
      <w:r w:rsidRPr="00311EA9">
        <w:rPr>
          <w:rFonts w:cs="Arial"/>
          <w:color w:val="000000"/>
          <w:szCs w:val="22"/>
          <w:lang w:eastAsia="cs-CZ"/>
        </w:rPr>
        <w:t xml:space="preserve">= </w:t>
      </w:r>
      <w:r w:rsidRPr="00790E88">
        <w:t>T – trvalý travní porost</w:t>
      </w:r>
    </w:p>
    <w:p w:rsidR="00582A99" w:rsidRPr="00311EA9" w:rsidRDefault="00311EA9" w:rsidP="00376D4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u w:val="single"/>
          <w:lang w:eastAsia="cs-CZ"/>
        </w:rPr>
      </w:pPr>
      <w:r w:rsidRPr="00311EA9">
        <w:rPr>
          <w:rFonts w:cs="Arial"/>
          <w:b/>
          <w:color w:val="000000"/>
          <w:szCs w:val="22"/>
          <w:u w:val="single"/>
          <w:lang w:eastAsia="cs-CZ"/>
        </w:rPr>
        <w:t>Trvalá kultura</w:t>
      </w:r>
    </w:p>
    <w:p w:rsidR="00311EA9" w:rsidRPr="00790E88" w:rsidRDefault="00311EA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V – vinice</w:t>
      </w:r>
    </w:p>
    <w:p w:rsidR="00311EA9" w:rsidRPr="00790E88" w:rsidRDefault="00311EA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C – chmelnice</w:t>
      </w:r>
    </w:p>
    <w:p w:rsidR="00311EA9" w:rsidRPr="00790E88" w:rsidRDefault="00311EA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S – sad</w:t>
      </w:r>
    </w:p>
    <w:p w:rsidR="00311EA9" w:rsidRPr="00790E88" w:rsidRDefault="00311EA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K – školka</w:t>
      </w:r>
    </w:p>
    <w:p w:rsidR="00311EA9" w:rsidRPr="00790E88" w:rsidRDefault="00311EA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 w:rsidRPr="00790E88">
        <w:t>J – jiná trvalá kultura</w:t>
      </w:r>
    </w:p>
    <w:p w:rsidR="00311EA9" w:rsidRDefault="00311EA9" w:rsidP="00A639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</w:pPr>
      <w:r>
        <w:t>D – rychle rostoucí dřeviny pě</w:t>
      </w:r>
      <w:r w:rsidRPr="00790E88">
        <w:t>stované ve výmladkových plantážích</w:t>
      </w:r>
    </w:p>
    <w:p w:rsidR="00311EA9" w:rsidRPr="00582A99" w:rsidRDefault="00311EA9" w:rsidP="00376D4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u w:val="single"/>
          <w:lang w:eastAsia="cs-CZ"/>
        </w:rPr>
      </w:pPr>
    </w:p>
    <w:p w:rsidR="00340B03" w:rsidRPr="0071083C" w:rsidRDefault="00340B03" w:rsidP="00340B03">
      <w:pPr>
        <w:shd w:val="clear" w:color="auto" w:fill="FFFFFF"/>
        <w:jc w:val="center"/>
        <w:rPr>
          <w:rFonts w:cs="Arial"/>
          <w:bCs/>
          <w:szCs w:val="22"/>
          <w:lang w:eastAsia="cs-CZ"/>
        </w:rPr>
      </w:pPr>
      <w:r w:rsidRPr="0071083C">
        <w:rPr>
          <w:rFonts w:cs="Arial"/>
          <w:bCs/>
          <w:szCs w:val="22"/>
        </w:rPr>
        <w:t>Podílové rozdělení ročních normativů minimální spotřeby na jednotlivé kalendářní měsíce pro rostlinnou výrobu v</w:t>
      </w:r>
      <w:r w:rsidR="00C879F1">
        <w:rPr>
          <w:rFonts w:cs="Arial"/>
          <w:bCs/>
          <w:szCs w:val="22"/>
        </w:rPr>
        <w:t> </w:t>
      </w:r>
      <w:r w:rsidRPr="0071083C">
        <w:rPr>
          <w:rFonts w:cs="Arial"/>
          <w:bCs/>
          <w:szCs w:val="22"/>
        </w:rPr>
        <w:t>procentech</w:t>
      </w:r>
      <w:r w:rsidR="00C879F1">
        <w:rPr>
          <w:rFonts w:cs="Arial"/>
          <w:bCs/>
          <w:szCs w:val="22"/>
        </w:rPr>
        <w:t xml:space="preserve"> dle Přílohy č. 3 k vyhlášce</w:t>
      </w:r>
    </w:p>
    <w:tbl>
      <w:tblPr>
        <w:tblW w:w="69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</w:tblGrid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center"/>
              <w:rPr>
                <w:rFonts w:cs="Arial"/>
                <w:b/>
                <w:szCs w:val="22"/>
              </w:rPr>
            </w:pPr>
            <w:r w:rsidRPr="00BA10CD">
              <w:rPr>
                <w:rFonts w:cs="Arial"/>
                <w:b/>
              </w:rPr>
              <w:t>Kalendářní měsíc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center"/>
              <w:rPr>
                <w:rFonts w:cs="Arial"/>
                <w:b/>
              </w:rPr>
            </w:pPr>
            <w:r w:rsidRPr="00BA10CD">
              <w:rPr>
                <w:rFonts w:cs="Arial"/>
                <w:b/>
              </w:rPr>
              <w:t>Podíl na ročním normativu minimální spotřeby v %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leden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2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únor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4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březen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6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duben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6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květen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8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červen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9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červenec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10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srpen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16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září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20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říjen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10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listopad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6</w:t>
            </w:r>
          </w:p>
        </w:tc>
      </w:tr>
      <w:tr w:rsidR="00340B03" w:rsidTr="00BA10CD">
        <w:tc>
          <w:tcPr>
            <w:tcW w:w="2977" w:type="dxa"/>
            <w:shd w:val="clear" w:color="auto" w:fill="auto"/>
            <w:vAlign w:val="center"/>
            <w:hideMark/>
          </w:tcPr>
          <w:p w:rsidR="00340B03" w:rsidRPr="00BA10CD" w:rsidRDefault="00340B03">
            <w:pPr>
              <w:rPr>
                <w:rFonts w:cs="Arial"/>
              </w:rPr>
            </w:pPr>
            <w:r w:rsidRPr="00BA10CD">
              <w:rPr>
                <w:rFonts w:cs="Arial"/>
              </w:rPr>
              <w:t>prosinec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B03" w:rsidRPr="00BA10CD" w:rsidRDefault="00340B03" w:rsidP="00BA10CD">
            <w:pPr>
              <w:jc w:val="right"/>
              <w:rPr>
                <w:rFonts w:cs="Arial"/>
              </w:rPr>
            </w:pPr>
            <w:r w:rsidRPr="00BA10CD">
              <w:rPr>
                <w:rFonts w:cs="Arial"/>
              </w:rPr>
              <w:t>3</w:t>
            </w:r>
          </w:p>
        </w:tc>
      </w:tr>
    </w:tbl>
    <w:p w:rsidR="00751800" w:rsidRDefault="00751800" w:rsidP="008907FD">
      <w:pPr>
        <w:pStyle w:val="Nadpis4"/>
      </w:pPr>
      <w:r>
        <w:t>Posuzování kultury k poslednímu dni příslušného kalendářního měsíce</w:t>
      </w:r>
    </w:p>
    <w:p w:rsidR="00751800" w:rsidRDefault="00751800" w:rsidP="00751800">
      <w:r>
        <w:t>Dle zákona o spotřební dani a následně §2 odst. 5 vyhlášky platí:</w:t>
      </w:r>
    </w:p>
    <w:p w:rsidR="00751800" w:rsidRDefault="00751800" w:rsidP="00751800">
      <w:pPr>
        <w:rPr>
          <w:rFonts w:cs="Arial"/>
          <w:i/>
          <w:szCs w:val="22"/>
        </w:rPr>
      </w:pPr>
      <w:r w:rsidRPr="00751800">
        <w:rPr>
          <w:rFonts w:cs="Arial"/>
          <w:i/>
          <w:szCs w:val="22"/>
        </w:rPr>
        <w:t xml:space="preserve">(5) </w:t>
      </w:r>
      <w:r w:rsidRPr="00751800">
        <w:rPr>
          <w:rFonts w:cs="Arial"/>
          <w:i/>
          <w:szCs w:val="22"/>
        </w:rPr>
        <w:tab/>
        <w:t>V případě, že u dílu půdního bloku dojde v průběhu zdaňovacího období ke změně průběhu jeho hranice anebo změně druhu zemědělské kultury, určí se kategorie normativu podle druhu zemědělské kultury převažující na ploše tohoto dílu k rozhodnému dni pro určení kategorie normativu.</w:t>
      </w:r>
    </w:p>
    <w:p w:rsidR="00751800" w:rsidRDefault="00751800" w:rsidP="00751800">
      <w:pPr>
        <w:rPr>
          <w:rFonts w:cs="Arial"/>
          <w:szCs w:val="22"/>
        </w:rPr>
      </w:pPr>
      <w:r>
        <w:rPr>
          <w:rFonts w:cs="Arial"/>
          <w:szCs w:val="22"/>
        </w:rPr>
        <w:t xml:space="preserve">Za rozhodný den se dle zákona považuje 15.5. </w:t>
      </w:r>
    </w:p>
    <w:p w:rsidR="00751800" w:rsidRDefault="00751800" w:rsidP="00751800">
      <w:pPr>
        <w:rPr>
          <w:rFonts w:cs="Arial"/>
          <w:szCs w:val="22"/>
        </w:rPr>
      </w:pPr>
      <w:r>
        <w:rPr>
          <w:rFonts w:cs="Arial"/>
          <w:szCs w:val="22"/>
        </w:rPr>
        <w:t>Tj. prvním krokem výpočtu je určení druhu zemědělské kultury na DPB k příslušnému dni. Výpočet se provede tak, že se zjistí překryv s DPB k 15.5. a majoritní kultura k tomuto datu se považuje za tu, která je na tomto DPB pro účely stanovení normativu.</w:t>
      </w:r>
      <w:r w:rsidR="0002192A">
        <w:rPr>
          <w:rFonts w:cs="Arial"/>
          <w:szCs w:val="22"/>
        </w:rPr>
        <w:t xml:space="preserve"> </w:t>
      </w:r>
    </w:p>
    <w:p w:rsidR="00751800" w:rsidRDefault="00751800" w:rsidP="00751800">
      <w:pPr>
        <w:rPr>
          <w:rFonts w:cs="Arial"/>
          <w:szCs w:val="22"/>
        </w:rPr>
      </w:pPr>
      <w:r>
        <w:rPr>
          <w:rFonts w:cs="Arial"/>
          <w:szCs w:val="22"/>
        </w:rPr>
        <w:t>Nemá-li DPB žádný překryv s DPB k 15.5., pak se bere v potaz překryv s</w:t>
      </w:r>
      <w:r w:rsidR="0002192A">
        <w:rPr>
          <w:rFonts w:cs="Arial"/>
          <w:szCs w:val="22"/>
        </w:rPr>
        <w:t> nejmladším, resp. Nejstarším DPB s nímž má překryv alespoň 0,01 ha – tj. hledáme DPB s nejbližší platností k 15.5.</w:t>
      </w:r>
    </w:p>
    <w:p w:rsidR="0002192A" w:rsidRPr="0002192A" w:rsidRDefault="0002192A" w:rsidP="0002192A">
      <w:pPr>
        <w:pStyle w:val="Nadpis4"/>
      </w:pPr>
      <w:r w:rsidRPr="0002192A">
        <w:t>Zjištění výměry orné půdy s okopaninami, zeleninou nebo jahodníkem</w:t>
      </w:r>
    </w:p>
    <w:p w:rsidR="0002192A" w:rsidRDefault="0002192A" w:rsidP="00751800">
      <w:pPr>
        <w:rPr>
          <w:rFonts w:cs="Arial"/>
          <w:szCs w:val="22"/>
        </w:rPr>
      </w:pPr>
      <w:r>
        <w:rPr>
          <w:rFonts w:cs="Arial"/>
          <w:szCs w:val="22"/>
        </w:rPr>
        <w:t>Postup zjištění výměry je k příslušnému dni kal. měsíce následující:</w:t>
      </w:r>
    </w:p>
    <w:p w:rsidR="0002192A" w:rsidRPr="0002192A" w:rsidRDefault="0002192A" w:rsidP="00A63961">
      <w:pPr>
        <w:pStyle w:val="Textodstavce"/>
        <w:numPr>
          <w:ilvl w:val="0"/>
          <w:numId w:val="26"/>
        </w:numPr>
        <w:spacing w:before="0" w:after="0"/>
        <w:rPr>
          <w:rFonts w:ascii="Arial" w:hAnsi="Arial" w:cs="Arial"/>
          <w:sz w:val="22"/>
          <w:szCs w:val="22"/>
        </w:rPr>
      </w:pPr>
      <w:r w:rsidRPr="0002192A">
        <w:rPr>
          <w:rFonts w:ascii="Arial" w:hAnsi="Arial" w:cs="Arial"/>
          <w:sz w:val="22"/>
          <w:szCs w:val="22"/>
        </w:rPr>
        <w:lastRenderedPageBreak/>
        <w:t>Ze replikovaných dat žádosti se identifikují primární DPB s žádostí o poskytnutí dobrovolné podpory vázané na produkci</w:t>
      </w:r>
      <w:r>
        <w:rPr>
          <w:rFonts w:ascii="Arial" w:hAnsi="Arial" w:cs="Arial"/>
          <w:sz w:val="22"/>
          <w:szCs w:val="22"/>
        </w:rPr>
        <w:t xml:space="preserve"> spadající do tohoto režimu (výčet výše)</w:t>
      </w:r>
      <w:r w:rsidRPr="0002192A">
        <w:rPr>
          <w:rFonts w:ascii="Arial" w:hAnsi="Arial" w:cs="Arial"/>
          <w:sz w:val="22"/>
          <w:szCs w:val="22"/>
        </w:rPr>
        <w:t xml:space="preserve"> = tato úloha je již v LPIS realizována.</w:t>
      </w:r>
    </w:p>
    <w:p w:rsidR="0002192A" w:rsidRPr="0002192A" w:rsidRDefault="0002192A" w:rsidP="00A63961">
      <w:pPr>
        <w:pStyle w:val="Textodstavce"/>
        <w:numPr>
          <w:ilvl w:val="0"/>
          <w:numId w:val="26"/>
        </w:numPr>
        <w:spacing w:before="0" w:after="0"/>
        <w:rPr>
          <w:rFonts w:ascii="Arial" w:hAnsi="Arial" w:cs="Arial"/>
          <w:sz w:val="22"/>
          <w:szCs w:val="22"/>
        </w:rPr>
      </w:pPr>
      <w:r w:rsidRPr="0002192A">
        <w:rPr>
          <w:rFonts w:ascii="Arial" w:hAnsi="Arial" w:cs="Arial"/>
          <w:sz w:val="22"/>
          <w:szCs w:val="22"/>
        </w:rPr>
        <w:t>Následně se zjišťuje, zda příslušný DPB je vždy k poslednímu dni kalendářního měsíce spadajícího do příslušného zdaňovacího období evidován na uživatele. Mohou nastat 2 situace:</w:t>
      </w:r>
    </w:p>
    <w:p w:rsidR="0002192A" w:rsidRPr="0002192A" w:rsidRDefault="0002192A" w:rsidP="00A63961">
      <w:pPr>
        <w:pStyle w:val="Textodstavce"/>
        <w:numPr>
          <w:ilvl w:val="1"/>
          <w:numId w:val="22"/>
        </w:numPr>
        <w:spacing w:before="0" w:after="0"/>
        <w:rPr>
          <w:rFonts w:ascii="Arial" w:hAnsi="Arial" w:cs="Arial"/>
          <w:sz w:val="22"/>
          <w:szCs w:val="22"/>
        </w:rPr>
      </w:pPr>
      <w:r w:rsidRPr="0002192A">
        <w:rPr>
          <w:rFonts w:ascii="Arial" w:hAnsi="Arial" w:cs="Arial"/>
          <w:sz w:val="22"/>
          <w:szCs w:val="22"/>
        </w:rPr>
        <w:t xml:space="preserve">Geometrie zákresu deklarované </w:t>
      </w:r>
      <w:r>
        <w:rPr>
          <w:rFonts w:ascii="Arial" w:hAnsi="Arial" w:cs="Arial"/>
          <w:sz w:val="22"/>
          <w:szCs w:val="22"/>
        </w:rPr>
        <w:t xml:space="preserve">příslušné </w:t>
      </w:r>
      <w:r w:rsidRPr="0002192A">
        <w:rPr>
          <w:rFonts w:ascii="Arial" w:hAnsi="Arial" w:cs="Arial"/>
          <w:sz w:val="22"/>
          <w:szCs w:val="22"/>
        </w:rPr>
        <w:t xml:space="preserve">VCS platby na daném DPB má 100% průnik s evidovanou plochou – počítá se 100% výměra do </w:t>
      </w:r>
      <w:r>
        <w:rPr>
          <w:rFonts w:ascii="Arial" w:hAnsi="Arial" w:cs="Arial"/>
          <w:sz w:val="22"/>
          <w:szCs w:val="22"/>
        </w:rPr>
        <w:t>nároku na okopaniny</w:t>
      </w:r>
    </w:p>
    <w:p w:rsidR="0002192A" w:rsidRPr="0002192A" w:rsidRDefault="0002192A" w:rsidP="00A63961">
      <w:pPr>
        <w:pStyle w:val="Textodstavce"/>
        <w:numPr>
          <w:ilvl w:val="1"/>
          <w:numId w:val="22"/>
        </w:numPr>
        <w:spacing w:before="0" w:after="0"/>
        <w:rPr>
          <w:rFonts w:ascii="Arial" w:hAnsi="Arial" w:cs="Arial"/>
          <w:sz w:val="22"/>
          <w:szCs w:val="22"/>
        </w:rPr>
      </w:pPr>
      <w:r w:rsidRPr="0002192A">
        <w:rPr>
          <w:rFonts w:ascii="Arial" w:hAnsi="Arial" w:cs="Arial"/>
          <w:sz w:val="22"/>
          <w:szCs w:val="22"/>
        </w:rPr>
        <w:t xml:space="preserve">Geometrie zákresu deklarované VCS platby na daném DPB nemá 100% průnik s evidovanou plochou – do </w:t>
      </w:r>
      <w:r>
        <w:rPr>
          <w:rFonts w:ascii="Arial" w:hAnsi="Arial" w:cs="Arial"/>
          <w:sz w:val="22"/>
          <w:szCs w:val="22"/>
        </w:rPr>
        <w:t>nároku na okopaniny</w:t>
      </w:r>
      <w:r w:rsidRPr="0002192A">
        <w:rPr>
          <w:rFonts w:ascii="Arial" w:hAnsi="Arial" w:cs="Arial"/>
          <w:sz w:val="22"/>
          <w:szCs w:val="22"/>
        </w:rPr>
        <w:t xml:space="preserve"> vstupuje výměra průniku zákresu z jednotné žádosti a užívané plochy násobená poměrem výměry deklarované plochy/výměry zákresu (pozn. kvůli zohlednění tolerance zákresu).</w:t>
      </w:r>
    </w:p>
    <w:p w:rsidR="0002192A" w:rsidRPr="0002192A" w:rsidRDefault="0002192A" w:rsidP="00751800">
      <w:pPr>
        <w:rPr>
          <w:rFonts w:cs="Arial"/>
          <w:szCs w:val="22"/>
        </w:rPr>
      </w:pPr>
    </w:p>
    <w:p w:rsidR="00385734" w:rsidRDefault="00385734" w:rsidP="008907FD">
      <w:pPr>
        <w:pStyle w:val="Nadpis4"/>
      </w:pPr>
      <w:r>
        <w:t>Specifikace výpočtu Spotřeba dle normativů</w:t>
      </w:r>
    </w:p>
    <w:p w:rsidR="009D7AF8" w:rsidRDefault="00376D41" w:rsidP="009D7AF8">
      <w:pPr>
        <w:pStyle w:val="Textodstavce"/>
        <w:tabs>
          <w:tab w:val="clear" w:pos="851"/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§ 2 odst. </w:t>
      </w:r>
      <w:r w:rsidR="009D7AF8">
        <w:rPr>
          <w:rFonts w:ascii="Arial" w:hAnsi="Arial" w:cs="Arial"/>
          <w:sz w:val="22"/>
          <w:szCs w:val="22"/>
        </w:rPr>
        <w:t>3 se s</w:t>
      </w:r>
      <w:r w:rsidR="009D7AF8" w:rsidRPr="00D36F5D">
        <w:rPr>
          <w:rFonts w:ascii="Arial" w:hAnsi="Arial" w:cs="Arial"/>
          <w:sz w:val="22"/>
          <w:szCs w:val="22"/>
        </w:rPr>
        <w:t>potřeba minerálních olejů za jednotlivou kategorii ročních normativů minimál</w:t>
      </w:r>
      <w:r w:rsidR="009D7AF8">
        <w:rPr>
          <w:rFonts w:ascii="Arial" w:hAnsi="Arial" w:cs="Arial"/>
          <w:sz w:val="22"/>
          <w:szCs w:val="22"/>
        </w:rPr>
        <w:t xml:space="preserve">ní spotřeby rostlinné výroby </w:t>
      </w:r>
      <w:r w:rsidR="009D7AF8" w:rsidRPr="00D36F5D">
        <w:rPr>
          <w:rFonts w:ascii="Arial" w:hAnsi="Arial" w:cs="Arial"/>
          <w:sz w:val="22"/>
          <w:szCs w:val="22"/>
        </w:rPr>
        <w:t xml:space="preserve">vypočte jako součet jednotlivých měsíčních spotřeb minerálních olejů za kalendářní měsíce zdaňovacího období, za které se uplatňuje nárok na vrácení spotřební daně z minerálních olejů. </w:t>
      </w:r>
    </w:p>
    <w:p w:rsidR="009D7AF8" w:rsidRPr="00D36F5D" w:rsidRDefault="009D7AF8" w:rsidP="009D7AF8">
      <w:pPr>
        <w:pStyle w:val="Textodstavce"/>
        <w:tabs>
          <w:tab w:val="left" w:pos="0"/>
        </w:tabs>
        <w:spacing w:before="0" w:after="0"/>
        <w:ind w:left="425"/>
        <w:rPr>
          <w:rFonts w:ascii="Arial" w:hAnsi="Arial" w:cs="Arial"/>
          <w:sz w:val="22"/>
          <w:szCs w:val="22"/>
        </w:rPr>
      </w:pPr>
      <w:r w:rsidRPr="00D36F5D">
        <w:rPr>
          <w:rFonts w:ascii="Arial" w:hAnsi="Arial" w:cs="Arial"/>
          <w:sz w:val="22"/>
          <w:szCs w:val="22"/>
        </w:rPr>
        <w:t xml:space="preserve">Měsíční spotřeba minerálních olejů za jednotlivou kategorii ročních normativů minimální spotřeby rostlinné výroby se vypočte jako </w:t>
      </w:r>
      <w:r w:rsidRPr="009D7AF8">
        <w:rPr>
          <w:rFonts w:ascii="Arial" w:hAnsi="Arial" w:cs="Arial"/>
          <w:b/>
          <w:sz w:val="22"/>
          <w:szCs w:val="22"/>
        </w:rPr>
        <w:t>součin</w:t>
      </w:r>
    </w:p>
    <w:p w:rsidR="009D7AF8" w:rsidRPr="00D36F5D" w:rsidRDefault="009D7AF8" w:rsidP="009D7AF8">
      <w:pPr>
        <w:pStyle w:val="Textpsmene"/>
        <w:ind w:left="1133" w:hanging="425"/>
        <w:rPr>
          <w:rFonts w:ascii="Arial" w:hAnsi="Arial" w:cs="Arial"/>
          <w:sz w:val="22"/>
          <w:szCs w:val="22"/>
          <w:lang w:val="x-none"/>
        </w:rPr>
      </w:pPr>
      <w:r w:rsidRPr="00D36F5D">
        <w:rPr>
          <w:rFonts w:ascii="Arial" w:hAnsi="Arial" w:cs="Arial"/>
          <w:sz w:val="22"/>
          <w:szCs w:val="22"/>
          <w:lang w:val="x-none"/>
        </w:rPr>
        <w:t xml:space="preserve">a) </w:t>
      </w:r>
      <w:r w:rsidRPr="00D36F5D">
        <w:rPr>
          <w:rFonts w:ascii="Arial" w:hAnsi="Arial" w:cs="Arial"/>
          <w:sz w:val="22"/>
          <w:szCs w:val="22"/>
          <w:lang w:val="x-none"/>
        </w:rPr>
        <w:tab/>
      </w:r>
      <w:r w:rsidRPr="009D7AF8">
        <w:rPr>
          <w:rFonts w:ascii="Arial" w:hAnsi="Arial" w:cs="Arial"/>
          <w:b/>
          <w:sz w:val="22"/>
          <w:szCs w:val="22"/>
          <w:lang w:val="x-none"/>
        </w:rPr>
        <w:t>výměry</w:t>
      </w:r>
      <w:r w:rsidRPr="00D36F5D">
        <w:rPr>
          <w:rFonts w:ascii="Arial" w:hAnsi="Arial" w:cs="Arial"/>
          <w:sz w:val="22"/>
          <w:szCs w:val="22"/>
          <w:lang w:val="x-none"/>
        </w:rPr>
        <w:t xml:space="preserve"> zemědělské půdy dané kategorie k poslednímu dni daného kalendářního měsíce v hektarech a</w:t>
      </w:r>
    </w:p>
    <w:p w:rsidR="009D7AF8" w:rsidRPr="00D36F5D" w:rsidRDefault="009D7AF8" w:rsidP="009D7AF8">
      <w:pPr>
        <w:pStyle w:val="Textpsmene"/>
        <w:ind w:left="1133" w:hanging="425"/>
        <w:rPr>
          <w:rFonts w:ascii="Arial" w:hAnsi="Arial" w:cs="Arial"/>
          <w:sz w:val="22"/>
          <w:szCs w:val="22"/>
        </w:rPr>
      </w:pPr>
      <w:r w:rsidRPr="00D36F5D">
        <w:rPr>
          <w:rFonts w:ascii="Arial" w:hAnsi="Arial" w:cs="Arial"/>
          <w:sz w:val="22"/>
          <w:szCs w:val="22"/>
          <w:lang w:val="x-none"/>
        </w:rPr>
        <w:t>b)</w:t>
      </w:r>
      <w:r w:rsidRPr="00D36F5D">
        <w:rPr>
          <w:rFonts w:ascii="Arial" w:hAnsi="Arial" w:cs="Arial"/>
          <w:sz w:val="22"/>
          <w:szCs w:val="22"/>
          <w:lang w:val="x-none"/>
        </w:rPr>
        <w:tab/>
      </w:r>
      <w:r w:rsidRPr="009D7AF8">
        <w:rPr>
          <w:rFonts w:ascii="Arial" w:hAnsi="Arial" w:cs="Arial"/>
          <w:b/>
          <w:sz w:val="22"/>
          <w:szCs w:val="22"/>
          <w:lang w:val="x-none"/>
        </w:rPr>
        <w:t>podílu ročního normativu</w:t>
      </w:r>
      <w:r w:rsidRPr="00D36F5D">
        <w:rPr>
          <w:rFonts w:ascii="Arial" w:hAnsi="Arial" w:cs="Arial"/>
          <w:sz w:val="22"/>
          <w:szCs w:val="22"/>
          <w:lang w:val="x-none"/>
        </w:rPr>
        <w:t xml:space="preserve"> minimální spotřeby dané kategorie, který připadá na daný kalendářní měsíc.</w:t>
      </w:r>
      <w:r w:rsidRPr="00D36F5D">
        <w:rPr>
          <w:rFonts w:ascii="Arial" w:hAnsi="Arial" w:cs="Arial"/>
          <w:sz w:val="22"/>
          <w:szCs w:val="22"/>
        </w:rPr>
        <w:t xml:space="preserve"> </w:t>
      </w:r>
    </w:p>
    <w:p w:rsidR="009D7AF8" w:rsidRPr="00D36F5D" w:rsidRDefault="009D7AF8" w:rsidP="009D7AF8">
      <w:pPr>
        <w:pStyle w:val="Textodstavce"/>
        <w:tabs>
          <w:tab w:val="clear" w:pos="851"/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Vyhláška dále stanovuje, že pokud </w:t>
      </w:r>
      <w:r w:rsidRPr="00D36F5D">
        <w:rPr>
          <w:rFonts w:ascii="Arial" w:hAnsi="Arial" w:cs="Arial"/>
          <w:sz w:val="22"/>
          <w:szCs w:val="22"/>
        </w:rPr>
        <w:t>v průběhu zdaňovacího období</w:t>
      </w:r>
      <w:r w:rsidR="00C879F1">
        <w:rPr>
          <w:rFonts w:ascii="Arial" w:hAnsi="Arial" w:cs="Arial"/>
          <w:sz w:val="22"/>
          <w:szCs w:val="22"/>
        </w:rPr>
        <w:t xml:space="preserve"> nedojde</w:t>
      </w:r>
      <w:r w:rsidRPr="00D36F5D">
        <w:rPr>
          <w:rFonts w:ascii="Arial" w:hAnsi="Arial" w:cs="Arial"/>
          <w:sz w:val="22"/>
          <w:szCs w:val="22"/>
        </w:rPr>
        <w:t xml:space="preserve"> ke změně výměry zemědělské půdy, lze spotřebu minerálních olejů za jednotlivou kategorii ročních normativů minimální spotřeby rostlinné výroby vypočíst jako součin této výměry a ročního normativu minimální spotřeby pro danou kategorii.</w:t>
      </w:r>
      <w:r w:rsidR="0002192A">
        <w:rPr>
          <w:rFonts w:ascii="Arial" w:hAnsi="Arial" w:cs="Arial"/>
          <w:sz w:val="22"/>
          <w:szCs w:val="22"/>
        </w:rPr>
        <w:t xml:space="preserve"> Tento postup </w:t>
      </w:r>
      <w:r w:rsidR="00CA0A1B">
        <w:rPr>
          <w:rFonts w:ascii="Arial" w:hAnsi="Arial" w:cs="Arial"/>
          <w:sz w:val="22"/>
          <w:szCs w:val="22"/>
        </w:rPr>
        <w:t>bude implementován tehdy, pokud u subjektu nebude zjištěna žádná změna DPB za příslušný kalendářní rok.</w:t>
      </w:r>
    </w:p>
    <w:p w:rsidR="00376D41" w:rsidRDefault="00376D41" w:rsidP="00311EA9">
      <w:pPr>
        <w:pStyle w:val="Textpsmene"/>
        <w:rPr>
          <w:rFonts w:ascii="Arial" w:hAnsi="Arial" w:cs="Arial"/>
          <w:b/>
          <w:sz w:val="22"/>
          <w:szCs w:val="22"/>
          <w:lang w:val="x-none"/>
        </w:rPr>
      </w:pPr>
    </w:p>
    <w:p w:rsidR="00376D41" w:rsidRPr="00EA47CD" w:rsidRDefault="00376D41" w:rsidP="00376D41">
      <w:pPr>
        <w:pStyle w:val="Textodstavce"/>
        <w:spacing w:before="0" w:after="0"/>
        <w:rPr>
          <w:rFonts w:ascii="Arial" w:hAnsi="Arial" w:cs="Arial"/>
          <w:sz w:val="22"/>
          <w:szCs w:val="22"/>
        </w:rPr>
      </w:pPr>
      <w:r w:rsidRPr="00EA47CD">
        <w:rPr>
          <w:rFonts w:ascii="Arial" w:hAnsi="Arial" w:cs="Arial"/>
          <w:sz w:val="22"/>
          <w:szCs w:val="22"/>
        </w:rPr>
        <w:t xml:space="preserve">Postup výpočtu na příkladu tabulky rok 2019 v podkapitole </w:t>
      </w:r>
      <w:r w:rsidR="00311EA9" w:rsidRPr="00EA47CD">
        <w:rPr>
          <w:rFonts w:ascii="Arial" w:hAnsi="Arial" w:cs="Arial"/>
          <w:sz w:val="22"/>
          <w:szCs w:val="22"/>
        </w:rPr>
        <w:t>Prezentace podkladových dat Spotřeba dle normativů</w:t>
      </w:r>
      <w:r w:rsidRPr="00EA47CD">
        <w:rPr>
          <w:rFonts w:ascii="Arial" w:hAnsi="Arial" w:cs="Arial"/>
          <w:sz w:val="22"/>
          <w:szCs w:val="22"/>
        </w:rPr>
        <w:t>:</w:t>
      </w:r>
    </w:p>
    <w:p w:rsidR="00CA0A1B" w:rsidRDefault="00CA0A1B" w:rsidP="00A63961">
      <w:pPr>
        <w:pStyle w:val="Textodstavce"/>
        <w:numPr>
          <w:ilvl w:val="0"/>
          <w:numId w:val="18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každou kategorii se vypočte výměra k poslednímu dni kal. měsíce – se zohledněním pravidel stanovení kultury a výměry okopanin dle předchozích kapitol</w:t>
      </w:r>
    </w:p>
    <w:p w:rsidR="00F207A3" w:rsidRPr="00EA47CD" w:rsidRDefault="00CA0A1B" w:rsidP="00A63961">
      <w:pPr>
        <w:pStyle w:val="Textodstavce"/>
        <w:numPr>
          <w:ilvl w:val="0"/>
          <w:numId w:val="18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Výměra se vynásobí p</w:t>
      </w:r>
      <w:r w:rsidR="00D555E9" w:rsidRPr="00EA47CD">
        <w:rPr>
          <w:rFonts w:ascii="Arial" w:hAnsi="Arial" w:cs="Arial"/>
          <w:sz w:val="22"/>
          <w:szCs w:val="22"/>
        </w:rPr>
        <w:t>odíl</w:t>
      </w:r>
      <w:r>
        <w:rPr>
          <w:rFonts w:ascii="Arial" w:hAnsi="Arial" w:cs="Arial"/>
          <w:sz w:val="22"/>
          <w:szCs w:val="22"/>
        </w:rPr>
        <w:t>em</w:t>
      </w:r>
      <w:r w:rsidR="00D555E9" w:rsidRPr="00EA47CD">
        <w:rPr>
          <w:rFonts w:ascii="Arial" w:hAnsi="Arial" w:cs="Arial"/>
          <w:sz w:val="22"/>
          <w:szCs w:val="22"/>
        </w:rPr>
        <w:t xml:space="preserve"> ročního normativu</w:t>
      </w:r>
      <w:r>
        <w:rPr>
          <w:rFonts w:ascii="Arial" w:hAnsi="Arial" w:cs="Arial"/>
          <w:sz w:val="22"/>
          <w:szCs w:val="22"/>
        </w:rPr>
        <w:t xml:space="preserve"> za příslušný měsíc</w:t>
      </w:r>
      <w:r w:rsidR="00D555E9" w:rsidRPr="00EA47CD">
        <w:rPr>
          <w:rFonts w:ascii="Arial" w:hAnsi="Arial" w:cs="Arial"/>
          <w:sz w:val="22"/>
          <w:szCs w:val="22"/>
        </w:rPr>
        <w:t xml:space="preserve"> a zaokrouhlí se </w:t>
      </w:r>
      <w:r w:rsidR="00F207A3" w:rsidRPr="00EA47CD">
        <w:rPr>
          <w:rFonts w:ascii="Arial" w:hAnsi="Arial" w:cs="Arial"/>
          <w:sz w:val="22"/>
          <w:szCs w:val="22"/>
        </w:rPr>
        <w:t>na 2 desetinná místa dolů</w:t>
      </w:r>
      <w:r>
        <w:rPr>
          <w:rFonts w:ascii="Arial" w:hAnsi="Arial" w:cs="Arial"/>
          <w:sz w:val="22"/>
          <w:szCs w:val="22"/>
        </w:rPr>
        <w:t xml:space="preserve"> (v tabulce předvypočteno)</w:t>
      </w:r>
    </w:p>
    <w:p w:rsidR="00D555E9" w:rsidRPr="00EA47CD" w:rsidRDefault="00D555E9" w:rsidP="00A63961">
      <w:pPr>
        <w:pStyle w:val="Textodstavce"/>
        <w:numPr>
          <w:ilvl w:val="0"/>
          <w:numId w:val="18"/>
        </w:numPr>
        <w:spacing w:before="0" w:after="0"/>
        <w:rPr>
          <w:rFonts w:ascii="Arial" w:hAnsi="Arial" w:cs="Arial"/>
          <w:sz w:val="22"/>
          <w:szCs w:val="22"/>
        </w:rPr>
      </w:pPr>
      <w:r w:rsidRPr="00EA47CD">
        <w:rPr>
          <w:rFonts w:ascii="Arial" w:hAnsi="Arial" w:cs="Arial"/>
          <w:sz w:val="22"/>
          <w:szCs w:val="22"/>
        </w:rPr>
        <w:t xml:space="preserve">Spotřeba za kategorii (předposlední řádek) = součet </w:t>
      </w:r>
      <w:r w:rsidR="00EA47CD">
        <w:rPr>
          <w:rFonts w:ascii="Arial" w:hAnsi="Arial" w:cs="Arial"/>
          <w:sz w:val="22"/>
          <w:szCs w:val="22"/>
        </w:rPr>
        <w:t xml:space="preserve">sloupce </w:t>
      </w:r>
      <w:r w:rsidRPr="00EA47CD">
        <w:rPr>
          <w:rFonts w:ascii="Arial" w:hAnsi="Arial" w:cs="Arial"/>
          <w:sz w:val="22"/>
          <w:szCs w:val="22"/>
        </w:rPr>
        <w:t>měsíčních spotřeb minerálních olejů</w:t>
      </w:r>
    </w:p>
    <w:p w:rsidR="00D555E9" w:rsidRPr="00EA47CD" w:rsidRDefault="00D555E9" w:rsidP="00A63961">
      <w:pPr>
        <w:pStyle w:val="Textodstavce"/>
        <w:numPr>
          <w:ilvl w:val="0"/>
          <w:numId w:val="18"/>
        </w:numPr>
        <w:spacing w:before="0" w:after="0"/>
        <w:rPr>
          <w:rFonts w:ascii="Arial" w:hAnsi="Arial" w:cs="Arial"/>
          <w:sz w:val="22"/>
          <w:szCs w:val="22"/>
        </w:rPr>
      </w:pPr>
      <w:r w:rsidRPr="00EA47CD">
        <w:rPr>
          <w:rFonts w:ascii="Arial" w:hAnsi="Arial" w:cs="Arial"/>
          <w:sz w:val="22"/>
          <w:szCs w:val="22"/>
        </w:rPr>
        <w:t>Celková spotřeba (poslední řádek) je součtem spotřeb za jednotlivé kategorie</w:t>
      </w:r>
      <w:r w:rsidR="00E6102E" w:rsidRPr="00EA47CD">
        <w:rPr>
          <w:rFonts w:ascii="Arial" w:hAnsi="Arial" w:cs="Arial"/>
          <w:sz w:val="22"/>
          <w:szCs w:val="22"/>
        </w:rPr>
        <w:t xml:space="preserve"> z předposledního řádku</w:t>
      </w:r>
      <w:r w:rsidRPr="00EA47CD">
        <w:rPr>
          <w:rFonts w:ascii="Arial" w:hAnsi="Arial" w:cs="Arial"/>
          <w:sz w:val="22"/>
          <w:szCs w:val="22"/>
        </w:rPr>
        <w:t>. Tuto hodnotu dokládá subjekt v tiskovém výstupu.</w:t>
      </w:r>
    </w:p>
    <w:p w:rsidR="00EA47CD" w:rsidRDefault="00EA47CD" w:rsidP="00D555E9">
      <w:pPr>
        <w:pStyle w:val="Textodstavce"/>
        <w:spacing w:before="0" w:after="0"/>
        <w:rPr>
          <w:rFonts w:ascii="Arial" w:hAnsi="Arial" w:cs="Arial"/>
          <w:sz w:val="22"/>
          <w:szCs w:val="22"/>
        </w:rPr>
      </w:pPr>
    </w:p>
    <w:p w:rsidR="00D555E9" w:rsidRPr="00EA47CD" w:rsidRDefault="00EA47CD" w:rsidP="00D555E9">
      <w:pPr>
        <w:pStyle w:val="Textodstavce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55E9" w:rsidRPr="00EA47CD">
        <w:rPr>
          <w:rFonts w:ascii="Arial" w:hAnsi="Arial" w:cs="Arial"/>
          <w:sz w:val="22"/>
          <w:szCs w:val="22"/>
        </w:rPr>
        <w:t>okud v průběhu zdaňovacího období nedošlo ke změně výměry zemědělské půdy, vyplňuj</w:t>
      </w:r>
      <w:r w:rsidR="0082562F">
        <w:rPr>
          <w:rFonts w:ascii="Arial" w:hAnsi="Arial" w:cs="Arial"/>
          <w:sz w:val="22"/>
          <w:szCs w:val="22"/>
        </w:rPr>
        <w:t>e se pouze spodní část tabulky:</w:t>
      </w:r>
    </w:p>
    <w:p w:rsidR="00376D41" w:rsidRPr="00EA47CD" w:rsidRDefault="00EA47CD" w:rsidP="00A63961">
      <w:pPr>
        <w:pStyle w:val="Textodstavce"/>
        <w:numPr>
          <w:ilvl w:val="0"/>
          <w:numId w:val="23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Sloupec „Spotřeba MO“ je součin výměry a ročního normativu zaokrouhlený </w:t>
      </w:r>
      <w:r w:rsidR="00C860E9" w:rsidRPr="00EA47CD">
        <w:rPr>
          <w:rFonts w:ascii="Arial" w:hAnsi="Arial" w:cs="Arial"/>
          <w:sz w:val="22"/>
          <w:szCs w:val="22"/>
        </w:rPr>
        <w:t>na 2 desetinná místa dolů.</w:t>
      </w:r>
    </w:p>
    <w:p w:rsidR="00EA47CD" w:rsidRPr="00EA47CD" w:rsidRDefault="00EA47CD" w:rsidP="00A63961">
      <w:pPr>
        <w:pStyle w:val="Textodstavce"/>
        <w:numPr>
          <w:ilvl w:val="0"/>
          <w:numId w:val="23"/>
        </w:numPr>
        <w:spacing w:before="0" w:after="0"/>
        <w:rPr>
          <w:rFonts w:ascii="Arial" w:hAnsi="Arial" w:cs="Arial"/>
          <w:sz w:val="22"/>
          <w:szCs w:val="22"/>
        </w:rPr>
      </w:pPr>
      <w:r w:rsidRPr="00EA47CD">
        <w:rPr>
          <w:rFonts w:ascii="Arial" w:hAnsi="Arial" w:cs="Arial"/>
          <w:sz w:val="22"/>
          <w:szCs w:val="22"/>
        </w:rPr>
        <w:t>Celková spotřeba (poslední řádek) je součtem spotřeb za jednotlivé kategorie. Tuto hodnotu dokládá subjekt v tiskovém výstupu.</w:t>
      </w:r>
    </w:p>
    <w:p w:rsidR="00EB7F93" w:rsidRDefault="00EB7F93" w:rsidP="00EB7F93">
      <w:pPr>
        <w:pStyle w:val="Nadpis4"/>
        <w:rPr>
          <w:rFonts w:cs="Arial"/>
          <w:szCs w:val="22"/>
        </w:rPr>
      </w:pPr>
      <w:r w:rsidRPr="00B92DD3">
        <w:rPr>
          <w:rFonts w:cs="Arial"/>
          <w:szCs w:val="22"/>
        </w:rPr>
        <w:t xml:space="preserve">Prezentace podkladových dat </w:t>
      </w:r>
      <w:r>
        <w:rPr>
          <w:rFonts w:cs="Arial"/>
          <w:szCs w:val="22"/>
        </w:rPr>
        <w:t>Spotřeba dle normativů</w:t>
      </w:r>
    </w:p>
    <w:p w:rsidR="00EB7F93" w:rsidRDefault="00EB7F93" w:rsidP="00EB7F93">
      <w:pPr>
        <w:jc w:val="both"/>
        <w:rPr>
          <w:i/>
        </w:rPr>
      </w:pPr>
      <w:r w:rsidRPr="00111BAD">
        <w:t xml:space="preserve">Legenda nad tabulkou: </w:t>
      </w:r>
      <w:r w:rsidRPr="009A66C9">
        <w:rPr>
          <w:i/>
        </w:rPr>
        <w:t xml:space="preserve">Výměra zemědělské </w:t>
      </w:r>
      <w:r>
        <w:rPr>
          <w:i/>
        </w:rPr>
        <w:t xml:space="preserve">půdy </w:t>
      </w:r>
      <w:r w:rsidRPr="009A66C9">
        <w:rPr>
          <w:i/>
        </w:rPr>
        <w:t xml:space="preserve">podle jednotlivých kategorií </w:t>
      </w:r>
      <w:r>
        <w:rPr>
          <w:i/>
        </w:rPr>
        <w:t>a spotřeba minerálních olejů za zdaňovací období…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44"/>
        <w:gridCol w:w="567"/>
        <w:gridCol w:w="503"/>
        <w:gridCol w:w="709"/>
        <w:gridCol w:w="708"/>
        <w:gridCol w:w="567"/>
        <w:gridCol w:w="709"/>
        <w:gridCol w:w="567"/>
        <w:gridCol w:w="567"/>
        <w:gridCol w:w="613"/>
        <w:gridCol w:w="567"/>
        <w:gridCol w:w="567"/>
      </w:tblGrid>
      <w:tr w:rsidR="001C1FA1" w:rsidRPr="00AD4036" w:rsidTr="00BA10CD">
        <w:trPr>
          <w:cantSplit/>
          <w:trHeight w:val="828"/>
        </w:trPr>
        <w:tc>
          <w:tcPr>
            <w:tcW w:w="24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BA10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BA10CD">
            <w:pPr>
              <w:ind w:left="2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10CD">
              <w:rPr>
                <w:rFonts w:cs="Arial"/>
                <w:b/>
                <w:sz w:val="20"/>
                <w:szCs w:val="20"/>
              </w:rPr>
              <w:t>Ostatní orná půda</w:t>
            </w:r>
          </w:p>
        </w:tc>
        <w:tc>
          <w:tcPr>
            <w:tcW w:w="198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BA10CD">
            <w:pPr>
              <w:ind w:left="2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10CD">
              <w:rPr>
                <w:rFonts w:cs="Arial"/>
                <w:b/>
                <w:bCs/>
                <w:sz w:val="20"/>
                <w:szCs w:val="20"/>
              </w:rPr>
              <w:t>Trvalý travní porost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BA10CD">
            <w:pPr>
              <w:ind w:left="2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10CD">
              <w:rPr>
                <w:rFonts w:cs="Arial"/>
                <w:b/>
                <w:bCs/>
                <w:sz w:val="20"/>
                <w:szCs w:val="20"/>
              </w:rPr>
              <w:t>Trvalá kultura</w:t>
            </w:r>
          </w:p>
        </w:tc>
        <w:tc>
          <w:tcPr>
            <w:tcW w:w="174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0BD1" w:rsidRPr="00BA10CD" w:rsidRDefault="00ED0BD1" w:rsidP="00BA10CD">
            <w:pPr>
              <w:ind w:left="2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10CD">
              <w:rPr>
                <w:rFonts w:cs="Arial"/>
                <w:b/>
                <w:sz w:val="20"/>
                <w:szCs w:val="20"/>
              </w:rPr>
              <w:t xml:space="preserve">Orná půda </w:t>
            </w:r>
            <w:r w:rsidRPr="00BA10CD">
              <w:rPr>
                <w:rFonts w:cs="Arial"/>
                <w:b/>
                <w:sz w:val="20"/>
                <w:szCs w:val="20"/>
              </w:rPr>
              <w:br/>
              <w:t>s okopaninami, zeleninou nebo jahodníkem</w:t>
            </w:r>
          </w:p>
        </w:tc>
      </w:tr>
      <w:tr w:rsidR="001C1FA1" w:rsidRPr="00F638B7" w:rsidTr="00BA10CD">
        <w:trPr>
          <w:cantSplit/>
          <w:trHeight w:val="2103"/>
        </w:trPr>
        <w:tc>
          <w:tcPr>
            <w:tcW w:w="24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Výměra (ha)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Podíl ročního normativu (l/ha)</w:t>
            </w:r>
          </w:p>
        </w:tc>
        <w:tc>
          <w:tcPr>
            <w:tcW w:w="5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Měsíční spotřeba minerálních olejů (l)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bCs/>
                <w:sz w:val="20"/>
                <w:szCs w:val="20"/>
              </w:rPr>
              <w:t xml:space="preserve">Výměra </w:t>
            </w:r>
            <w:r w:rsidRPr="00BA10CD">
              <w:rPr>
                <w:rFonts w:cs="Arial"/>
                <w:sz w:val="20"/>
                <w:szCs w:val="20"/>
              </w:rPr>
              <w:t>(ha)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Podíl ročního normativu (l/ha)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Měsíční spotřeba minerálních olejů (l)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bCs/>
                <w:sz w:val="20"/>
                <w:szCs w:val="20"/>
              </w:rPr>
              <w:t xml:space="preserve">Výměra </w:t>
            </w:r>
            <w:r w:rsidRPr="00BA10CD">
              <w:rPr>
                <w:rFonts w:cs="Arial"/>
                <w:sz w:val="20"/>
                <w:szCs w:val="20"/>
              </w:rPr>
              <w:t>(ha)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Podíl ročního normativu (l/ha)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rPr>
                <w:rFonts w:cs="Arial"/>
                <w:bCs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Měsíční spotřeba minerálních olejů (l)</w:t>
            </w:r>
          </w:p>
        </w:tc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bCs/>
                <w:sz w:val="20"/>
                <w:szCs w:val="20"/>
              </w:rPr>
              <w:t xml:space="preserve">Výměra </w:t>
            </w:r>
            <w:r w:rsidRPr="00BA10CD">
              <w:rPr>
                <w:rFonts w:cs="Arial"/>
                <w:sz w:val="20"/>
                <w:szCs w:val="20"/>
              </w:rPr>
              <w:t>(ha)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Roční normativ (l/ha)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D0BD1" w:rsidRPr="00BA10CD" w:rsidRDefault="00ED0BD1" w:rsidP="00BA10CD">
            <w:pPr>
              <w:ind w:left="26" w:right="113"/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Měsíční spotřeba minerálních olejů (l)</w:t>
            </w: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31.1.2019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1,80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0,86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4,24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3.48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28.2.2019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3,60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1,72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8,48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6.96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31.3.2019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5,40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2,58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12,72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10.44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30.4.2019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5,40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2,58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12,72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10.44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31.5.2019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7,20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3,44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16,96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13.92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30.6.2019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8,10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3,87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19,08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15.66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31.7.2019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4,30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21,20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17.4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31.8.2019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14,40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6,88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33,92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27.84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30.9.2019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8,60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42,40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34.8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31.10.2019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4,30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21,20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17.4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30.11.2019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5,40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2,58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12,72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10.44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CA0A1B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31.12.2019</w:t>
            </w:r>
          </w:p>
        </w:tc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2,70</w:t>
            </w: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1,29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6,36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ascii="Calibri" w:hAnsi="Calibri" w:cs="Calibri"/>
                <w:color w:val="000000"/>
                <w:szCs w:val="22"/>
              </w:rPr>
              <w:t>5.22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CA0A1B" w:rsidRPr="00BA10CD" w:rsidRDefault="00CA0A1B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rPr>
          <w:trHeight w:val="417"/>
        </w:trPr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5B0069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Spotřeba za kategorii (l)</w:t>
            </w:r>
          </w:p>
        </w:tc>
        <w:tc>
          <w:tcPr>
            <w:tcW w:w="151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BD1" w:rsidRPr="00BA10CD" w:rsidRDefault="00ED0BD1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D0BD1" w:rsidRPr="00BA10CD" w:rsidRDefault="00ED0BD1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C1FA1" w:rsidRPr="0000434F" w:rsidTr="00BA10CD">
        <w:trPr>
          <w:trHeight w:val="417"/>
        </w:trPr>
        <w:tc>
          <w:tcPr>
            <w:tcW w:w="24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5B0069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Celková spotřeba (l)</w:t>
            </w:r>
          </w:p>
        </w:tc>
        <w:tc>
          <w:tcPr>
            <w:tcW w:w="151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834D7" w:rsidRPr="00F638B7" w:rsidTr="00BA10CD">
        <w:trPr>
          <w:trHeight w:val="417"/>
        </w:trPr>
        <w:tc>
          <w:tcPr>
            <w:tcW w:w="9493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18"/>
                <w:szCs w:val="18"/>
              </w:rPr>
            </w:pPr>
            <w:r w:rsidRPr="00BA10CD">
              <w:rPr>
                <w:rFonts w:cs="Arial"/>
                <w:sz w:val="18"/>
                <w:szCs w:val="18"/>
              </w:rPr>
              <w:t>Výpočet spotřeby, pokud v průběhu zdaňovacího období nedošlo ke změně výměry zemědělské půdy</w:t>
            </w:r>
          </w:p>
        </w:tc>
      </w:tr>
      <w:tr w:rsidR="001C1FA1" w:rsidRPr="0000434F" w:rsidTr="00BA10CD">
        <w:trPr>
          <w:cantSplit/>
          <w:trHeight w:val="1749"/>
        </w:trPr>
        <w:tc>
          <w:tcPr>
            <w:tcW w:w="24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623" w:rsidRPr="00BA10CD" w:rsidRDefault="00A43623" w:rsidP="000E0B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Výměra (ha)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Roční normativ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Spotřeba MO (l)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Výměra (ha)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Roční normativ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Spotřeba MO (l)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Výměra (ha)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Roční normativ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Spotřeba MO (l)</w:t>
            </w:r>
          </w:p>
        </w:tc>
        <w:tc>
          <w:tcPr>
            <w:tcW w:w="6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Výměra (ha)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Roční normativ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BA10CD" w:rsidRDefault="00F638B7" w:rsidP="00BA10C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Spotřeba MO (l)</w:t>
            </w:r>
          </w:p>
        </w:tc>
      </w:tr>
      <w:tr w:rsidR="001C1FA1" w:rsidRPr="0000434F" w:rsidTr="00BA10CD">
        <w:trPr>
          <w:trHeight w:val="417"/>
        </w:trPr>
        <w:tc>
          <w:tcPr>
            <w:tcW w:w="24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5B0069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Spotřeba za kategorii (l)</w:t>
            </w:r>
          </w:p>
        </w:tc>
        <w:tc>
          <w:tcPr>
            <w:tcW w:w="4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  <w:r w:rsidRPr="00BA10CD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1FA1" w:rsidRPr="0000434F" w:rsidTr="00BA10CD">
        <w:trPr>
          <w:trHeight w:val="417"/>
        </w:trPr>
        <w:tc>
          <w:tcPr>
            <w:tcW w:w="24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5B0069">
            <w:pPr>
              <w:rPr>
                <w:rFonts w:cs="Arial"/>
                <w:b/>
                <w:sz w:val="18"/>
                <w:szCs w:val="18"/>
              </w:rPr>
            </w:pPr>
            <w:r w:rsidRPr="00BA10CD">
              <w:rPr>
                <w:rFonts w:cs="Arial"/>
                <w:b/>
                <w:sz w:val="18"/>
                <w:szCs w:val="18"/>
              </w:rPr>
              <w:t>Celková spotřeba (l)</w:t>
            </w:r>
          </w:p>
        </w:tc>
        <w:tc>
          <w:tcPr>
            <w:tcW w:w="151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4D7" w:rsidRPr="00BA10CD" w:rsidRDefault="007834D7" w:rsidP="00BA10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A47CD" w:rsidRDefault="00EA47CD" w:rsidP="00EA47CD">
      <w:pPr>
        <w:jc w:val="both"/>
        <w:rPr>
          <w:szCs w:val="22"/>
        </w:rPr>
      </w:pPr>
    </w:p>
    <w:p w:rsidR="002D7846" w:rsidRDefault="002D7846" w:rsidP="002D7846">
      <w:pPr>
        <w:jc w:val="both"/>
      </w:pPr>
      <w:r>
        <w:t>Po ukončení výpočtu v tabulce datových sad ve sloupci ‚Tisky‘ bude vytvořen doklad o provedeném výpočtu v PDF formátu pro tisk. Pro každý výpočet lze tisk opakovat, musí být zajištěno, že tisk obsahuje vždy totožná data identifikovaná jednoznačným ID datové sady.</w:t>
      </w:r>
    </w:p>
    <w:bookmarkStart w:id="2" w:name="_MON_1613050161"/>
    <w:bookmarkEnd w:id="2"/>
    <w:p w:rsidR="00EC44C4" w:rsidRDefault="00FB00D6" w:rsidP="00216084">
      <w:r>
        <w:object w:dxaOrig="1539" w:dyaOrig="995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620210359" r:id="rId11">
            <o:FieldCodes>\s</o:FieldCodes>
          </o:OLEObject>
        </w:object>
      </w:r>
    </w:p>
    <w:p w:rsidR="00CA0A1B" w:rsidRDefault="00CA0A1B" w:rsidP="00CA0A1B">
      <w:pPr>
        <w:pStyle w:val="Nadpis4"/>
      </w:pPr>
      <w:r>
        <w:lastRenderedPageBreak/>
        <w:t>Dohledatelnost správnosti výpočtu</w:t>
      </w:r>
    </w:p>
    <w:p w:rsidR="00CA0A1B" w:rsidRDefault="00CA0A1B" w:rsidP="00CA0A1B">
      <w:r>
        <w:t>Pro účely dohledatelnosti správnosti výpočtu bude existovat v LPIS informativní tisk na bázi tisku č. 1 se sloupcem „kultura k 15.5. pro ZN“. Tento tisk bude obsahovat seznam DPB k danému dni a bude obsahovat tento nový sloupec stanovený metodou dle kapitoly 3.2.4.2 a pod tabulkou budou uvedeny sumy dle kultur k 15.5. pro ZN.</w:t>
      </w:r>
    </w:p>
    <w:p w:rsidR="00CA0A1B" w:rsidRDefault="00CA0A1B" w:rsidP="00CA0A1B">
      <w:r>
        <w:t>Tisk bude nazván: „Informativní tisk přehledu užívaných DPB s kulturou pro účely normativu ZN“.</w:t>
      </w:r>
    </w:p>
    <w:p w:rsidR="00CA0A1B" w:rsidRPr="00CA0A1B" w:rsidRDefault="00CA0A1B" w:rsidP="00CA0A1B">
      <w:r>
        <w:t xml:space="preserve">Dále bude vytvořen druhý pomocný tisk „Informativní </w:t>
      </w:r>
      <w:r w:rsidR="006850A1">
        <w:t>tisk přehledu DPB s deklarovanými okopaninami, zeleninou, ovocem a jahodníkem k datu.“ Tisk poskytne stabilní seznam primárně identifikovaných DPB s deklarovanou výměrou příslušné VCS platby  a výměrou užívanou uživatelem ke zvolenému datu.</w:t>
      </w:r>
      <w:r>
        <w:t xml:space="preserve"> </w:t>
      </w:r>
    </w:p>
    <w:p w:rsidR="00CA0A1B" w:rsidRPr="00CA0A1B" w:rsidRDefault="00CA0A1B" w:rsidP="00CA0A1B"/>
    <w:p w:rsidR="003C59CF" w:rsidRDefault="006850A1" w:rsidP="00FA2A60">
      <w:r>
        <w:t>Oba tisky se budou nabízet v sekci Zelená nafta.</w:t>
      </w:r>
    </w:p>
    <w:p w:rsidR="003C59CF" w:rsidRDefault="003C59CF" w:rsidP="00FA2A60"/>
    <w:p w:rsidR="00063C54" w:rsidRDefault="00063C54" w:rsidP="00063C54">
      <w:pPr>
        <w:pStyle w:val="Nadpis2"/>
      </w:pPr>
      <w:r>
        <w:t>Úprava generování tisků s údaji o ECP a ZMT</w:t>
      </w:r>
    </w:p>
    <w:p w:rsidR="00063C54" w:rsidRDefault="00063C54" w:rsidP="00063C54">
      <w:pPr>
        <w:shd w:val="clear" w:color="auto" w:fill="FFFFFF"/>
        <w:spacing w:after="0"/>
        <w:jc w:val="both"/>
      </w:pPr>
      <w:r>
        <w:t>Z důvodu optimalizace schvalovacího procesu v rámci modulu Evidence půdy budou realizovány následující úpravy:</w:t>
      </w:r>
    </w:p>
    <w:p w:rsidR="00063C54" w:rsidRDefault="00063C54" w:rsidP="00063C54">
      <w:pPr>
        <w:pStyle w:val="Odstavecseseznamem"/>
        <w:numPr>
          <w:ilvl w:val="0"/>
          <w:numId w:val="27"/>
        </w:numPr>
        <w:shd w:val="clear" w:color="auto" w:fill="FFFFFF"/>
        <w:spacing w:after="0"/>
        <w:jc w:val="both"/>
      </w:pPr>
      <w:r>
        <w:t>Na A0 při zahájení řízení již nebude generována část oznámení týkající</w:t>
      </w:r>
      <w:r w:rsidR="002727E0">
        <w:t xml:space="preserve"> se ECP</w:t>
      </w:r>
    </w:p>
    <w:p w:rsidR="002727E0" w:rsidRDefault="002727E0" w:rsidP="00063C54">
      <w:pPr>
        <w:pStyle w:val="Odstavecseseznamem"/>
        <w:numPr>
          <w:ilvl w:val="0"/>
          <w:numId w:val="27"/>
        </w:numPr>
        <w:shd w:val="clear" w:color="auto" w:fill="FFFFFF"/>
        <w:spacing w:after="0"/>
        <w:jc w:val="both"/>
      </w:pPr>
      <w:r>
        <w:t>Pro generování tisku OPZ nebude nezbytné provádět nápočet ECP/ZMT – tato úloha bude spouštěna asynchronně</w:t>
      </w:r>
    </w:p>
    <w:p w:rsidR="002727E0" w:rsidRDefault="002727E0" w:rsidP="002727E0">
      <w:pPr>
        <w:pStyle w:val="Odstavecseseznamem"/>
        <w:numPr>
          <w:ilvl w:val="0"/>
          <w:numId w:val="27"/>
        </w:numPr>
        <w:shd w:val="clear" w:color="auto" w:fill="FFFFFF"/>
        <w:spacing w:after="0"/>
        <w:jc w:val="both"/>
      </w:pPr>
      <w:r>
        <w:t>Po A2 bude dogenerován případně samostatný tisk Informace o vzniku ZMT, který bude do spisovky SZIF zasílán samostatně s vlastním č.j. se sledováním doručení, ale bez možnosti  námitek. Tisk bude generován jen tam, kde v rámci DPB jež jsou předmětem řízení je evidována ZMT, která není předměte pardonu. Vzor tisku je vložen níže</w:t>
      </w:r>
    </w:p>
    <w:p w:rsidR="002727E0" w:rsidRDefault="002727E0" w:rsidP="002727E0">
      <w:pPr>
        <w:pStyle w:val="Odstavecseseznamem"/>
        <w:numPr>
          <w:ilvl w:val="0"/>
          <w:numId w:val="27"/>
        </w:numPr>
        <w:shd w:val="clear" w:color="auto" w:fill="FFFFFF"/>
        <w:spacing w:after="0"/>
        <w:jc w:val="both"/>
      </w:pPr>
      <w:r>
        <w:t>Bez dogenerování tisku není možné uzavřít spis.</w:t>
      </w:r>
    </w:p>
    <w:p w:rsidR="002727E0" w:rsidRDefault="002727E0" w:rsidP="002727E0">
      <w:pPr>
        <w:shd w:val="clear" w:color="auto" w:fill="FFFFFF"/>
        <w:spacing w:after="0"/>
        <w:jc w:val="both"/>
      </w:pPr>
    </w:p>
    <w:bookmarkStart w:id="3" w:name="_MON_1614999930"/>
    <w:bookmarkEnd w:id="3"/>
    <w:p w:rsidR="002727E0" w:rsidRDefault="00A57A1B" w:rsidP="002727E0">
      <w:pPr>
        <w:shd w:val="clear" w:color="auto" w:fill="FFFFFF"/>
        <w:spacing w:after="0"/>
        <w:jc w:val="both"/>
      </w:pPr>
      <w:r>
        <w:object w:dxaOrig="1041" w:dyaOrig="670">
          <v:shape id="_x0000_i1027" type="#_x0000_t75" style="width:52.5pt;height:33.75pt" o:ole="">
            <v:imagedata r:id="rId12" o:title=""/>
          </v:shape>
          <o:OLEObject Type="Embed" ProgID="Word.Document.12" ShapeID="_x0000_i1027" DrawAspect="Icon" ObjectID="_1620210360" r:id="rId13">
            <o:FieldCodes>\s</o:FieldCodes>
          </o:OLEObject>
        </w:object>
      </w:r>
    </w:p>
    <w:p w:rsidR="002727E0" w:rsidRDefault="002727E0" w:rsidP="002727E0">
      <w:pPr>
        <w:shd w:val="clear" w:color="auto" w:fill="FFFFFF"/>
        <w:spacing w:after="0"/>
        <w:jc w:val="both"/>
      </w:pPr>
    </w:p>
    <w:p w:rsidR="00063C54" w:rsidRPr="00FA2A60" w:rsidRDefault="00063C54" w:rsidP="00FA2A60"/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D80AD5" w:rsidRPr="00B73A7D" w:rsidRDefault="006850A1" w:rsidP="00C92AE2">
      <w:r>
        <w:t>PZ má dopady pouze na systém LPIS. Archivace tisků si bude vyžadovat v delším časovém horizontu nároky na diskový prostor do 1 TB da</w:t>
      </w:r>
      <w:r w:rsidR="008D6C96">
        <w:t xml:space="preserve">t. </w:t>
      </w:r>
    </w:p>
    <w:p w:rsidR="0000551E" w:rsidRPr="001A0600" w:rsidRDefault="0000551E" w:rsidP="0036339E">
      <w:pPr>
        <w:pStyle w:val="Titulek"/>
      </w:pPr>
      <w:r w:rsidRPr="00D9688A">
        <w:t xml:space="preserve">(Pozn.: </w:t>
      </w:r>
      <w:r w:rsidR="001A0600" w:rsidRPr="00D9688A">
        <w:t>V případě předpokládaných</w:t>
      </w:r>
      <w:r w:rsidRPr="00D9688A">
        <w:t xml:space="preserve"> </w:t>
      </w:r>
      <w:r w:rsidR="001A0600" w:rsidRPr="00D9688A">
        <w:t xml:space="preserve">či možných </w:t>
      </w:r>
      <w:r w:rsidRPr="00D9688A">
        <w:t>dopad</w:t>
      </w:r>
      <w:r w:rsidR="001A0600" w:rsidRPr="00D9688A">
        <w:t>ů</w:t>
      </w:r>
      <w:r w:rsidRPr="00D9688A">
        <w:t xml:space="preserve"> změny na agendu, aplikaci, data, infrastrukturu nebo na bezpečnost </w:t>
      </w:r>
      <w:r w:rsidR="001A0600" w:rsidRPr="00D9688A">
        <w:t xml:space="preserve">je </w:t>
      </w:r>
      <w:r w:rsidR="002B04AE" w:rsidRPr="00D9688A">
        <w:t>třeba</w:t>
      </w:r>
      <w:r w:rsidRPr="00D9688A">
        <w:t xml:space="preserve"> </w:t>
      </w:r>
      <w:r w:rsidR="00D9688A" w:rsidRPr="00D9688A">
        <w:t>si vyžádat stanovisko</w:t>
      </w:r>
      <w:r w:rsidRPr="00D9688A">
        <w:t xml:space="preserve"> relevantní</w:t>
      </w:r>
      <w:r w:rsidR="00D9688A" w:rsidRPr="00D9688A">
        <w:t>ch specialistů</w:t>
      </w:r>
      <w:r w:rsidRPr="00D9688A">
        <w:t>, tedy věcn</w:t>
      </w:r>
      <w:r w:rsidR="00D9688A" w:rsidRPr="00D9688A">
        <w:t>ého</w:t>
      </w:r>
      <w:r w:rsidRPr="00D9688A">
        <w:t>/metodick</w:t>
      </w:r>
      <w:r w:rsidR="00D9688A" w:rsidRPr="00D9688A">
        <w:t>ého, provozního</w:t>
      </w:r>
      <w:r w:rsidR="002B04AE" w:rsidRPr="00D9688A">
        <w:t>,</w:t>
      </w:r>
      <w:r w:rsidRPr="00D9688A">
        <w:t xml:space="preserve"> bezpečnostní</w:t>
      </w:r>
      <w:r w:rsidR="00D9688A" w:rsidRPr="00D9688A">
        <w:t>ho garanta, příp. architekta</w:t>
      </w:r>
      <w:r w:rsidRPr="00D9688A">
        <w:t>.)</w:t>
      </w:r>
    </w:p>
    <w:p w:rsidR="0000551E" w:rsidRDefault="0000551E" w:rsidP="00B22EA6">
      <w:pPr>
        <w:pStyle w:val="Nadpis3"/>
        <w:numPr>
          <w:ilvl w:val="0"/>
          <w:numId w:val="0"/>
        </w:numPr>
      </w:pPr>
    </w:p>
    <w:p w:rsidR="00411B8E" w:rsidRDefault="00411B8E" w:rsidP="00CC7ED5">
      <w:pPr>
        <w:pStyle w:val="Nadpis2"/>
      </w:pPr>
      <w:r>
        <w:t>Požadavky na součinnost Agribus</w:t>
      </w:r>
    </w:p>
    <w:p w:rsidR="006850A1" w:rsidRPr="006850A1" w:rsidRDefault="006850A1" w:rsidP="006850A1">
      <w:r>
        <w:t>Nejsou</w:t>
      </w:r>
    </w:p>
    <w:p w:rsidR="00411B8E" w:rsidRPr="00411B8E" w:rsidRDefault="00FE5704" w:rsidP="0036339E">
      <w:pPr>
        <w:pStyle w:val="Titulek"/>
      </w:pPr>
      <w:r w:rsidRPr="00411B8E">
        <w:t xml:space="preserve"> </w:t>
      </w:r>
      <w:r w:rsidR="00411B8E" w:rsidRPr="00411B8E">
        <w:t>(Pozn.: Pokud existují požadavky na součinnost Agribus, uveďte specifikaci služby ve formě stru</w:t>
      </w:r>
      <w:r w:rsidR="00841811">
        <w:t xml:space="preserve">kturovaného </w:t>
      </w:r>
      <w:r w:rsidR="00446E5A">
        <w:t>požadavku</w:t>
      </w:r>
      <w:r w:rsidR="00841811">
        <w:t xml:space="preserve"> (request) a odpovědi (response) </w:t>
      </w:r>
      <w:r w:rsidR="00411B8E" w:rsidRPr="00411B8E">
        <w:t xml:space="preserve">s vyznačenou </w:t>
      </w:r>
      <w:r w:rsidR="00841811">
        <w:t>změnou</w:t>
      </w:r>
      <w:r w:rsidR="00446E5A">
        <w:t>.</w:t>
      </w:r>
      <w:r w:rsidR="00841811">
        <w:t>)</w:t>
      </w:r>
    </w:p>
    <w:p w:rsidR="00411B8E" w:rsidRPr="00411B8E" w:rsidRDefault="00411B8E" w:rsidP="00411B8E"/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063C54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063C54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063C54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063C54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:rsidR="0000551E" w:rsidRPr="0042789D" w:rsidRDefault="0000551E" w:rsidP="0016270D"/>
    <w:p w:rsidR="0042789D" w:rsidRDefault="0042789D" w:rsidP="00CC7ED5">
      <w:pPr>
        <w:pStyle w:val="Nadpis2"/>
      </w:pPr>
      <w:r>
        <w:lastRenderedPageBreak/>
        <w:t xml:space="preserve">Bezpečnost </w:t>
      </w:r>
    </w:p>
    <w:p w:rsidR="0042789D" w:rsidRPr="00F7707A" w:rsidRDefault="0042789D" w:rsidP="0042789D">
      <w:r w:rsidRPr="00F7707A">
        <w:t xml:space="preserve">PZ je nezbytné vyvíjet s ohledem na Směrnici standardu systémové bezpečnosti 2.4. </w:t>
      </w:r>
      <w:r>
        <w:t>zejména ve smyslu dohledatelnosti vypočtených výsledků – PZ detailně popisuje požadavky v této věci.</w:t>
      </w:r>
    </w:p>
    <w:p w:rsidR="0042789D" w:rsidRPr="0042789D" w:rsidRDefault="0042789D" w:rsidP="0042789D"/>
    <w:p w:rsidR="0000551E" w:rsidRDefault="0000551E" w:rsidP="00CC7ED5">
      <w:pPr>
        <w:pStyle w:val="Nadpis2"/>
      </w:pPr>
      <w:r w:rsidRPr="006C3557">
        <w:t>Rizika implementace změny</w:t>
      </w:r>
    </w:p>
    <w:p w:rsidR="00FC49B9" w:rsidRPr="00FC49B9" w:rsidRDefault="0042789D" w:rsidP="00FC49B9">
      <w:r>
        <w:t>Existuje riziko</w:t>
      </w:r>
      <w:r w:rsidR="001A6C92">
        <w:t xml:space="preserve"> z prodlení, pokud nebude objednáno včas, tj. do konce dubna</w:t>
      </w:r>
      <w:r w:rsidR="00635103">
        <w:t xml:space="preserve"> a nebude tak </w:t>
      </w:r>
      <w:r w:rsidR="00213E99">
        <w:t>možno</w:t>
      </w:r>
      <w:r w:rsidR="00635103">
        <w:t xml:space="preserve"> dodržet plánovaný termín realizace.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1F4C72" w:rsidRDefault="0000551E" w:rsidP="0036339E">
      <w:pPr>
        <w:pStyle w:val="Titulek"/>
      </w:pPr>
      <w:r w:rsidRPr="001F4C72">
        <w:t>(Pozn.: Uveďte, zda zařadit</w:t>
      </w:r>
      <w:r>
        <w:t xml:space="preserve"> změnu </w:t>
      </w:r>
      <w:r w:rsidRPr="001F4C72">
        <w:t>do stávající</w:t>
      </w:r>
      <w:r>
        <w:t xml:space="preserve"> provozní</w:t>
      </w:r>
      <w:r w:rsidRPr="001F4C72">
        <w:t xml:space="preserve"> smlouvy, konkrétní požadavky na požadované služby, SLA.)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323"/>
        <w:gridCol w:w="1308"/>
        <w:gridCol w:w="1338"/>
      </w:tblGrid>
      <w:tr w:rsidR="007C4D91" w:rsidRPr="00276A3F" w:rsidTr="00D01268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91" w:rsidRPr="00276A3F" w:rsidRDefault="007C4D91" w:rsidP="00D0126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91" w:rsidRPr="00276A3F" w:rsidRDefault="007C4D91" w:rsidP="00D0126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91" w:rsidDel="000F27BA" w:rsidRDefault="007C4D91" w:rsidP="00D0126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7C4D91" w:rsidRPr="00276A3F" w:rsidTr="00D01268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4D91" w:rsidRPr="00276A3F" w:rsidRDefault="007C4D91" w:rsidP="00D0126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4D91" w:rsidRPr="00276A3F" w:rsidDel="000F27BA" w:rsidRDefault="007C4D91" w:rsidP="00D0126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91" w:rsidRPr="00EA310A" w:rsidDel="000F27BA" w:rsidRDefault="007C4D91" w:rsidP="00D0126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91" w:rsidRPr="00EA310A" w:rsidDel="000F27BA" w:rsidRDefault="007C4D91" w:rsidP="00D0126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91" w:rsidRPr="00EA310A" w:rsidDel="000F27BA" w:rsidRDefault="007C4D91" w:rsidP="00D0126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Implementační dokument</w:t>
            </w:r>
          </w:p>
        </w:tc>
        <w:tc>
          <w:tcPr>
            <w:tcW w:w="132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276A3F" w:rsidRDefault="007C4D91" w:rsidP="00D0126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7C4D91" w:rsidRPr="00276A3F" w:rsidTr="00D0126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Pr="004F2BA0" w:rsidRDefault="007C4D91" w:rsidP="00D0126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4D91" w:rsidRDefault="007C4D91" w:rsidP="006351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WS konzumentské testy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4D91" w:rsidRDefault="007C4D91" w:rsidP="00D01268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7C4D91" w:rsidRPr="0090087E" w:rsidRDefault="007C4D91" w:rsidP="007C4D91">
      <w:pPr>
        <w:rPr>
          <w:b/>
        </w:rPr>
      </w:pPr>
      <w:r w:rsidRPr="0090087E">
        <w:rPr>
          <w:b/>
        </w:rPr>
        <w:t>ROZSAH TECHNICKÉ DOKUMENTACE</w:t>
      </w:r>
    </w:p>
    <w:p w:rsidR="007C4D91" w:rsidRPr="0090087E" w:rsidRDefault="007C4D91" w:rsidP="007C4D91">
      <w:pPr>
        <w:pStyle w:val="Odstavecseseznamem"/>
        <w:numPr>
          <w:ilvl w:val="0"/>
          <w:numId w:val="28"/>
        </w:numPr>
        <w:spacing w:after="120"/>
        <w:ind w:left="1060" w:hanging="703"/>
        <w:contextualSpacing w:val="0"/>
        <w:rPr>
          <w:b/>
        </w:rPr>
      </w:pPr>
      <w:r w:rsidRPr="0090087E">
        <w:rPr>
          <w:b/>
        </w:rPr>
        <w:t xml:space="preserve">Sparx EA modelu (zejména ArchiMate modelu) </w:t>
      </w:r>
    </w:p>
    <w:p w:rsidR="007C4D91" w:rsidRPr="0090087E" w:rsidRDefault="007C4D91" w:rsidP="007C4D91">
      <w:pPr>
        <w:pStyle w:val="Odstavecseseznamem"/>
        <w:widowControl w:val="0"/>
        <w:ind w:left="1066"/>
        <w:jc w:val="both"/>
      </w:pPr>
      <w:r w:rsidRPr="0090087E">
        <w:t>V případě, že v rámci implementace dojde k jeho změnám oproti návrhu architektury připravenému jako součást analýzy, provede se aktualizace modelu. Sparx EA model by měl zahrnovat: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Aplikační komponenty tvořící řešení, případně dílčí komponenty v podobě ArchiMate Application Component,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Vymezení relevantních dílčích funkcionalit jako ArchiMate koncepty Application Function přidělené k příslušné aplikační komponentě (Application Component),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Prvky webových služeb reprezentované ArchiMate Application Service,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Hlavní datové objekty a číselníky reprezentovány ArchiMate Data Object,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Activity model/diagramy anebo sekvenční model/diagramy logiky zpracování definovaných typů dokumentů,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Doplnění modelu o integrace na externí systémy (konzumace integračních funkcionalit, služeb a rozhraní), znázorněné ArchiMate vazbou Used by.</w:t>
      </w:r>
    </w:p>
    <w:p w:rsidR="007C4D91" w:rsidRPr="0090087E" w:rsidRDefault="007C4D91" w:rsidP="007C4D91">
      <w:pPr>
        <w:jc w:val="both"/>
      </w:pPr>
    </w:p>
    <w:p w:rsidR="007C4D91" w:rsidRPr="0090087E" w:rsidRDefault="007C4D91" w:rsidP="007C4D91">
      <w:pPr>
        <w:pStyle w:val="Odstavecseseznamem"/>
        <w:numPr>
          <w:ilvl w:val="0"/>
          <w:numId w:val="28"/>
        </w:numPr>
        <w:spacing w:after="120"/>
        <w:ind w:left="1060" w:hanging="703"/>
        <w:contextualSpacing w:val="0"/>
        <w:jc w:val="both"/>
        <w:rPr>
          <w:b/>
        </w:rPr>
      </w:pPr>
      <w:r w:rsidRPr="0090087E">
        <w:rPr>
          <w:b/>
        </w:rPr>
        <w:t>Bezpečnostní dokumentace</w:t>
      </w:r>
    </w:p>
    <w:p w:rsidR="007C4D91" w:rsidRPr="0090087E" w:rsidRDefault="007C4D91" w:rsidP="007C4D91">
      <w:pPr>
        <w:pStyle w:val="Odstavecseseznamem"/>
        <w:ind w:left="1065"/>
        <w:jc w:val="both"/>
      </w:pPr>
      <w:r w:rsidRPr="0090087E">
        <w:t>Jde o přehled bezpečnostních opatření, který jen odkazuje, kde v technické dokumentaci se nalézá jejich popis.</w:t>
      </w:r>
    </w:p>
    <w:p w:rsidR="007C4D91" w:rsidRPr="0090087E" w:rsidRDefault="007C4D91" w:rsidP="007C4D91">
      <w:pPr>
        <w:pStyle w:val="Odstavecseseznamem"/>
        <w:ind w:left="1065"/>
        <w:jc w:val="both"/>
      </w:pPr>
      <w:r w:rsidRPr="0090087E">
        <w:t>Jedná se především o popis těchto bezpečnostních opatření (jsou-li relevantní):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Řízení přístupu, role, autentizace a autorizace, druhy a správa účtů,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Omezení oprávnění (princip minimálních oprávnění),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Proces řízení účtů (přidělování/odebírání, vytváření/rušení)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Auditní mechanismy, napojení na SIEM (Syslog, SNP TRAP, Textový soubor, JDBC, Microsoft Event Log…),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Šifrování,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lastRenderedPageBreak/>
        <w:t>Zabezpečení webového rozhraní, je-li součástí systému,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Certifikační autority a PKI,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Zajištění integrity dat,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Zajištění dostupnosti dat (redundance, cluster, HA…),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Zálohování, způsob, rozvrh,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Obnovení ze zálohy (DRP) včetně předpokládané doby obnovy.</w:t>
      </w:r>
    </w:p>
    <w:p w:rsidR="007C4D91" w:rsidRPr="0090087E" w:rsidRDefault="007C4D91" w:rsidP="007C4D91">
      <w:pPr>
        <w:pStyle w:val="Odstavecseseznamem"/>
        <w:numPr>
          <w:ilvl w:val="1"/>
          <w:numId w:val="28"/>
        </w:numPr>
        <w:ind w:left="1418" w:hanging="338"/>
        <w:jc w:val="both"/>
      </w:pPr>
      <w:r w:rsidRPr="0090087E">
        <w:t>Předpokládá se, že existuje síťové schéma, komunikační schéma a zdrojový kód.</w:t>
      </w:r>
    </w:p>
    <w:p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00551E" w:rsidRDefault="0000551E" w:rsidP="0036339E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00551E" w:rsidRPr="008964A9" w:rsidRDefault="0000551E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0551E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0551E" w:rsidRPr="006C3557" w:rsidTr="00FE5704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0551E" w:rsidRPr="004F2BA0" w:rsidRDefault="0000551E" w:rsidP="00147567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00551E" w:rsidRPr="006C3557" w:rsidRDefault="00BA10C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Funkční</w:t>
            </w:r>
            <w:r w:rsidR="006148ED">
              <w:rPr>
                <w:rFonts w:cs="Arial"/>
                <w:color w:val="000000"/>
                <w:szCs w:val="22"/>
                <w:lang w:eastAsia="cs-CZ"/>
              </w:rPr>
              <w:t xml:space="preserve"> tiskové sestavy Zelené nafty</w:t>
            </w:r>
          </w:p>
        </w:tc>
        <w:tc>
          <w:tcPr>
            <w:tcW w:w="2551" w:type="dxa"/>
            <w:vAlign w:val="center"/>
          </w:tcPr>
          <w:p w:rsidR="0000551E" w:rsidRPr="006C3557" w:rsidRDefault="006148E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Uživatelský TC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1C0" w:rsidRPr="006C3557" w:rsidRDefault="002D4D99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</w:tr>
      <w:tr w:rsidR="0000551E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0551E" w:rsidRPr="004F2BA0" w:rsidRDefault="0000551E" w:rsidP="00147567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31C0" w:rsidRPr="006C3557" w:rsidRDefault="006E31C0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Default="0000551E">
      <w:pPr>
        <w:spacing w:after="0"/>
        <w:rPr>
          <w:rFonts w:cs="Arial"/>
          <w:szCs w:val="22"/>
        </w:rPr>
      </w:pPr>
    </w:p>
    <w:p w:rsidR="0000551E" w:rsidRPr="00A030CD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6C3557" w:rsidRDefault="00FE5704" w:rsidP="0096709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42789D">
              <w:rPr>
                <w:rFonts w:cs="Arial"/>
                <w:color w:val="000000"/>
                <w:szCs w:val="22"/>
                <w:lang w:eastAsia="cs-CZ"/>
              </w:rPr>
              <w:t>5</w:t>
            </w:r>
            <w:r w:rsidR="002C7709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6C3557" w:rsidRDefault="0042789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</w:t>
            </w:r>
            <w:r w:rsidR="002C7709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</w:tbl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  <w:r w:rsidR="004D099A">
              <w:rPr>
                <w:rFonts w:cs="Arial"/>
                <w:color w:val="000000"/>
                <w:szCs w:val="22"/>
                <w:lang w:eastAsia="cs-CZ"/>
              </w:rPr>
              <w:t xml:space="preserve"> (mimo tisků ECP)</w:t>
            </w:r>
          </w:p>
        </w:tc>
        <w:tc>
          <w:tcPr>
            <w:tcW w:w="3398" w:type="dxa"/>
            <w:vAlign w:val="center"/>
          </w:tcPr>
          <w:p w:rsidR="0000551E" w:rsidRPr="006C3557" w:rsidRDefault="002D4D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17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D099A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4D099A" w:rsidRDefault="004D099A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 (za tisky ECP)</w:t>
            </w:r>
          </w:p>
        </w:tc>
        <w:tc>
          <w:tcPr>
            <w:tcW w:w="3398" w:type="dxa"/>
            <w:vAlign w:val="center"/>
          </w:tcPr>
          <w:p w:rsidR="004D099A" w:rsidRDefault="004D099A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417" w:type="dxa"/>
            <w:vAlign w:val="center"/>
          </w:tcPr>
          <w:p w:rsidR="004D099A" w:rsidRPr="006C3557" w:rsidRDefault="004D099A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D099A" w:rsidRPr="006C3557" w:rsidRDefault="004D099A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D099A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4D099A" w:rsidRPr="006C3557" w:rsidRDefault="004D099A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4D099A" w:rsidRPr="006C3557" w:rsidRDefault="002D4D99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17" w:type="dxa"/>
            <w:vAlign w:val="center"/>
          </w:tcPr>
          <w:p w:rsidR="004D099A" w:rsidRPr="006C3557" w:rsidRDefault="004D099A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D099A" w:rsidRPr="006C3557" w:rsidRDefault="004D099A" w:rsidP="004D099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4"/>
          <w:footerReference w:type="default" r:id="rId15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815C41" w:rsidRPr="0036339E">
        <w:rPr>
          <w:rFonts w:cs="Arial"/>
          <w:b/>
          <w:caps/>
          <w:szCs w:val="22"/>
        </w:rPr>
        <w:t>Z26109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2B0E7B" w:rsidRPr="006C3557" w:rsidTr="00BA10CD">
        <w:tc>
          <w:tcPr>
            <w:tcW w:w="1779" w:type="dxa"/>
            <w:shd w:val="clear" w:color="auto" w:fill="auto"/>
          </w:tcPr>
          <w:p w:rsidR="002B0E7B" w:rsidRPr="00BA10CD" w:rsidRDefault="002B0E7B" w:rsidP="00BA10CD">
            <w:pPr>
              <w:pStyle w:val="Tabulka"/>
              <w:spacing w:before="40"/>
              <w:rPr>
                <w:rStyle w:val="Siln"/>
                <w:szCs w:val="22"/>
              </w:rPr>
            </w:pPr>
            <w:r w:rsidRPr="00BA10CD">
              <w:rPr>
                <w:b/>
                <w:szCs w:val="22"/>
              </w:rPr>
              <w:t>ID ShP MZe</w:t>
            </w:r>
            <w:r w:rsidRPr="00BA10CD">
              <w:rPr>
                <w:szCs w:val="22"/>
              </w:rPr>
              <w:t>:</w:t>
            </w:r>
          </w:p>
        </w:tc>
        <w:tc>
          <w:tcPr>
            <w:tcW w:w="2615" w:type="dxa"/>
            <w:shd w:val="clear" w:color="auto" w:fill="auto"/>
          </w:tcPr>
          <w:p w:rsidR="002B0E7B" w:rsidRPr="00BA10CD" w:rsidRDefault="002B0E7B" w:rsidP="00BA10CD">
            <w:pPr>
              <w:pStyle w:val="Tabulka"/>
              <w:spacing w:before="40"/>
              <w:rPr>
                <w:rStyle w:val="Sil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0E7B" w:rsidRPr="00BA10CD" w:rsidRDefault="002B0E7B" w:rsidP="00BA10CD">
            <w:pPr>
              <w:pStyle w:val="Tabulka"/>
              <w:spacing w:before="40"/>
              <w:rPr>
                <w:rStyle w:val="Siln"/>
                <w:szCs w:val="22"/>
              </w:rPr>
            </w:pPr>
            <w:r w:rsidRPr="00BA10CD">
              <w:rPr>
                <w:b/>
                <w:szCs w:val="22"/>
              </w:rPr>
              <w:t>ID PK MZe</w:t>
            </w:r>
            <w:r w:rsidRPr="00BA10CD">
              <w:rPr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2B0E7B" w:rsidRPr="00BA10CD" w:rsidRDefault="00815C41" w:rsidP="00BA10CD">
            <w:pPr>
              <w:pStyle w:val="Tabulka"/>
              <w:spacing w:before="40"/>
              <w:rPr>
                <w:szCs w:val="22"/>
              </w:rPr>
            </w:pPr>
            <w:r w:rsidRPr="00BA10CD">
              <w:rPr>
                <w:szCs w:val="22"/>
              </w:rPr>
              <w:t>457</w:t>
            </w:r>
          </w:p>
        </w:tc>
      </w:tr>
    </w:tbl>
    <w:p w:rsidR="0000551E" w:rsidRDefault="0036339E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 xml:space="preserve">id pro komunikaci s dodavatelem: </w:t>
      </w:r>
      <w:r w:rsidRPr="0036339E">
        <w:rPr>
          <w:rFonts w:cs="Arial"/>
          <w:caps/>
          <w:szCs w:val="22"/>
        </w:rPr>
        <w:t>PZ_PRAIS_2019_No277_LPIS_zelená_nafta</w:t>
      </w:r>
    </w:p>
    <w:p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Pr="00B27B87" w:rsidRDefault="0036339E" w:rsidP="00B27B87">
      <w:r>
        <w:t>Viz část A tohoto PZ, body 2 a 3.</w:t>
      </w:r>
    </w:p>
    <w:p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36339E" w:rsidP="00CC4564">
      <w:r>
        <w:t xml:space="preserve">V souladu s podmínkami smlouvy </w:t>
      </w:r>
      <w:r w:rsidRPr="0036339E">
        <w:t>353-2015-13310/1,2,3,4,5</w:t>
      </w:r>
      <w:r w:rsidR="008D5618">
        <w:t>,6</w:t>
      </w:r>
    </w:p>
    <w:p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00551E" w:rsidRDefault="001811BE" w:rsidP="0036339E">
      <w:pPr>
        <w:pStyle w:val="Titulek"/>
      </w:pPr>
      <w:r>
        <w:rPr>
          <w:noProof/>
        </w:rPr>
        <w:object w:dxaOrig="1440" w:dyaOrig="1440">
          <v:shape id="_x0000_s1026" type="#_x0000_t75" style="position:absolute;margin-left:441.8pt;margin-top:5.4pt;width:66.95pt;height:49.4pt;z-index:251657728">
            <v:imagedata r:id="rId16" o:title=""/>
            <w10:wrap type="square"/>
          </v:shape>
          <o:OLEObject Type="Embed" ProgID="Word.Document.12" ShapeID="_x0000_s1026" DrawAspect="Icon" ObjectID="_1620210361" r:id="rId17">
            <o:FieldCodes>\s</o:FieldCodes>
          </o:OLEObject>
        </w:object>
      </w:r>
      <w:r w:rsidR="0000551E" w:rsidRPr="00543429">
        <w:t>(Pozn.: V popisu dopadů zohledněte strukturu informací uvedenou v části A - Věcné zadání v bod</w:t>
      </w:r>
      <w:r w:rsidR="0000551E">
        <w:t>u</w:t>
      </w:r>
      <w:r w:rsidR="0000551E" w:rsidRPr="00543429">
        <w:t xml:space="preserve"> </w:t>
      </w:r>
      <w:r w:rsidR="0000551E">
        <w:t>4</w:t>
      </w:r>
      <w:r w:rsidR="003B0C0E">
        <w:t>, přičemž u dopadů dle bodu</w:t>
      </w:r>
      <w:r w:rsidR="0000551E">
        <w:t xml:space="preserve"> 4.1 uveďte, zda může mít změna dopad do agendy, aplikace, na data, na síťovou strukturu, na serverovou infrastrukturu, na bezpečnost.  </w:t>
      </w:r>
    </w:p>
    <w:p w:rsidR="0000551E" w:rsidRPr="00923468" w:rsidRDefault="0000551E" w:rsidP="0036339E">
      <w:pPr>
        <w:pStyle w:val="Titulek"/>
        <w:rPr>
          <w:szCs w:val="22"/>
        </w:rPr>
      </w:pPr>
      <w:r w:rsidRPr="00543429">
        <w:t>Pokud má požadavek dopady do dalších požadavků MZe, uveďte je též v tomto bodu.</w:t>
      </w:r>
    </w:p>
    <w:p w:rsidR="0000551E" w:rsidRDefault="0000551E" w:rsidP="0036339E">
      <w:pPr>
        <w:pStyle w:val="Titulek"/>
      </w:pPr>
      <w:r w:rsidRPr="004C022A">
        <w:t>V případě, že má změna dopady na síťovou infrastrukturu, doplňte tabulku v připojeném souboru - otevřete dvojklikem):</w:t>
      </w:r>
      <w:r>
        <w:t xml:space="preserve"> </w:t>
      </w:r>
      <w:r w:rsidRPr="00F135D0">
        <w:t xml:space="preserve"> </w:t>
      </w:r>
      <w:r w:rsidRPr="00862163">
        <w:t xml:space="preserve"> </w:t>
      </w:r>
      <w:r w:rsidRPr="00F135D0">
        <w:t xml:space="preserve"> </w:t>
      </w:r>
      <w:r>
        <w:t xml:space="preserve"> </w:t>
      </w:r>
    </w:p>
    <w:p w:rsidR="0000551E" w:rsidRPr="00BA1643" w:rsidRDefault="0000551E" w:rsidP="00EC6856">
      <w:pPr>
        <w:rPr>
          <w:rFonts w:cs="Arial"/>
          <w:szCs w:val="22"/>
        </w:rPr>
      </w:pP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8D5618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C49B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C49B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543429" w:rsidRDefault="0000551E" w:rsidP="0036339E">
      <w:pPr>
        <w:pStyle w:val="Titulek"/>
      </w:pPr>
      <w:r w:rsidRPr="00543429">
        <w:t>(Pozn.: K popisu požadavku uveďte etapu, kdy bude součinnost vyžadována.)</w:t>
      </w:r>
    </w:p>
    <w:p w:rsidR="0000551E" w:rsidRPr="006033CF" w:rsidRDefault="0000551E" w:rsidP="006033CF"/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D5618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702CA" w:rsidRPr="00F23D33" w:rsidRDefault="00B702C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k testům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B702C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31.5.2019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B702C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B702C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30.6.2019</w:t>
            </w:r>
          </w:p>
        </w:tc>
      </w:tr>
      <w:tr w:rsidR="00B702CA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702CA" w:rsidRDefault="00B702C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702CA" w:rsidRPr="00F23D33" w:rsidRDefault="00B702C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31.7.2019</w:t>
            </w:r>
            <w:r w:rsidR="008D5618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00551E" w:rsidRPr="008D5618" w:rsidRDefault="008D5618" w:rsidP="008D5618">
      <w:pPr>
        <w:spacing w:before="40"/>
        <w:rPr>
          <w:rFonts w:cs="Arial"/>
          <w:i/>
          <w:sz w:val="20"/>
          <w:szCs w:val="22"/>
        </w:rPr>
      </w:pPr>
      <w:r w:rsidRPr="008D5618">
        <w:rPr>
          <w:rFonts w:cs="Arial"/>
          <w:i/>
          <w:sz w:val="20"/>
          <w:szCs w:val="22"/>
        </w:rPr>
        <w:t>*/ Uvedený harmonogram je platný pouze v případě, že Dodavatel obdrží objednávku do 25.04.2019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701"/>
        <w:gridCol w:w="1557"/>
      </w:tblGrid>
      <w:tr w:rsidR="001C1FA1" w:rsidRPr="00F23D33" w:rsidTr="00BA10C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szCs w:val="22"/>
              </w:rPr>
            </w:pPr>
            <w:r w:rsidRPr="00BA10CD">
              <w:rPr>
                <w:b/>
                <w:szCs w:val="22"/>
              </w:rPr>
              <w:t>Oblast / role</w:t>
            </w:r>
            <w:r w:rsidRPr="00BA10CD">
              <w:rPr>
                <w:rStyle w:val="Odkaznavysvtlivky"/>
                <w:szCs w:val="22"/>
              </w:rPr>
              <w:endnoteReference w:id="14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v Kč s DPH:</w:t>
            </w:r>
          </w:p>
        </w:tc>
      </w:tr>
      <w:tr w:rsidR="001C1FA1" w:rsidRPr="00F23D33" w:rsidTr="00BA10CD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</w:tcPr>
          <w:p w:rsidR="0000551E" w:rsidRPr="00BA10CD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1C1FA1" w:rsidRPr="00F23D33" w:rsidTr="00BA10CD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D5618" w:rsidRPr="00BA10CD" w:rsidRDefault="008D5618" w:rsidP="008D5618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D5618" w:rsidRPr="00BA10CD" w:rsidRDefault="008D5618" w:rsidP="008D5618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8D5618" w:rsidRPr="00BA10CD" w:rsidRDefault="00667F0B" w:rsidP="00BA10CD">
            <w:pPr>
              <w:pStyle w:val="Tabulka"/>
              <w:jc w:val="center"/>
              <w:rPr>
                <w:szCs w:val="22"/>
              </w:rPr>
            </w:pPr>
            <w:r w:rsidRPr="00BA10CD">
              <w:rPr>
                <w:szCs w:val="22"/>
              </w:rPr>
              <w:t>124,1</w:t>
            </w:r>
            <w:r w:rsidR="008D5618" w:rsidRPr="00BA10CD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8D5618" w:rsidRPr="00BA10CD" w:rsidRDefault="00667F0B" w:rsidP="008D5618">
            <w:pPr>
              <w:pStyle w:val="Tabulka"/>
              <w:rPr>
                <w:szCs w:val="22"/>
              </w:rPr>
            </w:pPr>
            <w:r>
              <w:t>1 045 256,63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shd w:val="clear" w:color="auto" w:fill="auto"/>
          </w:tcPr>
          <w:p w:rsidR="008D5618" w:rsidRPr="00BA10CD" w:rsidRDefault="00667F0B" w:rsidP="008D5618">
            <w:pPr>
              <w:pStyle w:val="Tabulka"/>
              <w:rPr>
                <w:szCs w:val="22"/>
              </w:rPr>
            </w:pPr>
            <w:r>
              <w:t>1 264 760,52</w:t>
            </w:r>
          </w:p>
        </w:tc>
      </w:tr>
      <w:tr w:rsidR="001C1FA1" w:rsidRPr="00F23D33" w:rsidTr="00BA10CD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7F0B" w:rsidRPr="00BA10CD" w:rsidRDefault="00667F0B" w:rsidP="00667F0B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667F0B" w:rsidRPr="00BA10CD" w:rsidRDefault="00667F0B" w:rsidP="00BA10CD">
            <w:pPr>
              <w:pStyle w:val="Tabulka"/>
              <w:jc w:val="center"/>
              <w:rPr>
                <w:szCs w:val="22"/>
              </w:rPr>
            </w:pPr>
            <w:r w:rsidRPr="00BA10CD">
              <w:rPr>
                <w:szCs w:val="22"/>
              </w:rPr>
              <w:t>124,13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667F0B" w:rsidRPr="00BA10CD" w:rsidRDefault="00667F0B" w:rsidP="00667F0B">
            <w:pPr>
              <w:pStyle w:val="Tabulka"/>
              <w:rPr>
                <w:szCs w:val="22"/>
              </w:rPr>
            </w:pPr>
            <w:r>
              <w:t>1 045 256,63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shd w:val="clear" w:color="auto" w:fill="auto"/>
          </w:tcPr>
          <w:p w:rsidR="00667F0B" w:rsidRPr="00BA10CD" w:rsidRDefault="00667F0B" w:rsidP="00667F0B">
            <w:pPr>
              <w:pStyle w:val="Tabulka"/>
              <w:rPr>
                <w:szCs w:val="22"/>
              </w:rPr>
            </w:pPr>
            <w:r>
              <w:t>1 264 760,52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36339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36339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36339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8D561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8D561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8D561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00551E" w:rsidRDefault="0000551E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:rsidTr="0036339E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5"/>
            </w:r>
            <w:r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:rsidTr="008D5618">
        <w:trPr>
          <w:trHeight w:val="587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363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00551E" w:rsidRPr="006C3557" w:rsidRDefault="002D4D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815C41" w:rsidRPr="00815C41">
        <w:rPr>
          <w:rFonts w:cs="Arial"/>
          <w:b/>
          <w:sz w:val="36"/>
          <w:szCs w:val="36"/>
        </w:rPr>
        <w:t>Z26109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7E224F" w:rsidRPr="006C3557" w:rsidTr="00BA10CD">
        <w:tc>
          <w:tcPr>
            <w:tcW w:w="1779" w:type="dxa"/>
            <w:shd w:val="clear" w:color="auto" w:fill="auto"/>
          </w:tcPr>
          <w:p w:rsidR="007E224F" w:rsidRPr="00BA10CD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A10CD">
              <w:rPr>
                <w:b/>
                <w:szCs w:val="22"/>
              </w:rPr>
              <w:t>ID ShP MZe</w:t>
            </w:r>
            <w:r w:rsidRPr="00BA10CD">
              <w:rPr>
                <w:szCs w:val="22"/>
              </w:rPr>
              <w:t>:</w:t>
            </w:r>
          </w:p>
        </w:tc>
        <w:tc>
          <w:tcPr>
            <w:tcW w:w="2544" w:type="dxa"/>
            <w:shd w:val="clear" w:color="auto" w:fill="auto"/>
          </w:tcPr>
          <w:p w:rsidR="007E224F" w:rsidRPr="00BA10CD" w:rsidRDefault="007E224F" w:rsidP="00BA10CD">
            <w:pPr>
              <w:pStyle w:val="Tabulka"/>
              <w:jc w:val="center"/>
              <w:rPr>
                <w:rStyle w:val="Siln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7E224F" w:rsidRPr="00BA10CD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A10CD">
              <w:rPr>
                <w:b/>
                <w:szCs w:val="22"/>
              </w:rPr>
              <w:t>ID PK MZe</w:t>
            </w:r>
            <w:r w:rsidRPr="00BA10CD"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E224F" w:rsidRPr="00BA10CD" w:rsidRDefault="00815C41" w:rsidP="00BA10CD">
            <w:pPr>
              <w:pStyle w:val="Tabulka"/>
              <w:jc w:val="center"/>
              <w:rPr>
                <w:szCs w:val="22"/>
              </w:rPr>
            </w:pPr>
            <w:r w:rsidRPr="00BA10CD">
              <w:rPr>
                <w:szCs w:val="22"/>
              </w:rPr>
              <w:t>457</w:t>
            </w:r>
          </w:p>
        </w:tc>
      </w:tr>
    </w:tbl>
    <w:p w:rsidR="00DD7A03" w:rsidRPr="006C3557" w:rsidRDefault="00DD7A03" w:rsidP="00401780">
      <w:pPr>
        <w:rPr>
          <w:rFonts w:cs="Arial"/>
          <w:szCs w:val="22"/>
        </w:rPr>
      </w:pPr>
    </w:p>
    <w:p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4A3B16">
      <w:pPr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65596D" w:rsidRPr="00CC4564" w:rsidRDefault="0065596D" w:rsidP="0065596D">
      <w:r>
        <w:t xml:space="preserve">V souladu s podmínkami smlouvy </w:t>
      </w:r>
      <w:r w:rsidRPr="0036339E">
        <w:t>353-2015-13310/1,2,3,4,5</w:t>
      </w:r>
      <w:r>
        <w:t>,6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BA61D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A61DE" w:rsidRPr="00F23D33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A61DE" w:rsidRPr="00F23D33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A61DE" w:rsidRPr="006C3557" w:rsidRDefault="00BA61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A61D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A61DE" w:rsidRPr="006C3557" w:rsidRDefault="00BA61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A61DE" w:rsidRPr="006C3557" w:rsidRDefault="00BA61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A61DE" w:rsidRPr="006C3557" w:rsidRDefault="00BA61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4C756F" w:rsidRDefault="0000551E" w:rsidP="00CB3C3C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BA61DE" w:rsidRPr="00F23D33" w:rsidTr="00E33B0D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1DE" w:rsidRPr="00F23D33" w:rsidRDefault="00BA61DE" w:rsidP="00E33B0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E" w:rsidRPr="00F23D33" w:rsidRDefault="00BA61DE" w:rsidP="00E33B0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BA61DE" w:rsidRPr="00F23D33" w:rsidTr="00E33B0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A61DE" w:rsidRPr="00F23D33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k testům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A61DE" w:rsidRPr="00F23D33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31.5.2019</w:t>
            </w:r>
          </w:p>
        </w:tc>
      </w:tr>
      <w:tr w:rsidR="00BA61DE" w:rsidRPr="00F23D33" w:rsidTr="00E33B0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A61DE" w:rsidRPr="00F23D33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A61DE" w:rsidRPr="00F23D33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30.6.2019</w:t>
            </w:r>
          </w:p>
        </w:tc>
      </w:tr>
      <w:tr w:rsidR="00BA61DE" w:rsidRPr="00F23D33" w:rsidTr="00E33B0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A61DE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A61DE" w:rsidRPr="00F23D33" w:rsidRDefault="00BA61DE" w:rsidP="00E33B0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31.7.2019 */</w:t>
            </w:r>
          </w:p>
        </w:tc>
      </w:tr>
    </w:tbl>
    <w:p w:rsidR="00BA61DE" w:rsidRPr="008D5618" w:rsidRDefault="00BA61DE" w:rsidP="00BA61DE">
      <w:pPr>
        <w:spacing w:before="40"/>
        <w:rPr>
          <w:rFonts w:cs="Arial"/>
          <w:i/>
          <w:sz w:val="20"/>
          <w:szCs w:val="22"/>
        </w:rPr>
      </w:pPr>
      <w:r w:rsidRPr="008D5618">
        <w:rPr>
          <w:rFonts w:cs="Arial"/>
          <w:i/>
          <w:sz w:val="20"/>
          <w:szCs w:val="22"/>
        </w:rPr>
        <w:t>*/ Uvedený harmonogram je platný pouze v případě, že Dodavatel obdrží objednávku do 25.04.2019</w:t>
      </w:r>
    </w:p>
    <w:p w:rsidR="0000551E" w:rsidRPr="004C756F" w:rsidRDefault="0000551E" w:rsidP="004C756F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20"/>
        <w:gridCol w:w="1134"/>
        <w:gridCol w:w="1559"/>
        <w:gridCol w:w="1581"/>
      </w:tblGrid>
      <w:tr w:rsidR="001C1FA1" w:rsidRPr="00F23D33" w:rsidTr="00BA61D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szCs w:val="22"/>
              </w:rPr>
            </w:pPr>
            <w:r w:rsidRPr="00BA10CD">
              <w:rPr>
                <w:b/>
                <w:szCs w:val="22"/>
              </w:rPr>
              <w:t>Oblast / role</w:t>
            </w:r>
            <w:r w:rsidRPr="00BA10CD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v Kč s DPH:</w:t>
            </w:r>
          </w:p>
        </w:tc>
      </w:tr>
      <w:tr w:rsidR="001C1FA1" w:rsidRPr="00F23D33" w:rsidTr="00BA61DE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:rsidR="0000551E" w:rsidRPr="00BA10CD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BA61DE" w:rsidRPr="00F23D33" w:rsidTr="00BA61DE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A61DE" w:rsidRPr="00BA10CD" w:rsidRDefault="00BA61D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A61DE" w:rsidRPr="00BA10CD" w:rsidRDefault="00BA61DE" w:rsidP="00E33B0D">
            <w:pPr>
              <w:pStyle w:val="Tabulka"/>
              <w:rPr>
                <w:szCs w:val="22"/>
              </w:rPr>
            </w:pPr>
            <w:r w:rsidRPr="00BA10CD"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BA61DE" w:rsidRPr="00BA10CD" w:rsidRDefault="00BA61DE" w:rsidP="00E33B0D">
            <w:pPr>
              <w:pStyle w:val="Tabulka"/>
              <w:jc w:val="center"/>
              <w:rPr>
                <w:szCs w:val="22"/>
              </w:rPr>
            </w:pPr>
            <w:r w:rsidRPr="00BA10CD">
              <w:rPr>
                <w:szCs w:val="22"/>
              </w:rPr>
              <w:t>124,13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BA61DE" w:rsidRPr="00BA10CD" w:rsidRDefault="00BA61DE" w:rsidP="00E33B0D">
            <w:pPr>
              <w:pStyle w:val="Tabulka"/>
              <w:rPr>
                <w:szCs w:val="22"/>
              </w:rPr>
            </w:pPr>
            <w:r>
              <w:t>1 045 256,63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:rsidR="00BA61DE" w:rsidRPr="00BA10CD" w:rsidRDefault="00BA61DE" w:rsidP="00E33B0D">
            <w:pPr>
              <w:pStyle w:val="Tabulka"/>
              <w:rPr>
                <w:szCs w:val="22"/>
              </w:rPr>
            </w:pPr>
            <w:r>
              <w:t>1 264 760,52</w:t>
            </w:r>
          </w:p>
        </w:tc>
      </w:tr>
      <w:tr w:rsidR="00BA61DE" w:rsidRPr="00F23D33" w:rsidTr="00BA61DE">
        <w:trPr>
          <w:trHeight w:val="397"/>
        </w:trPr>
        <w:tc>
          <w:tcPr>
            <w:tcW w:w="550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61DE" w:rsidRPr="00BA10CD" w:rsidRDefault="00BA61DE" w:rsidP="00153C10">
            <w:pPr>
              <w:pStyle w:val="Tabulka"/>
              <w:rPr>
                <w:b/>
                <w:szCs w:val="22"/>
              </w:rPr>
            </w:pPr>
            <w:r w:rsidRPr="00BA10CD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BA61DE" w:rsidRPr="00BA10CD" w:rsidRDefault="00BA61DE" w:rsidP="00E33B0D">
            <w:pPr>
              <w:pStyle w:val="Tabulka"/>
              <w:jc w:val="center"/>
              <w:rPr>
                <w:szCs w:val="22"/>
              </w:rPr>
            </w:pPr>
            <w:r w:rsidRPr="00BA10CD">
              <w:rPr>
                <w:szCs w:val="22"/>
              </w:rPr>
              <w:t>124,13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BA61DE" w:rsidRPr="00BA10CD" w:rsidRDefault="00BA61DE" w:rsidP="00E33B0D">
            <w:pPr>
              <w:pStyle w:val="Tabulka"/>
              <w:rPr>
                <w:szCs w:val="22"/>
              </w:rPr>
            </w:pPr>
            <w:r>
              <w:t>1 045 256,63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:rsidR="00BA61DE" w:rsidRPr="00BA10CD" w:rsidRDefault="00BA61DE" w:rsidP="00E33B0D">
            <w:pPr>
              <w:pStyle w:val="Tabulka"/>
              <w:rPr>
                <w:szCs w:val="22"/>
              </w:rPr>
            </w:pPr>
            <w:r>
              <w:t>1 264 760,52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CC6780" w:rsidRDefault="0000551E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0551E" w:rsidRPr="00F23D33" w:rsidRDefault="0000551E" w:rsidP="001E3C70">
      <w:pPr>
        <w:spacing w:after="0"/>
        <w:rPr>
          <w:rFonts w:cs="Arial"/>
          <w:sz w:val="8"/>
          <w:szCs w:val="8"/>
        </w:rPr>
      </w:pPr>
    </w:p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8"/>
      </w:r>
    </w:p>
    <w:p w:rsidR="0000551E" w:rsidRDefault="0000551E">
      <w:pPr>
        <w:spacing w:after="0"/>
      </w:pPr>
      <w:r>
        <w:br w:type="page"/>
      </w:r>
    </w:p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19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BA10CD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:rsidR="0000551E" w:rsidRPr="00BA10CD" w:rsidRDefault="0000551E" w:rsidP="00153C10">
            <w:pPr>
              <w:rPr>
                <w:b/>
              </w:rPr>
            </w:pPr>
            <w:r w:rsidRPr="00BA10CD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Pr="00BA10CD" w:rsidRDefault="0000551E" w:rsidP="00153C10">
            <w:pPr>
              <w:rPr>
                <w:b/>
              </w:rPr>
            </w:pPr>
            <w:r w:rsidRPr="00BA10CD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BA10CD" w:rsidRDefault="0000551E" w:rsidP="00153C10">
            <w:pPr>
              <w:rPr>
                <w:b/>
              </w:rPr>
            </w:pPr>
            <w:r w:rsidRPr="00BA10CD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BA10CD" w:rsidRDefault="0000551E" w:rsidP="00153C10">
            <w:pPr>
              <w:rPr>
                <w:b/>
              </w:rPr>
            </w:pPr>
            <w:r w:rsidRPr="00BA10CD">
              <w:rPr>
                <w:b/>
              </w:rPr>
              <w:t>Podpis/Mail</w:t>
            </w:r>
            <w:r w:rsidRPr="00BA10CD">
              <w:rPr>
                <w:rStyle w:val="Odkaznavysvtlivky"/>
                <w:b/>
              </w:rPr>
              <w:endnoteReference w:id="20"/>
            </w:r>
          </w:p>
        </w:tc>
      </w:tr>
      <w:tr w:rsidR="0000551E" w:rsidTr="00BA10CD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2D4D99" w:rsidP="00153C10">
            <w:r>
              <w:t>xxx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6478A9" w:rsidP="00153C10">
            <w:r>
              <w:t>Viz příloha 1</w:t>
            </w:r>
          </w:p>
        </w:tc>
      </w:tr>
      <w:tr w:rsidR="0000551E" w:rsidTr="00BA10CD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2D4D99" w:rsidP="00153C10">
            <w:r>
              <w:t>xxx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6478A9" w:rsidP="00153C10">
            <w:r>
              <w:t>Viz příloha 2</w:t>
            </w:r>
          </w:p>
        </w:tc>
      </w:tr>
      <w:tr w:rsidR="0000551E" w:rsidTr="00BA10CD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</w:tbl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:rsidTr="00BA10CD">
        <w:trPr>
          <w:trHeight w:val="374"/>
        </w:trPr>
        <w:tc>
          <w:tcPr>
            <w:tcW w:w="3256" w:type="dxa"/>
            <w:shd w:val="clear" w:color="auto" w:fill="auto"/>
            <w:vAlign w:val="center"/>
          </w:tcPr>
          <w:p w:rsidR="0000551E" w:rsidRPr="00BA10CD" w:rsidRDefault="0000551E" w:rsidP="00371CE8">
            <w:pPr>
              <w:rPr>
                <w:b/>
              </w:rPr>
            </w:pPr>
            <w:r w:rsidRPr="00BA10CD">
              <w:rPr>
                <w:b/>
              </w:rPr>
              <w:t>Role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551E" w:rsidRPr="00BA10CD" w:rsidRDefault="0000551E" w:rsidP="00371CE8">
            <w:pPr>
              <w:rPr>
                <w:b/>
              </w:rPr>
            </w:pPr>
            <w:r w:rsidRPr="00BA10CD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Pr="00BA10CD" w:rsidRDefault="0000551E" w:rsidP="00371CE8">
            <w:pPr>
              <w:rPr>
                <w:b/>
              </w:rPr>
            </w:pPr>
            <w:r w:rsidRPr="00BA10CD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0551E" w:rsidRPr="00BA10CD" w:rsidRDefault="0000551E" w:rsidP="00371CE8">
            <w:pPr>
              <w:rPr>
                <w:b/>
              </w:rPr>
            </w:pPr>
            <w:r w:rsidRPr="00BA10CD">
              <w:rPr>
                <w:b/>
              </w:rPr>
              <w:t>Podpis</w:t>
            </w:r>
          </w:p>
        </w:tc>
      </w:tr>
      <w:tr w:rsidR="0000551E" w:rsidTr="00BA10CD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00551E" w:rsidRDefault="0000551E" w:rsidP="00371CE8">
            <w:r>
              <w:t>Žadatel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551E" w:rsidRDefault="002D4D99" w:rsidP="00371CE8"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BA10CD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00551E" w:rsidRDefault="0000551E" w:rsidP="00371CE8">
            <w:r>
              <w:t>Věcný/metodický garant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551E" w:rsidRDefault="001C1FA1" w:rsidP="00371CE8">
            <w:r w:rsidRPr="00BA10CD">
              <w:rPr>
                <w:sz w:val="20"/>
                <w:szCs w:val="20"/>
              </w:rPr>
              <w:t>Lenka Typoltová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BA10CD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00551E" w:rsidRDefault="0000551E" w:rsidP="00371CE8">
            <w:r>
              <w:t>Change koordinátor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551E" w:rsidRDefault="002D4D99" w:rsidP="00371CE8"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BA10CD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551E" w:rsidRDefault="001C1FA1" w:rsidP="00371CE8">
            <w:r>
              <w:t>Daniel Hetzer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</w:tbl>
    <w:p w:rsidR="0000551E" w:rsidRPr="009F4F27" w:rsidRDefault="0000551E" w:rsidP="001842B4"/>
    <w:p w:rsidR="0000551E" w:rsidRPr="008F29B6" w:rsidRDefault="0000551E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8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BE" w:rsidRDefault="001811BE" w:rsidP="0000551E">
      <w:pPr>
        <w:spacing w:after="0"/>
      </w:pPr>
      <w:r>
        <w:separator/>
      </w:r>
    </w:p>
  </w:endnote>
  <w:endnote w:type="continuationSeparator" w:id="0">
    <w:p w:rsidR="001811BE" w:rsidRDefault="001811BE" w:rsidP="0000551E">
      <w:pPr>
        <w:spacing w:after="0"/>
      </w:pPr>
      <w:r>
        <w:continuationSeparator/>
      </w:r>
    </w:p>
  </w:endnote>
  <w:endnote w:type="continuationNotice" w:id="1">
    <w:p w:rsidR="001811BE" w:rsidRDefault="001811BE">
      <w:pPr>
        <w:spacing w:after="0"/>
      </w:pPr>
    </w:p>
  </w:endnote>
  <w:endnote w:id="2">
    <w:p w:rsidR="00815C41" w:rsidRPr="00E56B5D" w:rsidRDefault="00815C41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815C41" w:rsidRPr="00E56B5D" w:rsidRDefault="00815C41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815C41" w:rsidRPr="00E56B5D" w:rsidRDefault="00815C41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815C41" w:rsidRPr="00E56B5D" w:rsidRDefault="00815C41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815C41" w:rsidRPr="00E56B5D" w:rsidRDefault="00815C41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815C41" w:rsidRPr="00E56B5D" w:rsidRDefault="00815C41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815C41" w:rsidRPr="00E56B5D" w:rsidRDefault="00815C41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815C41" w:rsidRPr="00E56B5D" w:rsidRDefault="00815C41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815C41" w:rsidRPr="00E56B5D" w:rsidRDefault="00815C41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815C41" w:rsidRPr="00E56B5D" w:rsidRDefault="00815C41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:rsidR="00815C41" w:rsidRPr="00E56B5D" w:rsidRDefault="00815C41" w:rsidP="007C4D91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815C41" w:rsidRPr="00E56B5D" w:rsidRDefault="00815C41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4">
    <w:p w:rsidR="00815C41" w:rsidRPr="00E56B5D" w:rsidRDefault="00815C41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5">
    <w:p w:rsidR="00815C41" w:rsidRPr="00E56B5D" w:rsidRDefault="00815C41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6">
    <w:p w:rsidR="00815C41" w:rsidRPr="00E56B5D" w:rsidRDefault="00815C41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:rsidR="00815C41" w:rsidRPr="00E56B5D" w:rsidRDefault="00815C41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:rsidR="00815C41" w:rsidRPr="00E56B5D" w:rsidRDefault="00815C41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9">
    <w:p w:rsidR="00815C41" w:rsidRPr="00E56B5D" w:rsidRDefault="00815C41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0">
    <w:p w:rsidR="00815C41" w:rsidRDefault="00815C4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41" w:rsidRPr="00CC2560" w:rsidRDefault="00815C41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E470D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E470D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41" w:rsidRPr="00EF7DC4" w:rsidRDefault="00815C41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E470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E470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BE" w:rsidRDefault="001811BE" w:rsidP="0000551E">
      <w:pPr>
        <w:spacing w:after="0"/>
      </w:pPr>
      <w:r>
        <w:separator/>
      </w:r>
    </w:p>
  </w:footnote>
  <w:footnote w:type="continuationSeparator" w:id="0">
    <w:p w:rsidR="001811BE" w:rsidRDefault="001811BE" w:rsidP="0000551E">
      <w:pPr>
        <w:spacing w:after="0"/>
      </w:pPr>
      <w:r>
        <w:continuationSeparator/>
      </w:r>
    </w:p>
  </w:footnote>
  <w:footnote w:type="continuationNotice" w:id="1">
    <w:p w:rsidR="001811BE" w:rsidRDefault="001811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41" w:rsidRPr="003315A8" w:rsidRDefault="009E470D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>
          <wp:extent cx="885825" cy="419100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2D"/>
    <w:multiLevelType w:val="hybridMultilevel"/>
    <w:tmpl w:val="9142FE2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B34A33"/>
    <w:multiLevelType w:val="hybridMultilevel"/>
    <w:tmpl w:val="BBCAD2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D14CF0A8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674937"/>
    <w:multiLevelType w:val="hybridMultilevel"/>
    <w:tmpl w:val="F920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0EC8"/>
    <w:multiLevelType w:val="hybridMultilevel"/>
    <w:tmpl w:val="605C20C6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4448D0"/>
    <w:multiLevelType w:val="hybridMultilevel"/>
    <w:tmpl w:val="64F46C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2B2428"/>
    <w:multiLevelType w:val="hybridMultilevel"/>
    <w:tmpl w:val="73B09B6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4C41C15"/>
    <w:multiLevelType w:val="hybridMultilevel"/>
    <w:tmpl w:val="F4B20E24"/>
    <w:lvl w:ilvl="0" w:tplc="F5E866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0768"/>
    <w:multiLevelType w:val="hybridMultilevel"/>
    <w:tmpl w:val="72E0872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7204"/>
    <w:multiLevelType w:val="hybridMultilevel"/>
    <w:tmpl w:val="88E09C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33B267F4"/>
    <w:multiLevelType w:val="hybridMultilevel"/>
    <w:tmpl w:val="AA865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C32CB3"/>
    <w:multiLevelType w:val="hybridMultilevel"/>
    <w:tmpl w:val="01382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0E42"/>
    <w:multiLevelType w:val="hybridMultilevel"/>
    <w:tmpl w:val="5ABC46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B44AA5"/>
    <w:multiLevelType w:val="hybridMultilevel"/>
    <w:tmpl w:val="64F46C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117BEE"/>
    <w:multiLevelType w:val="hybridMultilevel"/>
    <w:tmpl w:val="64F46C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3C4CD6"/>
    <w:multiLevelType w:val="hybridMultilevel"/>
    <w:tmpl w:val="FFCA9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5106"/>
    <w:multiLevelType w:val="hybridMultilevel"/>
    <w:tmpl w:val="21B445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55933BC"/>
    <w:multiLevelType w:val="hybridMultilevel"/>
    <w:tmpl w:val="DD9A19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67B157F"/>
    <w:multiLevelType w:val="hybridMultilevel"/>
    <w:tmpl w:val="B9DA7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04961"/>
    <w:multiLevelType w:val="hybridMultilevel"/>
    <w:tmpl w:val="FFCA9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18"/>
  </w:num>
  <w:num w:numId="10">
    <w:abstractNumId w:val="14"/>
  </w:num>
  <w:num w:numId="11">
    <w:abstractNumId w:val="22"/>
  </w:num>
  <w:num w:numId="12">
    <w:abstractNumId w:val="25"/>
  </w:num>
  <w:num w:numId="13">
    <w:abstractNumId w:val="8"/>
  </w:num>
  <w:num w:numId="14">
    <w:abstractNumId w:val="5"/>
  </w:num>
  <w:num w:numId="15">
    <w:abstractNumId w:val="11"/>
  </w:num>
  <w:num w:numId="16">
    <w:abstractNumId w:val="1"/>
  </w:num>
  <w:num w:numId="17">
    <w:abstractNumId w:val="19"/>
  </w:num>
  <w:num w:numId="18">
    <w:abstractNumId w:val="20"/>
  </w:num>
  <w:num w:numId="19">
    <w:abstractNumId w:val="15"/>
  </w:num>
  <w:num w:numId="20">
    <w:abstractNumId w:val="23"/>
  </w:num>
  <w:num w:numId="21">
    <w:abstractNumId w:val="7"/>
  </w:num>
  <w:num w:numId="22">
    <w:abstractNumId w:val="0"/>
  </w:num>
  <w:num w:numId="23">
    <w:abstractNumId w:val="6"/>
  </w:num>
  <w:num w:numId="24">
    <w:abstractNumId w:val="17"/>
  </w:num>
  <w:num w:numId="25">
    <w:abstractNumId w:val="21"/>
  </w:num>
  <w:num w:numId="26">
    <w:abstractNumId w:val="26"/>
  </w:num>
  <w:num w:numId="27">
    <w:abstractNumId w:val="3"/>
  </w:num>
  <w:num w:numId="2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4AE0"/>
    <w:rsid w:val="00004D27"/>
    <w:rsid w:val="00004EC1"/>
    <w:rsid w:val="0000551E"/>
    <w:rsid w:val="00005870"/>
    <w:rsid w:val="00005BCE"/>
    <w:rsid w:val="00007165"/>
    <w:rsid w:val="00010358"/>
    <w:rsid w:val="00013719"/>
    <w:rsid w:val="00013DF1"/>
    <w:rsid w:val="00014F2F"/>
    <w:rsid w:val="0001584A"/>
    <w:rsid w:val="00016B61"/>
    <w:rsid w:val="0002035C"/>
    <w:rsid w:val="0002192A"/>
    <w:rsid w:val="0002371D"/>
    <w:rsid w:val="000242F6"/>
    <w:rsid w:val="00024398"/>
    <w:rsid w:val="000249F5"/>
    <w:rsid w:val="00025784"/>
    <w:rsid w:val="00025973"/>
    <w:rsid w:val="0002724A"/>
    <w:rsid w:val="0003057D"/>
    <w:rsid w:val="00032EAF"/>
    <w:rsid w:val="000335CF"/>
    <w:rsid w:val="00033DD1"/>
    <w:rsid w:val="0003534C"/>
    <w:rsid w:val="00036C48"/>
    <w:rsid w:val="0004128C"/>
    <w:rsid w:val="00041C3C"/>
    <w:rsid w:val="0004305E"/>
    <w:rsid w:val="00044DB9"/>
    <w:rsid w:val="00046851"/>
    <w:rsid w:val="00050367"/>
    <w:rsid w:val="000510AA"/>
    <w:rsid w:val="0005185F"/>
    <w:rsid w:val="00051D11"/>
    <w:rsid w:val="00052206"/>
    <w:rsid w:val="00052499"/>
    <w:rsid w:val="00052C84"/>
    <w:rsid w:val="000544B5"/>
    <w:rsid w:val="00054889"/>
    <w:rsid w:val="00061005"/>
    <w:rsid w:val="0006227B"/>
    <w:rsid w:val="00062D02"/>
    <w:rsid w:val="00063C54"/>
    <w:rsid w:val="00070749"/>
    <w:rsid w:val="00070AE9"/>
    <w:rsid w:val="00071399"/>
    <w:rsid w:val="00071F38"/>
    <w:rsid w:val="00075011"/>
    <w:rsid w:val="00075914"/>
    <w:rsid w:val="00081648"/>
    <w:rsid w:val="00081781"/>
    <w:rsid w:val="00083AE5"/>
    <w:rsid w:val="00083D9F"/>
    <w:rsid w:val="00083E85"/>
    <w:rsid w:val="00083F45"/>
    <w:rsid w:val="00084053"/>
    <w:rsid w:val="00086555"/>
    <w:rsid w:val="000871C4"/>
    <w:rsid w:val="000872BF"/>
    <w:rsid w:val="0009090C"/>
    <w:rsid w:val="00090CFE"/>
    <w:rsid w:val="00091C53"/>
    <w:rsid w:val="00092229"/>
    <w:rsid w:val="00093843"/>
    <w:rsid w:val="00093F4B"/>
    <w:rsid w:val="00095F04"/>
    <w:rsid w:val="000A0E3D"/>
    <w:rsid w:val="000A4FF0"/>
    <w:rsid w:val="000A560E"/>
    <w:rsid w:val="000A6F5B"/>
    <w:rsid w:val="000A7D80"/>
    <w:rsid w:val="000B2007"/>
    <w:rsid w:val="000B2FCB"/>
    <w:rsid w:val="000B6887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4EF2"/>
    <w:rsid w:val="000D5063"/>
    <w:rsid w:val="000D58C0"/>
    <w:rsid w:val="000D6AF4"/>
    <w:rsid w:val="000E0BA7"/>
    <w:rsid w:val="000E3B62"/>
    <w:rsid w:val="000E4800"/>
    <w:rsid w:val="000E51A3"/>
    <w:rsid w:val="000E6E54"/>
    <w:rsid w:val="000E720F"/>
    <w:rsid w:val="000E7473"/>
    <w:rsid w:val="000F0CA7"/>
    <w:rsid w:val="000F27BA"/>
    <w:rsid w:val="000F7DA2"/>
    <w:rsid w:val="00100774"/>
    <w:rsid w:val="00101481"/>
    <w:rsid w:val="001018A2"/>
    <w:rsid w:val="00103472"/>
    <w:rsid w:val="001037F6"/>
    <w:rsid w:val="00104A7E"/>
    <w:rsid w:val="00107698"/>
    <w:rsid w:val="00107EFE"/>
    <w:rsid w:val="00110797"/>
    <w:rsid w:val="00110879"/>
    <w:rsid w:val="00111B51"/>
    <w:rsid w:val="00111BAD"/>
    <w:rsid w:val="00111EB8"/>
    <w:rsid w:val="001135A2"/>
    <w:rsid w:val="001138EC"/>
    <w:rsid w:val="00113A14"/>
    <w:rsid w:val="00115C2D"/>
    <w:rsid w:val="00116A3B"/>
    <w:rsid w:val="001172FB"/>
    <w:rsid w:val="00120DCA"/>
    <w:rsid w:val="00121683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3B40"/>
    <w:rsid w:val="00135AFB"/>
    <w:rsid w:val="00137FC3"/>
    <w:rsid w:val="001422BC"/>
    <w:rsid w:val="001434E6"/>
    <w:rsid w:val="001444E5"/>
    <w:rsid w:val="00145FF2"/>
    <w:rsid w:val="0014616B"/>
    <w:rsid w:val="0014630E"/>
    <w:rsid w:val="00147567"/>
    <w:rsid w:val="00150237"/>
    <w:rsid w:val="00152900"/>
    <w:rsid w:val="00152E30"/>
    <w:rsid w:val="00153806"/>
    <w:rsid w:val="00153C10"/>
    <w:rsid w:val="00154837"/>
    <w:rsid w:val="001564D8"/>
    <w:rsid w:val="00157030"/>
    <w:rsid w:val="00160341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6F03"/>
    <w:rsid w:val="001811BE"/>
    <w:rsid w:val="0018389A"/>
    <w:rsid w:val="001842B4"/>
    <w:rsid w:val="00185867"/>
    <w:rsid w:val="00186234"/>
    <w:rsid w:val="00186BE8"/>
    <w:rsid w:val="0019068A"/>
    <w:rsid w:val="001914FF"/>
    <w:rsid w:val="0019268C"/>
    <w:rsid w:val="00193D58"/>
    <w:rsid w:val="00194AE9"/>
    <w:rsid w:val="00194CE8"/>
    <w:rsid w:val="00194CEC"/>
    <w:rsid w:val="001962E1"/>
    <w:rsid w:val="001965E1"/>
    <w:rsid w:val="0019706B"/>
    <w:rsid w:val="001974FA"/>
    <w:rsid w:val="001978D2"/>
    <w:rsid w:val="00197C96"/>
    <w:rsid w:val="001A0600"/>
    <w:rsid w:val="001A0E77"/>
    <w:rsid w:val="001A4B49"/>
    <w:rsid w:val="001A58B3"/>
    <w:rsid w:val="001A5927"/>
    <w:rsid w:val="001A5FFF"/>
    <w:rsid w:val="001A6C92"/>
    <w:rsid w:val="001B028B"/>
    <w:rsid w:val="001B1313"/>
    <w:rsid w:val="001B1625"/>
    <w:rsid w:val="001B1F5C"/>
    <w:rsid w:val="001B2DE7"/>
    <w:rsid w:val="001B33A9"/>
    <w:rsid w:val="001B5762"/>
    <w:rsid w:val="001B59C1"/>
    <w:rsid w:val="001B5B62"/>
    <w:rsid w:val="001B772A"/>
    <w:rsid w:val="001C0A45"/>
    <w:rsid w:val="001C1FA1"/>
    <w:rsid w:val="001C277E"/>
    <w:rsid w:val="001C2D39"/>
    <w:rsid w:val="001C4C0B"/>
    <w:rsid w:val="001C6B93"/>
    <w:rsid w:val="001D0604"/>
    <w:rsid w:val="001D2A76"/>
    <w:rsid w:val="001D389E"/>
    <w:rsid w:val="001D44EA"/>
    <w:rsid w:val="001D5892"/>
    <w:rsid w:val="001D7762"/>
    <w:rsid w:val="001E17C9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2004A7"/>
    <w:rsid w:val="002022FA"/>
    <w:rsid w:val="00203452"/>
    <w:rsid w:val="002052F9"/>
    <w:rsid w:val="00206D15"/>
    <w:rsid w:val="00210222"/>
    <w:rsid w:val="00210895"/>
    <w:rsid w:val="00211559"/>
    <w:rsid w:val="002123D3"/>
    <w:rsid w:val="00213E99"/>
    <w:rsid w:val="00216084"/>
    <w:rsid w:val="00220678"/>
    <w:rsid w:val="002209A3"/>
    <w:rsid w:val="002255E9"/>
    <w:rsid w:val="00225DA6"/>
    <w:rsid w:val="00226272"/>
    <w:rsid w:val="002273D3"/>
    <w:rsid w:val="002300B6"/>
    <w:rsid w:val="00230B57"/>
    <w:rsid w:val="00232B53"/>
    <w:rsid w:val="00234F76"/>
    <w:rsid w:val="00235981"/>
    <w:rsid w:val="00236CF3"/>
    <w:rsid w:val="00242077"/>
    <w:rsid w:val="002421CB"/>
    <w:rsid w:val="00242E87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505F7"/>
    <w:rsid w:val="0025211E"/>
    <w:rsid w:val="00252B23"/>
    <w:rsid w:val="00252F01"/>
    <w:rsid w:val="00252F3F"/>
    <w:rsid w:val="00254328"/>
    <w:rsid w:val="00257FC1"/>
    <w:rsid w:val="002601CE"/>
    <w:rsid w:val="0026086A"/>
    <w:rsid w:val="002629E2"/>
    <w:rsid w:val="00264BFC"/>
    <w:rsid w:val="00265237"/>
    <w:rsid w:val="00265ED9"/>
    <w:rsid w:val="00266BC7"/>
    <w:rsid w:val="00270C2B"/>
    <w:rsid w:val="00272576"/>
    <w:rsid w:val="002727E0"/>
    <w:rsid w:val="00273821"/>
    <w:rsid w:val="0027382A"/>
    <w:rsid w:val="00273A70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AF9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B04AE"/>
    <w:rsid w:val="002B0E7B"/>
    <w:rsid w:val="002B18EE"/>
    <w:rsid w:val="002B2742"/>
    <w:rsid w:val="002B2BF7"/>
    <w:rsid w:val="002B7FEE"/>
    <w:rsid w:val="002C140A"/>
    <w:rsid w:val="002C4300"/>
    <w:rsid w:val="002C5752"/>
    <w:rsid w:val="002C64EF"/>
    <w:rsid w:val="002C7709"/>
    <w:rsid w:val="002C7A38"/>
    <w:rsid w:val="002C7A49"/>
    <w:rsid w:val="002D0745"/>
    <w:rsid w:val="002D251A"/>
    <w:rsid w:val="002D3C0F"/>
    <w:rsid w:val="002D4D99"/>
    <w:rsid w:val="002D53DF"/>
    <w:rsid w:val="002D5926"/>
    <w:rsid w:val="002D5C46"/>
    <w:rsid w:val="002D607A"/>
    <w:rsid w:val="002D6114"/>
    <w:rsid w:val="002D6C83"/>
    <w:rsid w:val="002D6D05"/>
    <w:rsid w:val="002D6E30"/>
    <w:rsid w:val="002D7846"/>
    <w:rsid w:val="002D7A02"/>
    <w:rsid w:val="002E1304"/>
    <w:rsid w:val="002E1369"/>
    <w:rsid w:val="002E1A78"/>
    <w:rsid w:val="002E3627"/>
    <w:rsid w:val="002E39F8"/>
    <w:rsid w:val="002E6E8C"/>
    <w:rsid w:val="002F20C1"/>
    <w:rsid w:val="002F6294"/>
    <w:rsid w:val="00300418"/>
    <w:rsid w:val="00300B6D"/>
    <w:rsid w:val="00302142"/>
    <w:rsid w:val="003025EB"/>
    <w:rsid w:val="00304509"/>
    <w:rsid w:val="003100E1"/>
    <w:rsid w:val="00311EA9"/>
    <w:rsid w:val="00313250"/>
    <w:rsid w:val="0031387C"/>
    <w:rsid w:val="00314469"/>
    <w:rsid w:val="003153D0"/>
    <w:rsid w:val="00315572"/>
    <w:rsid w:val="00320FF1"/>
    <w:rsid w:val="00322213"/>
    <w:rsid w:val="0032275E"/>
    <w:rsid w:val="00322CBD"/>
    <w:rsid w:val="00323E78"/>
    <w:rsid w:val="00327E3D"/>
    <w:rsid w:val="003306D8"/>
    <w:rsid w:val="00330944"/>
    <w:rsid w:val="0033113B"/>
    <w:rsid w:val="003315A8"/>
    <w:rsid w:val="00332775"/>
    <w:rsid w:val="003327CE"/>
    <w:rsid w:val="00332946"/>
    <w:rsid w:val="00332EBE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5F63"/>
    <w:rsid w:val="00347F53"/>
    <w:rsid w:val="00350203"/>
    <w:rsid w:val="003518D0"/>
    <w:rsid w:val="003519C1"/>
    <w:rsid w:val="00351F5F"/>
    <w:rsid w:val="00352B3A"/>
    <w:rsid w:val="00353C5D"/>
    <w:rsid w:val="00355946"/>
    <w:rsid w:val="00355BAB"/>
    <w:rsid w:val="00356A15"/>
    <w:rsid w:val="00357CB1"/>
    <w:rsid w:val="00361371"/>
    <w:rsid w:val="0036140A"/>
    <w:rsid w:val="003622E0"/>
    <w:rsid w:val="00362D0D"/>
    <w:rsid w:val="0036339E"/>
    <w:rsid w:val="00363409"/>
    <w:rsid w:val="003637D7"/>
    <w:rsid w:val="00363ED1"/>
    <w:rsid w:val="00371CE8"/>
    <w:rsid w:val="00372419"/>
    <w:rsid w:val="003728F1"/>
    <w:rsid w:val="00372AE7"/>
    <w:rsid w:val="0037452C"/>
    <w:rsid w:val="0037674C"/>
    <w:rsid w:val="00376D41"/>
    <w:rsid w:val="00376E6E"/>
    <w:rsid w:val="0038485E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28BA"/>
    <w:rsid w:val="00393B99"/>
    <w:rsid w:val="00394CDD"/>
    <w:rsid w:val="00394E3E"/>
    <w:rsid w:val="00397293"/>
    <w:rsid w:val="00397A6B"/>
    <w:rsid w:val="003A2EF5"/>
    <w:rsid w:val="003A3C1D"/>
    <w:rsid w:val="003A48D8"/>
    <w:rsid w:val="003A5846"/>
    <w:rsid w:val="003A6EEF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D01EA"/>
    <w:rsid w:val="003D3EA5"/>
    <w:rsid w:val="003D682E"/>
    <w:rsid w:val="003E027A"/>
    <w:rsid w:val="003E5793"/>
    <w:rsid w:val="003E59FE"/>
    <w:rsid w:val="003E5FE7"/>
    <w:rsid w:val="003E763A"/>
    <w:rsid w:val="003F0F2C"/>
    <w:rsid w:val="003F1A5D"/>
    <w:rsid w:val="003F1C67"/>
    <w:rsid w:val="003F446B"/>
    <w:rsid w:val="003F4D97"/>
    <w:rsid w:val="003F519C"/>
    <w:rsid w:val="003F5711"/>
    <w:rsid w:val="003F7291"/>
    <w:rsid w:val="003F7E2A"/>
    <w:rsid w:val="00401780"/>
    <w:rsid w:val="00403987"/>
    <w:rsid w:val="0040551D"/>
    <w:rsid w:val="00405CA5"/>
    <w:rsid w:val="004106C6"/>
    <w:rsid w:val="00411B8E"/>
    <w:rsid w:val="004121AF"/>
    <w:rsid w:val="004124FC"/>
    <w:rsid w:val="004148A0"/>
    <w:rsid w:val="00415D6E"/>
    <w:rsid w:val="00415E35"/>
    <w:rsid w:val="0041678A"/>
    <w:rsid w:val="004178F4"/>
    <w:rsid w:val="00417A9E"/>
    <w:rsid w:val="00417DF1"/>
    <w:rsid w:val="00420195"/>
    <w:rsid w:val="004222BF"/>
    <w:rsid w:val="00422FAF"/>
    <w:rsid w:val="004254A1"/>
    <w:rsid w:val="004273EA"/>
    <w:rsid w:val="0042789D"/>
    <w:rsid w:val="00427A5C"/>
    <w:rsid w:val="00427C2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6E5A"/>
    <w:rsid w:val="00447A58"/>
    <w:rsid w:val="00452C7E"/>
    <w:rsid w:val="004541C8"/>
    <w:rsid w:val="004551F8"/>
    <w:rsid w:val="004552F1"/>
    <w:rsid w:val="00457031"/>
    <w:rsid w:val="004570A4"/>
    <w:rsid w:val="0045798A"/>
    <w:rsid w:val="004579D1"/>
    <w:rsid w:val="0046380B"/>
    <w:rsid w:val="00463E31"/>
    <w:rsid w:val="00472E74"/>
    <w:rsid w:val="00473A0A"/>
    <w:rsid w:val="00473FBD"/>
    <w:rsid w:val="00474F44"/>
    <w:rsid w:val="004755FC"/>
    <w:rsid w:val="0047786D"/>
    <w:rsid w:val="00481ED2"/>
    <w:rsid w:val="00482B2F"/>
    <w:rsid w:val="00482BD9"/>
    <w:rsid w:val="00484CB3"/>
    <w:rsid w:val="00485230"/>
    <w:rsid w:val="004853D9"/>
    <w:rsid w:val="00487F08"/>
    <w:rsid w:val="00492761"/>
    <w:rsid w:val="004934CD"/>
    <w:rsid w:val="00494F25"/>
    <w:rsid w:val="00495A84"/>
    <w:rsid w:val="00496789"/>
    <w:rsid w:val="004A0800"/>
    <w:rsid w:val="004A0BA8"/>
    <w:rsid w:val="004A21C9"/>
    <w:rsid w:val="004A24F1"/>
    <w:rsid w:val="004A3B16"/>
    <w:rsid w:val="004A5356"/>
    <w:rsid w:val="004A7C0A"/>
    <w:rsid w:val="004B0458"/>
    <w:rsid w:val="004B07BF"/>
    <w:rsid w:val="004B0E49"/>
    <w:rsid w:val="004B3171"/>
    <w:rsid w:val="004B322F"/>
    <w:rsid w:val="004B3B90"/>
    <w:rsid w:val="004B49CA"/>
    <w:rsid w:val="004B4D88"/>
    <w:rsid w:val="004B5AB3"/>
    <w:rsid w:val="004C022A"/>
    <w:rsid w:val="004C0F47"/>
    <w:rsid w:val="004C343B"/>
    <w:rsid w:val="004C38E0"/>
    <w:rsid w:val="004C5158"/>
    <w:rsid w:val="004C5DDA"/>
    <w:rsid w:val="004C70DF"/>
    <w:rsid w:val="004C756F"/>
    <w:rsid w:val="004D053A"/>
    <w:rsid w:val="004D099A"/>
    <w:rsid w:val="004D1868"/>
    <w:rsid w:val="004D1C5E"/>
    <w:rsid w:val="004D2441"/>
    <w:rsid w:val="004D32F2"/>
    <w:rsid w:val="004D3738"/>
    <w:rsid w:val="004D3B56"/>
    <w:rsid w:val="004D5FB1"/>
    <w:rsid w:val="004D6D90"/>
    <w:rsid w:val="004D7469"/>
    <w:rsid w:val="004D7E68"/>
    <w:rsid w:val="004E2C2C"/>
    <w:rsid w:val="004E3049"/>
    <w:rsid w:val="004E4AE1"/>
    <w:rsid w:val="004E4B99"/>
    <w:rsid w:val="004E58C6"/>
    <w:rsid w:val="004E63AF"/>
    <w:rsid w:val="004E6EEC"/>
    <w:rsid w:val="004E7D14"/>
    <w:rsid w:val="004F17E3"/>
    <w:rsid w:val="004F1DCE"/>
    <w:rsid w:val="004F1F87"/>
    <w:rsid w:val="004F234D"/>
    <w:rsid w:val="004F290A"/>
    <w:rsid w:val="004F2BA0"/>
    <w:rsid w:val="004F2ED6"/>
    <w:rsid w:val="004F3ECA"/>
    <w:rsid w:val="004F41D3"/>
    <w:rsid w:val="004F65E7"/>
    <w:rsid w:val="004F736A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57FA"/>
    <w:rsid w:val="00507EFD"/>
    <w:rsid w:val="005103F3"/>
    <w:rsid w:val="0051070E"/>
    <w:rsid w:val="00511220"/>
    <w:rsid w:val="00512899"/>
    <w:rsid w:val="00512D42"/>
    <w:rsid w:val="00515305"/>
    <w:rsid w:val="00515494"/>
    <w:rsid w:val="0051576F"/>
    <w:rsid w:val="00520182"/>
    <w:rsid w:val="00525B29"/>
    <w:rsid w:val="00525C8C"/>
    <w:rsid w:val="0052661C"/>
    <w:rsid w:val="00527FC7"/>
    <w:rsid w:val="005316D6"/>
    <w:rsid w:val="00531D74"/>
    <w:rsid w:val="00533B94"/>
    <w:rsid w:val="00534C12"/>
    <w:rsid w:val="00535801"/>
    <w:rsid w:val="00543429"/>
    <w:rsid w:val="005436B8"/>
    <w:rsid w:val="00544283"/>
    <w:rsid w:val="005463DA"/>
    <w:rsid w:val="005470B5"/>
    <w:rsid w:val="00550509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57B83"/>
    <w:rsid w:val="005605AC"/>
    <w:rsid w:val="00560B9C"/>
    <w:rsid w:val="0056136C"/>
    <w:rsid w:val="00563C08"/>
    <w:rsid w:val="00563C33"/>
    <w:rsid w:val="00564A56"/>
    <w:rsid w:val="00566BEA"/>
    <w:rsid w:val="0057042D"/>
    <w:rsid w:val="005711D8"/>
    <w:rsid w:val="00571A8D"/>
    <w:rsid w:val="00573055"/>
    <w:rsid w:val="00573BA2"/>
    <w:rsid w:val="00574725"/>
    <w:rsid w:val="00574FE9"/>
    <w:rsid w:val="005770F9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069"/>
    <w:rsid w:val="005B3CBD"/>
    <w:rsid w:val="005B452B"/>
    <w:rsid w:val="005B4FEF"/>
    <w:rsid w:val="005B5C69"/>
    <w:rsid w:val="005C1BD4"/>
    <w:rsid w:val="005C2192"/>
    <w:rsid w:val="005C2513"/>
    <w:rsid w:val="005C4ADA"/>
    <w:rsid w:val="005C50A9"/>
    <w:rsid w:val="005C6286"/>
    <w:rsid w:val="005D116D"/>
    <w:rsid w:val="005D1D78"/>
    <w:rsid w:val="005D2190"/>
    <w:rsid w:val="005D2DA5"/>
    <w:rsid w:val="005D4934"/>
    <w:rsid w:val="005D53BE"/>
    <w:rsid w:val="005D65C0"/>
    <w:rsid w:val="005D6829"/>
    <w:rsid w:val="005D7536"/>
    <w:rsid w:val="005E023F"/>
    <w:rsid w:val="005E22E3"/>
    <w:rsid w:val="005E29BE"/>
    <w:rsid w:val="005E3F0C"/>
    <w:rsid w:val="005E537C"/>
    <w:rsid w:val="005E6190"/>
    <w:rsid w:val="005E6EDE"/>
    <w:rsid w:val="005F14D3"/>
    <w:rsid w:val="005F5218"/>
    <w:rsid w:val="005F67F6"/>
    <w:rsid w:val="00601CB2"/>
    <w:rsid w:val="0060261A"/>
    <w:rsid w:val="006033CF"/>
    <w:rsid w:val="00607659"/>
    <w:rsid w:val="00610B8C"/>
    <w:rsid w:val="00611070"/>
    <w:rsid w:val="00611DD1"/>
    <w:rsid w:val="00613870"/>
    <w:rsid w:val="006143F5"/>
    <w:rsid w:val="006147BF"/>
    <w:rsid w:val="006148ED"/>
    <w:rsid w:val="006156B9"/>
    <w:rsid w:val="006172E7"/>
    <w:rsid w:val="00617642"/>
    <w:rsid w:val="00623E2B"/>
    <w:rsid w:val="00625FAB"/>
    <w:rsid w:val="0062621E"/>
    <w:rsid w:val="00627C8A"/>
    <w:rsid w:val="00630527"/>
    <w:rsid w:val="00630A81"/>
    <w:rsid w:val="00635103"/>
    <w:rsid w:val="00635AAB"/>
    <w:rsid w:val="006362BD"/>
    <w:rsid w:val="0064232D"/>
    <w:rsid w:val="00642575"/>
    <w:rsid w:val="006427DA"/>
    <w:rsid w:val="0064353D"/>
    <w:rsid w:val="006439A5"/>
    <w:rsid w:val="006444E6"/>
    <w:rsid w:val="00645447"/>
    <w:rsid w:val="00645AB7"/>
    <w:rsid w:val="006478A9"/>
    <w:rsid w:val="00650DDB"/>
    <w:rsid w:val="00651649"/>
    <w:rsid w:val="00651CF1"/>
    <w:rsid w:val="00651D15"/>
    <w:rsid w:val="0065303F"/>
    <w:rsid w:val="0065377D"/>
    <w:rsid w:val="0065507A"/>
    <w:rsid w:val="0065596D"/>
    <w:rsid w:val="00656250"/>
    <w:rsid w:val="00663C4D"/>
    <w:rsid w:val="00665294"/>
    <w:rsid w:val="00665970"/>
    <w:rsid w:val="00667F0B"/>
    <w:rsid w:val="006710DF"/>
    <w:rsid w:val="00671407"/>
    <w:rsid w:val="0068246F"/>
    <w:rsid w:val="006850A1"/>
    <w:rsid w:val="006852DE"/>
    <w:rsid w:val="006860FF"/>
    <w:rsid w:val="00686C37"/>
    <w:rsid w:val="00692434"/>
    <w:rsid w:val="006950C7"/>
    <w:rsid w:val="00695407"/>
    <w:rsid w:val="00696639"/>
    <w:rsid w:val="0069705F"/>
    <w:rsid w:val="00697C60"/>
    <w:rsid w:val="006A0258"/>
    <w:rsid w:val="006A1416"/>
    <w:rsid w:val="006A1A52"/>
    <w:rsid w:val="006A47E0"/>
    <w:rsid w:val="006A5B28"/>
    <w:rsid w:val="006A5FF3"/>
    <w:rsid w:val="006A6EA8"/>
    <w:rsid w:val="006B1BE9"/>
    <w:rsid w:val="006B1E5C"/>
    <w:rsid w:val="006B279F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51A5"/>
    <w:rsid w:val="006C545B"/>
    <w:rsid w:val="006C5D59"/>
    <w:rsid w:val="006C745C"/>
    <w:rsid w:val="006C7AE0"/>
    <w:rsid w:val="006D0943"/>
    <w:rsid w:val="006D244E"/>
    <w:rsid w:val="006D2BF7"/>
    <w:rsid w:val="006D413B"/>
    <w:rsid w:val="006D52F3"/>
    <w:rsid w:val="006D5B5C"/>
    <w:rsid w:val="006D6E7D"/>
    <w:rsid w:val="006D72DB"/>
    <w:rsid w:val="006E076F"/>
    <w:rsid w:val="006E0E50"/>
    <w:rsid w:val="006E15A5"/>
    <w:rsid w:val="006E25B8"/>
    <w:rsid w:val="006E31C0"/>
    <w:rsid w:val="006E5560"/>
    <w:rsid w:val="006F2FE6"/>
    <w:rsid w:val="006F4A05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17E41"/>
    <w:rsid w:val="00721A04"/>
    <w:rsid w:val="00726C49"/>
    <w:rsid w:val="0072746E"/>
    <w:rsid w:val="00731407"/>
    <w:rsid w:val="007321D4"/>
    <w:rsid w:val="007323CA"/>
    <w:rsid w:val="007344F6"/>
    <w:rsid w:val="00735416"/>
    <w:rsid w:val="00735E38"/>
    <w:rsid w:val="007375BB"/>
    <w:rsid w:val="00741480"/>
    <w:rsid w:val="0074334E"/>
    <w:rsid w:val="00743ABA"/>
    <w:rsid w:val="00744621"/>
    <w:rsid w:val="0074488E"/>
    <w:rsid w:val="00747BD4"/>
    <w:rsid w:val="007505A0"/>
    <w:rsid w:val="00751800"/>
    <w:rsid w:val="007519DD"/>
    <w:rsid w:val="00751E3A"/>
    <w:rsid w:val="00753D96"/>
    <w:rsid w:val="00754F4F"/>
    <w:rsid w:val="00757385"/>
    <w:rsid w:val="00757A02"/>
    <w:rsid w:val="00760874"/>
    <w:rsid w:val="00760A3B"/>
    <w:rsid w:val="00761A02"/>
    <w:rsid w:val="007633D5"/>
    <w:rsid w:val="00765184"/>
    <w:rsid w:val="007654BE"/>
    <w:rsid w:val="00766100"/>
    <w:rsid w:val="00766840"/>
    <w:rsid w:val="00766C0B"/>
    <w:rsid w:val="00771FEA"/>
    <w:rsid w:val="00772440"/>
    <w:rsid w:val="00772EE3"/>
    <w:rsid w:val="00773E21"/>
    <w:rsid w:val="00775E8A"/>
    <w:rsid w:val="00776D64"/>
    <w:rsid w:val="00780E72"/>
    <w:rsid w:val="00781B7A"/>
    <w:rsid w:val="00781D19"/>
    <w:rsid w:val="00782A84"/>
    <w:rsid w:val="007834D7"/>
    <w:rsid w:val="007850B0"/>
    <w:rsid w:val="007858FB"/>
    <w:rsid w:val="00785F4C"/>
    <w:rsid w:val="007860B6"/>
    <w:rsid w:val="007864D9"/>
    <w:rsid w:val="007876AB"/>
    <w:rsid w:val="00793E39"/>
    <w:rsid w:val="007945E9"/>
    <w:rsid w:val="0079688E"/>
    <w:rsid w:val="007A520D"/>
    <w:rsid w:val="007A5AFB"/>
    <w:rsid w:val="007B2715"/>
    <w:rsid w:val="007B526B"/>
    <w:rsid w:val="007B530F"/>
    <w:rsid w:val="007B598C"/>
    <w:rsid w:val="007B64DF"/>
    <w:rsid w:val="007B6936"/>
    <w:rsid w:val="007B767D"/>
    <w:rsid w:val="007B7B73"/>
    <w:rsid w:val="007B7D35"/>
    <w:rsid w:val="007C0A84"/>
    <w:rsid w:val="007C1578"/>
    <w:rsid w:val="007C4151"/>
    <w:rsid w:val="007C4D91"/>
    <w:rsid w:val="007C54C9"/>
    <w:rsid w:val="007C5555"/>
    <w:rsid w:val="007C7488"/>
    <w:rsid w:val="007D26A6"/>
    <w:rsid w:val="007D43AF"/>
    <w:rsid w:val="007D515C"/>
    <w:rsid w:val="007D5594"/>
    <w:rsid w:val="007D5891"/>
    <w:rsid w:val="007D6F2B"/>
    <w:rsid w:val="007E072C"/>
    <w:rsid w:val="007E0D3C"/>
    <w:rsid w:val="007E1795"/>
    <w:rsid w:val="007E224F"/>
    <w:rsid w:val="007E286F"/>
    <w:rsid w:val="007E2D9B"/>
    <w:rsid w:val="007E380A"/>
    <w:rsid w:val="007E5E1F"/>
    <w:rsid w:val="007E797B"/>
    <w:rsid w:val="007F1366"/>
    <w:rsid w:val="007F2CB8"/>
    <w:rsid w:val="007F3380"/>
    <w:rsid w:val="007F4308"/>
    <w:rsid w:val="007F6913"/>
    <w:rsid w:val="00800FB0"/>
    <w:rsid w:val="008013DE"/>
    <w:rsid w:val="00803AD5"/>
    <w:rsid w:val="00803CA6"/>
    <w:rsid w:val="00803EBB"/>
    <w:rsid w:val="00804B5D"/>
    <w:rsid w:val="008053DB"/>
    <w:rsid w:val="00806FF9"/>
    <w:rsid w:val="008105A0"/>
    <w:rsid w:val="008109CE"/>
    <w:rsid w:val="00810E6E"/>
    <w:rsid w:val="00813FBD"/>
    <w:rsid w:val="00815C41"/>
    <w:rsid w:val="00815E21"/>
    <w:rsid w:val="0081628D"/>
    <w:rsid w:val="00822810"/>
    <w:rsid w:val="00822B83"/>
    <w:rsid w:val="00823073"/>
    <w:rsid w:val="00823AB7"/>
    <w:rsid w:val="00823E85"/>
    <w:rsid w:val="0082562F"/>
    <w:rsid w:val="00825655"/>
    <w:rsid w:val="00826A64"/>
    <w:rsid w:val="00826A78"/>
    <w:rsid w:val="00826D6F"/>
    <w:rsid w:val="0083054C"/>
    <w:rsid w:val="00830DFE"/>
    <w:rsid w:val="00830E94"/>
    <w:rsid w:val="008335B3"/>
    <w:rsid w:val="008347FE"/>
    <w:rsid w:val="00836FA1"/>
    <w:rsid w:val="00841811"/>
    <w:rsid w:val="0084351A"/>
    <w:rsid w:val="008437C0"/>
    <w:rsid w:val="00843F88"/>
    <w:rsid w:val="008445AA"/>
    <w:rsid w:val="00844D4F"/>
    <w:rsid w:val="008463CC"/>
    <w:rsid w:val="00852156"/>
    <w:rsid w:val="008528C7"/>
    <w:rsid w:val="008529A9"/>
    <w:rsid w:val="00853988"/>
    <w:rsid w:val="008547EE"/>
    <w:rsid w:val="0085497D"/>
    <w:rsid w:val="0085582D"/>
    <w:rsid w:val="00855F52"/>
    <w:rsid w:val="00856501"/>
    <w:rsid w:val="00857EFE"/>
    <w:rsid w:val="0086133D"/>
    <w:rsid w:val="0086141C"/>
    <w:rsid w:val="00862163"/>
    <w:rsid w:val="008635EF"/>
    <w:rsid w:val="008671B9"/>
    <w:rsid w:val="00870B97"/>
    <w:rsid w:val="0087298F"/>
    <w:rsid w:val="00872C14"/>
    <w:rsid w:val="00873788"/>
    <w:rsid w:val="00873E0B"/>
    <w:rsid w:val="0087487B"/>
    <w:rsid w:val="00875155"/>
    <w:rsid w:val="00875247"/>
    <w:rsid w:val="0087560C"/>
    <w:rsid w:val="00876286"/>
    <w:rsid w:val="00880842"/>
    <w:rsid w:val="00881AFE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A4F94"/>
    <w:rsid w:val="008A7EE0"/>
    <w:rsid w:val="008B0119"/>
    <w:rsid w:val="008B0D13"/>
    <w:rsid w:val="008B336F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D0232"/>
    <w:rsid w:val="008D0670"/>
    <w:rsid w:val="008D3B56"/>
    <w:rsid w:val="008D3F72"/>
    <w:rsid w:val="008D5536"/>
    <w:rsid w:val="008D558C"/>
    <w:rsid w:val="008D5618"/>
    <w:rsid w:val="008D6BCE"/>
    <w:rsid w:val="008D6C96"/>
    <w:rsid w:val="008D6CCE"/>
    <w:rsid w:val="008D740A"/>
    <w:rsid w:val="008E134B"/>
    <w:rsid w:val="008E2CFB"/>
    <w:rsid w:val="008E3981"/>
    <w:rsid w:val="008E3CCF"/>
    <w:rsid w:val="008E50CF"/>
    <w:rsid w:val="008E77F3"/>
    <w:rsid w:val="008F1387"/>
    <w:rsid w:val="008F17CE"/>
    <w:rsid w:val="008F29B6"/>
    <w:rsid w:val="008F2DBD"/>
    <w:rsid w:val="008F386A"/>
    <w:rsid w:val="008F387A"/>
    <w:rsid w:val="00900FD9"/>
    <w:rsid w:val="00901244"/>
    <w:rsid w:val="009012E9"/>
    <w:rsid w:val="00901D99"/>
    <w:rsid w:val="009025EE"/>
    <w:rsid w:val="009027C0"/>
    <w:rsid w:val="00902ACB"/>
    <w:rsid w:val="00904F69"/>
    <w:rsid w:val="009054F5"/>
    <w:rsid w:val="009056BD"/>
    <w:rsid w:val="00906EAD"/>
    <w:rsid w:val="009076A2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7484"/>
    <w:rsid w:val="009374DE"/>
    <w:rsid w:val="00940162"/>
    <w:rsid w:val="009409B0"/>
    <w:rsid w:val="00941129"/>
    <w:rsid w:val="00944CDA"/>
    <w:rsid w:val="0094779C"/>
    <w:rsid w:val="00951768"/>
    <w:rsid w:val="00952240"/>
    <w:rsid w:val="00952D18"/>
    <w:rsid w:val="00953303"/>
    <w:rsid w:val="0095335F"/>
    <w:rsid w:val="00954777"/>
    <w:rsid w:val="0095702D"/>
    <w:rsid w:val="009607A2"/>
    <w:rsid w:val="00961F44"/>
    <w:rsid w:val="00963080"/>
    <w:rsid w:val="00963B89"/>
    <w:rsid w:val="00965687"/>
    <w:rsid w:val="0096709C"/>
    <w:rsid w:val="0097063F"/>
    <w:rsid w:val="00972797"/>
    <w:rsid w:val="0097294E"/>
    <w:rsid w:val="00973110"/>
    <w:rsid w:val="0097389A"/>
    <w:rsid w:val="00974437"/>
    <w:rsid w:val="00974BC1"/>
    <w:rsid w:val="00974C2C"/>
    <w:rsid w:val="00976455"/>
    <w:rsid w:val="0098071D"/>
    <w:rsid w:val="00982037"/>
    <w:rsid w:val="00982F71"/>
    <w:rsid w:val="009859FB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4971"/>
    <w:rsid w:val="0099567D"/>
    <w:rsid w:val="009A110D"/>
    <w:rsid w:val="009A2DB0"/>
    <w:rsid w:val="009A4EC2"/>
    <w:rsid w:val="009A4F94"/>
    <w:rsid w:val="009A5B14"/>
    <w:rsid w:val="009A5F5E"/>
    <w:rsid w:val="009A66C9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CC0"/>
    <w:rsid w:val="009C558F"/>
    <w:rsid w:val="009C56F1"/>
    <w:rsid w:val="009C640A"/>
    <w:rsid w:val="009D0C80"/>
    <w:rsid w:val="009D2546"/>
    <w:rsid w:val="009D7AF8"/>
    <w:rsid w:val="009E0666"/>
    <w:rsid w:val="009E1DB9"/>
    <w:rsid w:val="009E2187"/>
    <w:rsid w:val="009E2E2F"/>
    <w:rsid w:val="009E470D"/>
    <w:rsid w:val="009E5CAE"/>
    <w:rsid w:val="009E655F"/>
    <w:rsid w:val="009F021C"/>
    <w:rsid w:val="009F0F63"/>
    <w:rsid w:val="009F1C53"/>
    <w:rsid w:val="009F215B"/>
    <w:rsid w:val="009F2708"/>
    <w:rsid w:val="009F3F3D"/>
    <w:rsid w:val="009F4D95"/>
    <w:rsid w:val="009F4F27"/>
    <w:rsid w:val="009F5FB9"/>
    <w:rsid w:val="009F6F9A"/>
    <w:rsid w:val="00A01751"/>
    <w:rsid w:val="00A030CD"/>
    <w:rsid w:val="00A0314B"/>
    <w:rsid w:val="00A03C34"/>
    <w:rsid w:val="00A05A68"/>
    <w:rsid w:val="00A06C58"/>
    <w:rsid w:val="00A078A9"/>
    <w:rsid w:val="00A11C6F"/>
    <w:rsid w:val="00A121E1"/>
    <w:rsid w:val="00A12CC5"/>
    <w:rsid w:val="00A13BA8"/>
    <w:rsid w:val="00A155C7"/>
    <w:rsid w:val="00A16766"/>
    <w:rsid w:val="00A16E29"/>
    <w:rsid w:val="00A17B22"/>
    <w:rsid w:val="00A20BC8"/>
    <w:rsid w:val="00A21C50"/>
    <w:rsid w:val="00A21F14"/>
    <w:rsid w:val="00A22A22"/>
    <w:rsid w:val="00A2306E"/>
    <w:rsid w:val="00A23C49"/>
    <w:rsid w:val="00A24508"/>
    <w:rsid w:val="00A25CC8"/>
    <w:rsid w:val="00A27193"/>
    <w:rsid w:val="00A30A19"/>
    <w:rsid w:val="00A30A2B"/>
    <w:rsid w:val="00A340CE"/>
    <w:rsid w:val="00A3421E"/>
    <w:rsid w:val="00A34D3F"/>
    <w:rsid w:val="00A36BED"/>
    <w:rsid w:val="00A373CF"/>
    <w:rsid w:val="00A37A7E"/>
    <w:rsid w:val="00A42A01"/>
    <w:rsid w:val="00A43623"/>
    <w:rsid w:val="00A446F4"/>
    <w:rsid w:val="00A44936"/>
    <w:rsid w:val="00A4575C"/>
    <w:rsid w:val="00A47BD2"/>
    <w:rsid w:val="00A51002"/>
    <w:rsid w:val="00A53177"/>
    <w:rsid w:val="00A5471A"/>
    <w:rsid w:val="00A54C3E"/>
    <w:rsid w:val="00A54E93"/>
    <w:rsid w:val="00A55324"/>
    <w:rsid w:val="00A57980"/>
    <w:rsid w:val="00A57A1B"/>
    <w:rsid w:val="00A6262F"/>
    <w:rsid w:val="00A63961"/>
    <w:rsid w:val="00A642A8"/>
    <w:rsid w:val="00A64D98"/>
    <w:rsid w:val="00A706B8"/>
    <w:rsid w:val="00A712D4"/>
    <w:rsid w:val="00A73165"/>
    <w:rsid w:val="00A7578E"/>
    <w:rsid w:val="00A75C77"/>
    <w:rsid w:val="00A769B0"/>
    <w:rsid w:val="00A76EFB"/>
    <w:rsid w:val="00A84163"/>
    <w:rsid w:val="00A84BA0"/>
    <w:rsid w:val="00A85992"/>
    <w:rsid w:val="00A872F7"/>
    <w:rsid w:val="00A90078"/>
    <w:rsid w:val="00A91636"/>
    <w:rsid w:val="00A92384"/>
    <w:rsid w:val="00A93B05"/>
    <w:rsid w:val="00A95263"/>
    <w:rsid w:val="00A9600F"/>
    <w:rsid w:val="00AA451C"/>
    <w:rsid w:val="00AA5B07"/>
    <w:rsid w:val="00AB0400"/>
    <w:rsid w:val="00AB0F08"/>
    <w:rsid w:val="00AB1BA0"/>
    <w:rsid w:val="00AB422C"/>
    <w:rsid w:val="00AB618A"/>
    <w:rsid w:val="00AB7822"/>
    <w:rsid w:val="00AB7BC4"/>
    <w:rsid w:val="00AC1CF7"/>
    <w:rsid w:val="00AC35C3"/>
    <w:rsid w:val="00AC597F"/>
    <w:rsid w:val="00AC621B"/>
    <w:rsid w:val="00AC6ACD"/>
    <w:rsid w:val="00AC7E8A"/>
    <w:rsid w:val="00AD09FF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3FC9"/>
    <w:rsid w:val="00AE6A62"/>
    <w:rsid w:val="00AE6FBD"/>
    <w:rsid w:val="00AE787D"/>
    <w:rsid w:val="00AF2BF3"/>
    <w:rsid w:val="00AF3195"/>
    <w:rsid w:val="00AF5612"/>
    <w:rsid w:val="00AF6FD7"/>
    <w:rsid w:val="00B02F18"/>
    <w:rsid w:val="00B03CD3"/>
    <w:rsid w:val="00B06F68"/>
    <w:rsid w:val="00B07142"/>
    <w:rsid w:val="00B11572"/>
    <w:rsid w:val="00B130B7"/>
    <w:rsid w:val="00B151F9"/>
    <w:rsid w:val="00B15B77"/>
    <w:rsid w:val="00B16E67"/>
    <w:rsid w:val="00B21A38"/>
    <w:rsid w:val="00B22E02"/>
    <w:rsid w:val="00B22EA6"/>
    <w:rsid w:val="00B239C6"/>
    <w:rsid w:val="00B25419"/>
    <w:rsid w:val="00B25D5E"/>
    <w:rsid w:val="00B279A1"/>
    <w:rsid w:val="00B27B87"/>
    <w:rsid w:val="00B317DB"/>
    <w:rsid w:val="00B3478F"/>
    <w:rsid w:val="00B362AF"/>
    <w:rsid w:val="00B406E5"/>
    <w:rsid w:val="00B40F78"/>
    <w:rsid w:val="00B44270"/>
    <w:rsid w:val="00B44C63"/>
    <w:rsid w:val="00B45AE2"/>
    <w:rsid w:val="00B46ACE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02CA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2516"/>
    <w:rsid w:val="00B85290"/>
    <w:rsid w:val="00B8537A"/>
    <w:rsid w:val="00B87A70"/>
    <w:rsid w:val="00B92DD3"/>
    <w:rsid w:val="00B92F40"/>
    <w:rsid w:val="00B9317F"/>
    <w:rsid w:val="00B94543"/>
    <w:rsid w:val="00B95401"/>
    <w:rsid w:val="00B960F0"/>
    <w:rsid w:val="00B96B93"/>
    <w:rsid w:val="00B96C06"/>
    <w:rsid w:val="00BA10CD"/>
    <w:rsid w:val="00BA1643"/>
    <w:rsid w:val="00BA2BEC"/>
    <w:rsid w:val="00BA2DBD"/>
    <w:rsid w:val="00BA3EF2"/>
    <w:rsid w:val="00BA58A8"/>
    <w:rsid w:val="00BA61DE"/>
    <w:rsid w:val="00BA70E1"/>
    <w:rsid w:val="00BA720B"/>
    <w:rsid w:val="00BB1372"/>
    <w:rsid w:val="00BB3207"/>
    <w:rsid w:val="00BB3A35"/>
    <w:rsid w:val="00BB49D0"/>
    <w:rsid w:val="00BB4C95"/>
    <w:rsid w:val="00BB5714"/>
    <w:rsid w:val="00BB5D3A"/>
    <w:rsid w:val="00BB631E"/>
    <w:rsid w:val="00BB7BAD"/>
    <w:rsid w:val="00BB7D3D"/>
    <w:rsid w:val="00BC27AC"/>
    <w:rsid w:val="00BC3595"/>
    <w:rsid w:val="00BC4059"/>
    <w:rsid w:val="00BC5CB6"/>
    <w:rsid w:val="00BC6169"/>
    <w:rsid w:val="00BD0B7C"/>
    <w:rsid w:val="00BD2121"/>
    <w:rsid w:val="00BD34CD"/>
    <w:rsid w:val="00BD4F67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75EA"/>
    <w:rsid w:val="00BF25A0"/>
    <w:rsid w:val="00BF2D80"/>
    <w:rsid w:val="00BF592D"/>
    <w:rsid w:val="00BF608B"/>
    <w:rsid w:val="00BF6D49"/>
    <w:rsid w:val="00BF7439"/>
    <w:rsid w:val="00BF74D2"/>
    <w:rsid w:val="00C052A3"/>
    <w:rsid w:val="00C0695D"/>
    <w:rsid w:val="00C12C91"/>
    <w:rsid w:val="00C12FCB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DB5"/>
    <w:rsid w:val="00C25087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2446"/>
    <w:rsid w:val="00C63D0D"/>
    <w:rsid w:val="00C6442F"/>
    <w:rsid w:val="00C647B1"/>
    <w:rsid w:val="00C67FBA"/>
    <w:rsid w:val="00C703D9"/>
    <w:rsid w:val="00C70F76"/>
    <w:rsid w:val="00C71DE7"/>
    <w:rsid w:val="00C73BC7"/>
    <w:rsid w:val="00C74399"/>
    <w:rsid w:val="00C75306"/>
    <w:rsid w:val="00C775D4"/>
    <w:rsid w:val="00C80CB4"/>
    <w:rsid w:val="00C85D1A"/>
    <w:rsid w:val="00C860E9"/>
    <w:rsid w:val="00C879F1"/>
    <w:rsid w:val="00C908F4"/>
    <w:rsid w:val="00C915DE"/>
    <w:rsid w:val="00C91FCF"/>
    <w:rsid w:val="00C92AE2"/>
    <w:rsid w:val="00C93232"/>
    <w:rsid w:val="00C93CAF"/>
    <w:rsid w:val="00C94357"/>
    <w:rsid w:val="00C944CA"/>
    <w:rsid w:val="00C9464F"/>
    <w:rsid w:val="00C956BC"/>
    <w:rsid w:val="00C9626D"/>
    <w:rsid w:val="00CA0452"/>
    <w:rsid w:val="00CA0A1B"/>
    <w:rsid w:val="00CA1005"/>
    <w:rsid w:val="00CA1A64"/>
    <w:rsid w:val="00CA51E6"/>
    <w:rsid w:val="00CA54E4"/>
    <w:rsid w:val="00CA6540"/>
    <w:rsid w:val="00CA7A10"/>
    <w:rsid w:val="00CB1013"/>
    <w:rsid w:val="00CB1115"/>
    <w:rsid w:val="00CB11EC"/>
    <w:rsid w:val="00CB3C3C"/>
    <w:rsid w:val="00CB411E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1B39"/>
    <w:rsid w:val="00CD1D24"/>
    <w:rsid w:val="00CD1FDB"/>
    <w:rsid w:val="00CD318E"/>
    <w:rsid w:val="00CD3695"/>
    <w:rsid w:val="00CD4851"/>
    <w:rsid w:val="00CD4AF9"/>
    <w:rsid w:val="00CD67DE"/>
    <w:rsid w:val="00CD75EE"/>
    <w:rsid w:val="00CD7C40"/>
    <w:rsid w:val="00CE333A"/>
    <w:rsid w:val="00CE3A90"/>
    <w:rsid w:val="00CE685E"/>
    <w:rsid w:val="00CE6C6E"/>
    <w:rsid w:val="00CE7EB4"/>
    <w:rsid w:val="00CF374F"/>
    <w:rsid w:val="00CF51BF"/>
    <w:rsid w:val="00CF581B"/>
    <w:rsid w:val="00CF668E"/>
    <w:rsid w:val="00D01268"/>
    <w:rsid w:val="00D01FB5"/>
    <w:rsid w:val="00D02558"/>
    <w:rsid w:val="00D0423F"/>
    <w:rsid w:val="00D0693F"/>
    <w:rsid w:val="00D075CD"/>
    <w:rsid w:val="00D077CA"/>
    <w:rsid w:val="00D07EA6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2DC1"/>
    <w:rsid w:val="00D32E53"/>
    <w:rsid w:val="00D33E96"/>
    <w:rsid w:val="00D37780"/>
    <w:rsid w:val="00D425A1"/>
    <w:rsid w:val="00D4283E"/>
    <w:rsid w:val="00D448D2"/>
    <w:rsid w:val="00D4711A"/>
    <w:rsid w:val="00D50654"/>
    <w:rsid w:val="00D51B1B"/>
    <w:rsid w:val="00D51C8D"/>
    <w:rsid w:val="00D52943"/>
    <w:rsid w:val="00D52BE0"/>
    <w:rsid w:val="00D52CAF"/>
    <w:rsid w:val="00D53630"/>
    <w:rsid w:val="00D5480E"/>
    <w:rsid w:val="00D555E9"/>
    <w:rsid w:val="00D55D50"/>
    <w:rsid w:val="00D60C0F"/>
    <w:rsid w:val="00D62022"/>
    <w:rsid w:val="00D6245A"/>
    <w:rsid w:val="00D626BD"/>
    <w:rsid w:val="00D63C0A"/>
    <w:rsid w:val="00D6679E"/>
    <w:rsid w:val="00D675B6"/>
    <w:rsid w:val="00D67CDE"/>
    <w:rsid w:val="00D70449"/>
    <w:rsid w:val="00D70D72"/>
    <w:rsid w:val="00D70EFD"/>
    <w:rsid w:val="00D745CB"/>
    <w:rsid w:val="00D75459"/>
    <w:rsid w:val="00D80852"/>
    <w:rsid w:val="00D80AD5"/>
    <w:rsid w:val="00D82DC3"/>
    <w:rsid w:val="00D84E61"/>
    <w:rsid w:val="00D85E65"/>
    <w:rsid w:val="00D8707A"/>
    <w:rsid w:val="00D903D1"/>
    <w:rsid w:val="00D91184"/>
    <w:rsid w:val="00D92554"/>
    <w:rsid w:val="00D9443A"/>
    <w:rsid w:val="00D94B08"/>
    <w:rsid w:val="00D95844"/>
    <w:rsid w:val="00D9688A"/>
    <w:rsid w:val="00DA42EC"/>
    <w:rsid w:val="00DA7687"/>
    <w:rsid w:val="00DA78B0"/>
    <w:rsid w:val="00DA78D7"/>
    <w:rsid w:val="00DB0B49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1186"/>
    <w:rsid w:val="00DC284B"/>
    <w:rsid w:val="00DC4495"/>
    <w:rsid w:val="00DC5D64"/>
    <w:rsid w:val="00DC5DA6"/>
    <w:rsid w:val="00DC6A6F"/>
    <w:rsid w:val="00DC78D3"/>
    <w:rsid w:val="00DD0893"/>
    <w:rsid w:val="00DD20EB"/>
    <w:rsid w:val="00DD3E5D"/>
    <w:rsid w:val="00DD6346"/>
    <w:rsid w:val="00DD7105"/>
    <w:rsid w:val="00DD77A5"/>
    <w:rsid w:val="00DD7A03"/>
    <w:rsid w:val="00DE0F22"/>
    <w:rsid w:val="00DE1BC9"/>
    <w:rsid w:val="00DE33F3"/>
    <w:rsid w:val="00DE4B73"/>
    <w:rsid w:val="00DE54E6"/>
    <w:rsid w:val="00DE55E0"/>
    <w:rsid w:val="00DE5DEC"/>
    <w:rsid w:val="00DE728D"/>
    <w:rsid w:val="00DF13D8"/>
    <w:rsid w:val="00DF1836"/>
    <w:rsid w:val="00DF20AE"/>
    <w:rsid w:val="00DF2F1F"/>
    <w:rsid w:val="00DF3BAD"/>
    <w:rsid w:val="00DF3E74"/>
    <w:rsid w:val="00DF598E"/>
    <w:rsid w:val="00DF7E9A"/>
    <w:rsid w:val="00E0044C"/>
    <w:rsid w:val="00E00FFC"/>
    <w:rsid w:val="00E05608"/>
    <w:rsid w:val="00E058B0"/>
    <w:rsid w:val="00E063F5"/>
    <w:rsid w:val="00E0689B"/>
    <w:rsid w:val="00E06B29"/>
    <w:rsid w:val="00E06D02"/>
    <w:rsid w:val="00E11143"/>
    <w:rsid w:val="00E1143F"/>
    <w:rsid w:val="00E14001"/>
    <w:rsid w:val="00E167DB"/>
    <w:rsid w:val="00E17021"/>
    <w:rsid w:val="00E178FA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3B0D"/>
    <w:rsid w:val="00E33C0D"/>
    <w:rsid w:val="00E34669"/>
    <w:rsid w:val="00E3569D"/>
    <w:rsid w:val="00E4041D"/>
    <w:rsid w:val="00E415F2"/>
    <w:rsid w:val="00E46425"/>
    <w:rsid w:val="00E50883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3097"/>
    <w:rsid w:val="00E638A0"/>
    <w:rsid w:val="00E64FBB"/>
    <w:rsid w:val="00E66072"/>
    <w:rsid w:val="00E663E2"/>
    <w:rsid w:val="00E676EB"/>
    <w:rsid w:val="00E719C3"/>
    <w:rsid w:val="00E72025"/>
    <w:rsid w:val="00E72444"/>
    <w:rsid w:val="00E77D84"/>
    <w:rsid w:val="00E81EF9"/>
    <w:rsid w:val="00E83702"/>
    <w:rsid w:val="00E83F6C"/>
    <w:rsid w:val="00E84EBF"/>
    <w:rsid w:val="00E8613B"/>
    <w:rsid w:val="00E90ED4"/>
    <w:rsid w:val="00E91B76"/>
    <w:rsid w:val="00E91BDC"/>
    <w:rsid w:val="00E92B4B"/>
    <w:rsid w:val="00E97AF1"/>
    <w:rsid w:val="00EA2BFA"/>
    <w:rsid w:val="00EA310A"/>
    <w:rsid w:val="00EA47CD"/>
    <w:rsid w:val="00EA628E"/>
    <w:rsid w:val="00EA70F4"/>
    <w:rsid w:val="00EB17ED"/>
    <w:rsid w:val="00EB235D"/>
    <w:rsid w:val="00EB2FA5"/>
    <w:rsid w:val="00EB4911"/>
    <w:rsid w:val="00EB4F60"/>
    <w:rsid w:val="00EB7F93"/>
    <w:rsid w:val="00EC24B8"/>
    <w:rsid w:val="00EC2D36"/>
    <w:rsid w:val="00EC3558"/>
    <w:rsid w:val="00EC44C4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582"/>
    <w:rsid w:val="00ED62AE"/>
    <w:rsid w:val="00ED6495"/>
    <w:rsid w:val="00ED6E22"/>
    <w:rsid w:val="00EE01B6"/>
    <w:rsid w:val="00EE3230"/>
    <w:rsid w:val="00EE4ED4"/>
    <w:rsid w:val="00EE5B85"/>
    <w:rsid w:val="00EE618A"/>
    <w:rsid w:val="00EF0367"/>
    <w:rsid w:val="00EF13CA"/>
    <w:rsid w:val="00EF14C6"/>
    <w:rsid w:val="00EF1BC6"/>
    <w:rsid w:val="00EF1FB3"/>
    <w:rsid w:val="00EF22FE"/>
    <w:rsid w:val="00EF6E36"/>
    <w:rsid w:val="00EF7DC4"/>
    <w:rsid w:val="00F00BC4"/>
    <w:rsid w:val="00F01C1B"/>
    <w:rsid w:val="00F030EC"/>
    <w:rsid w:val="00F0423F"/>
    <w:rsid w:val="00F048B9"/>
    <w:rsid w:val="00F06432"/>
    <w:rsid w:val="00F1053D"/>
    <w:rsid w:val="00F11443"/>
    <w:rsid w:val="00F132E0"/>
    <w:rsid w:val="00F135D0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235"/>
    <w:rsid w:val="00F24AD5"/>
    <w:rsid w:val="00F259CE"/>
    <w:rsid w:val="00F26B4B"/>
    <w:rsid w:val="00F3192D"/>
    <w:rsid w:val="00F33CBB"/>
    <w:rsid w:val="00F34C90"/>
    <w:rsid w:val="00F36DBE"/>
    <w:rsid w:val="00F40076"/>
    <w:rsid w:val="00F41366"/>
    <w:rsid w:val="00F41650"/>
    <w:rsid w:val="00F424C7"/>
    <w:rsid w:val="00F42A95"/>
    <w:rsid w:val="00F42B68"/>
    <w:rsid w:val="00F43FA7"/>
    <w:rsid w:val="00F4568B"/>
    <w:rsid w:val="00F45905"/>
    <w:rsid w:val="00F469F5"/>
    <w:rsid w:val="00F506C1"/>
    <w:rsid w:val="00F56D97"/>
    <w:rsid w:val="00F6046C"/>
    <w:rsid w:val="00F638B7"/>
    <w:rsid w:val="00F646B9"/>
    <w:rsid w:val="00F647A2"/>
    <w:rsid w:val="00F66B19"/>
    <w:rsid w:val="00F67C66"/>
    <w:rsid w:val="00F70566"/>
    <w:rsid w:val="00F736A9"/>
    <w:rsid w:val="00F736DD"/>
    <w:rsid w:val="00F7411E"/>
    <w:rsid w:val="00F75038"/>
    <w:rsid w:val="00F75304"/>
    <w:rsid w:val="00F759B0"/>
    <w:rsid w:val="00F76F0A"/>
    <w:rsid w:val="00F7742D"/>
    <w:rsid w:val="00F8468D"/>
    <w:rsid w:val="00F84767"/>
    <w:rsid w:val="00F84820"/>
    <w:rsid w:val="00F870AD"/>
    <w:rsid w:val="00F90833"/>
    <w:rsid w:val="00F90A2F"/>
    <w:rsid w:val="00F92F9F"/>
    <w:rsid w:val="00F93B29"/>
    <w:rsid w:val="00F9513F"/>
    <w:rsid w:val="00F9558D"/>
    <w:rsid w:val="00F95AA6"/>
    <w:rsid w:val="00F96BFE"/>
    <w:rsid w:val="00FA059A"/>
    <w:rsid w:val="00FA14C3"/>
    <w:rsid w:val="00FA2A60"/>
    <w:rsid w:val="00FA5BDD"/>
    <w:rsid w:val="00FB00D6"/>
    <w:rsid w:val="00FB0298"/>
    <w:rsid w:val="00FB18C2"/>
    <w:rsid w:val="00FB3667"/>
    <w:rsid w:val="00FC0C52"/>
    <w:rsid w:val="00FC335A"/>
    <w:rsid w:val="00FC3C61"/>
    <w:rsid w:val="00FC41D0"/>
    <w:rsid w:val="00FC46B6"/>
    <w:rsid w:val="00FC49B9"/>
    <w:rsid w:val="00FC4B3D"/>
    <w:rsid w:val="00FC537C"/>
    <w:rsid w:val="00FC6053"/>
    <w:rsid w:val="00FC617F"/>
    <w:rsid w:val="00FC6DA9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5704"/>
    <w:rsid w:val="00FE63E8"/>
    <w:rsid w:val="00FE667B"/>
    <w:rsid w:val="00FF0E84"/>
    <w:rsid w:val="00FF1735"/>
    <w:rsid w:val="00FF2DA2"/>
    <w:rsid w:val="00FF3D8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BAD0B-A60F-4CD4-A4A5-21242D7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22EA6"/>
    <w:pPr>
      <w:keepNext/>
      <w:keepLines/>
      <w:numPr>
        <w:ilvl w:val="2"/>
        <w:numId w:val="2"/>
      </w:numPr>
      <w:spacing w:before="120"/>
      <w:contextualSpacing/>
      <w:jc w:val="both"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22EA6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8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8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8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8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8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8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8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8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8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kument_aplikace_Microsoft_Word2.doc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okument_aplikace_Microsoft_Word3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84A6-EB47-44DD-9BC5-E9923A50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17</Pages>
  <Words>4841</Words>
  <Characters>28568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33343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2019-04-29T09:38:00Z</cp:lastPrinted>
  <dcterms:created xsi:type="dcterms:W3CDTF">2019-05-24T11:39:00Z</dcterms:created>
  <dcterms:modified xsi:type="dcterms:W3CDTF">2019-05-24T11:39:00Z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