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</w:p>
    <w:p w:rsidR="00ED0E3A" w:rsidRDefault="00ED0E3A" w:rsidP="00ED0E3A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D0E3A" w:rsidRPr="008C62A8" w:rsidRDefault="00ED0E3A" w:rsidP="00ED0E3A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12084280</w:t>
      </w:r>
    </w:p>
    <w:p w:rsidR="00ED0E3A" w:rsidRPr="008C62A8" w:rsidRDefault="00ED0E3A" w:rsidP="00ED0E3A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CZ5605101315</w:t>
      </w:r>
    </w:p>
    <w:p w:rsidR="00ED0E3A" w:rsidRDefault="00ED0E3A" w:rsidP="00ED0E3A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D0E3A" w:rsidRPr="008C62A8" w:rsidRDefault="00ED0E3A" w:rsidP="00ED0E3A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D0E3A" w:rsidRDefault="00ED0E3A" w:rsidP="00ED0E3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  <w:r w:rsidRPr="008C62A8">
        <w:rPr>
          <w:rFonts w:asciiTheme="minorHAnsi" w:hAnsiTheme="minorHAnsi"/>
          <w:sz w:val="22"/>
          <w:szCs w:val="22"/>
        </w:rPr>
        <w:t xml:space="preserve"> </w:t>
      </w:r>
    </w:p>
    <w:p w:rsidR="00ED0E3A" w:rsidRPr="008C62A8" w:rsidRDefault="00ED0E3A" w:rsidP="00ED0E3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Společnost je registrována:</w:t>
      </w:r>
      <w:r>
        <w:rPr>
          <w:rFonts w:asciiTheme="minorHAnsi" w:hAnsiTheme="minorHAnsi"/>
          <w:sz w:val="22"/>
          <w:szCs w:val="22"/>
        </w:rPr>
        <w:tab/>
        <w:t>MÚ Bruntál – OŽUZU 139/2012 BRO - 4344</w:t>
      </w:r>
      <w:r>
        <w:rPr>
          <w:rFonts w:asciiTheme="minorHAnsi" w:hAnsiTheme="minorHAnsi"/>
          <w:sz w:val="22"/>
          <w:szCs w:val="22"/>
        </w:rPr>
        <w:tab/>
      </w:r>
    </w:p>
    <w:p w:rsidR="00ED0E3A" w:rsidRPr="008C62A8" w:rsidRDefault="00ED0E3A" w:rsidP="00ED0E3A">
      <w:pPr>
        <w:jc w:val="both"/>
        <w:rPr>
          <w:rFonts w:asciiTheme="minorHAnsi" w:hAnsiTheme="minorHAnsi"/>
          <w:sz w:val="22"/>
          <w:szCs w:val="22"/>
        </w:rPr>
      </w:pPr>
    </w:p>
    <w:p w:rsidR="00ED0E3A" w:rsidRPr="008C62A8" w:rsidRDefault="00ED0E3A" w:rsidP="00ED0E3A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ED0E3A" w:rsidRDefault="00ED0E3A" w:rsidP="00ED0E3A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ED0E3A" w:rsidRPr="008C62A8" w:rsidRDefault="00ED0E3A" w:rsidP="00ED0E3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ED0E3A" w:rsidRPr="008C62A8" w:rsidRDefault="00ED0E3A" w:rsidP="00ED0E3A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ED0E3A" w:rsidRPr="008C62A8" w:rsidRDefault="00ED0E3A" w:rsidP="00ED0E3A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b/>
          <w:sz w:val="22"/>
          <w:szCs w:val="22"/>
        </w:rPr>
        <w:t>xxxxxxxxxxxxxxxxxxxx</w:t>
      </w:r>
      <w:proofErr w:type="spellEnd"/>
    </w:p>
    <w:p w:rsidR="00ED0E3A" w:rsidRPr="008C62A8" w:rsidRDefault="00ED0E3A" w:rsidP="00ED0E3A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ED0E3A" w:rsidRPr="008C62A8" w:rsidRDefault="00ED0E3A" w:rsidP="00ED0E3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</w:t>
      </w:r>
      <w:proofErr w:type="spellEnd"/>
    </w:p>
    <w:p w:rsidR="00ED0E3A" w:rsidRDefault="00ED0E3A" w:rsidP="00ED0E3A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</w:t>
      </w:r>
      <w:proofErr w:type="spellEnd"/>
    </w:p>
    <w:p w:rsidR="00ED0E3A" w:rsidRPr="008C62A8" w:rsidRDefault="00ED0E3A" w:rsidP="00ED0E3A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703 431</w:t>
      </w:r>
      <w:r w:rsidRPr="008C62A8">
        <w:rPr>
          <w:rFonts w:asciiTheme="minorHAnsi" w:hAnsiTheme="minorHAnsi"/>
          <w:sz w:val="22"/>
          <w:szCs w:val="22"/>
        </w:rPr>
        <w:t xml:space="preserve">       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 xml:space="preserve">opravu </w:t>
      </w:r>
      <w:r w:rsidR="004661F6">
        <w:rPr>
          <w:rFonts w:asciiTheme="minorHAnsi" w:hAnsiTheme="minorHAnsi"/>
          <w:b/>
          <w:sz w:val="22"/>
          <w:szCs w:val="22"/>
        </w:rPr>
        <w:t>stropu ve 2.NP, Husova 5</w:t>
      </w:r>
      <w:r w:rsidR="00B401F6" w:rsidRPr="00B401F6">
        <w:rPr>
          <w:rFonts w:asciiTheme="minorHAnsi" w:hAnsiTheme="minorHAnsi"/>
          <w:b/>
          <w:sz w:val="22"/>
          <w:szCs w:val="22"/>
        </w:rPr>
        <w:t>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doložení nezbytných dokladů požadovaných k předání a převzetí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 zejména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díla.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7C4057">
        <w:rPr>
          <w:rFonts w:asciiTheme="minorHAnsi" w:hAnsiTheme="minorHAnsi"/>
          <w:sz w:val="22"/>
          <w:szCs w:val="22"/>
        </w:rPr>
        <w:tab/>
      </w:r>
      <w:proofErr w:type="gramStart"/>
      <w:r w:rsidR="004D00A4" w:rsidRPr="004D00A4">
        <w:rPr>
          <w:rFonts w:asciiTheme="minorHAnsi" w:hAnsiTheme="minorHAnsi"/>
          <w:b/>
          <w:sz w:val="22"/>
          <w:szCs w:val="22"/>
        </w:rPr>
        <w:t>10.11</w:t>
      </w:r>
      <w:r w:rsidR="00B401F6">
        <w:rPr>
          <w:rFonts w:asciiTheme="minorHAnsi" w:hAnsiTheme="minorHAnsi"/>
          <w:b/>
          <w:sz w:val="22"/>
          <w:szCs w:val="22"/>
        </w:rPr>
        <w:t>.2016</w:t>
      </w:r>
      <w:proofErr w:type="gramEnd"/>
      <w:r w:rsidR="00B02BF2">
        <w:rPr>
          <w:rFonts w:asciiTheme="minorHAnsi" w:hAnsiTheme="minorHAnsi"/>
          <w:b/>
          <w:sz w:val="22"/>
          <w:szCs w:val="22"/>
        </w:rPr>
        <w:t>.</w:t>
      </w:r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7C4057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>3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</w:t>
      </w:r>
      <w:r w:rsidRPr="00224DD6">
        <w:rPr>
          <w:rFonts w:asciiTheme="minorHAnsi" w:hAnsiTheme="minorHAnsi"/>
          <w:sz w:val="22"/>
          <w:szCs w:val="22"/>
        </w:rPr>
        <w:lastRenderedPageBreak/>
        <w:t>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</w:t>
      </w:r>
      <w:r w:rsidR="00B401F6">
        <w:rPr>
          <w:rFonts w:asciiTheme="minorHAnsi" w:hAnsiTheme="minorHAnsi"/>
          <w:b/>
          <w:sz w:val="22"/>
          <w:szCs w:val="22"/>
        </w:rPr>
        <w:t xml:space="preserve"> </w:t>
      </w:r>
      <w:r w:rsidR="004D00A4">
        <w:rPr>
          <w:rFonts w:asciiTheme="minorHAnsi" w:hAnsiTheme="minorHAnsi"/>
          <w:b/>
          <w:sz w:val="22"/>
          <w:szCs w:val="22"/>
        </w:rPr>
        <w:t xml:space="preserve">  75.038</w:t>
      </w:r>
      <w:r w:rsidR="00B401F6">
        <w:rPr>
          <w:rFonts w:asciiTheme="minorHAnsi" w:hAnsiTheme="minorHAnsi"/>
          <w:b/>
          <w:sz w:val="22"/>
          <w:szCs w:val="22"/>
        </w:rPr>
        <w:t>,</w:t>
      </w:r>
      <w:r w:rsidR="002C7D74">
        <w:rPr>
          <w:rFonts w:asciiTheme="minorHAnsi" w:hAnsiTheme="minorHAnsi"/>
          <w:b/>
          <w:sz w:val="22"/>
          <w:szCs w:val="22"/>
        </w:rPr>
        <w:t>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2C7D74">
        <w:rPr>
          <w:rFonts w:asciiTheme="minorHAnsi" w:hAnsiTheme="minorHAnsi"/>
          <w:sz w:val="22"/>
          <w:szCs w:val="22"/>
        </w:rPr>
        <w:t xml:space="preserve">21 </w:t>
      </w:r>
      <w:r w:rsidR="00AC6086" w:rsidRPr="008C62A8">
        <w:rPr>
          <w:rFonts w:asciiTheme="minorHAnsi" w:hAnsiTheme="minorHAnsi"/>
          <w:sz w:val="22"/>
          <w:szCs w:val="22"/>
        </w:rPr>
        <w:t>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 xml:space="preserve">             </w:t>
      </w:r>
      <w:r w:rsidR="004D00A4">
        <w:rPr>
          <w:rFonts w:asciiTheme="minorHAnsi" w:hAnsiTheme="minorHAnsi"/>
          <w:sz w:val="22"/>
          <w:szCs w:val="22"/>
        </w:rPr>
        <w:t>15.758</w:t>
      </w:r>
      <w:r w:rsidR="00B401F6">
        <w:rPr>
          <w:rFonts w:asciiTheme="minorHAnsi" w:hAnsiTheme="minorHAnsi"/>
          <w:sz w:val="22"/>
          <w:szCs w:val="22"/>
        </w:rPr>
        <w:t>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4D00A4">
        <w:rPr>
          <w:rFonts w:asciiTheme="minorHAnsi" w:hAnsiTheme="minorHAnsi"/>
          <w:b/>
          <w:sz w:val="22"/>
          <w:szCs w:val="22"/>
        </w:rPr>
        <w:t xml:space="preserve"> 90.796</w:t>
      </w:r>
      <w:r w:rsidR="00B401F6">
        <w:rPr>
          <w:rFonts w:asciiTheme="minorHAnsi" w:hAnsiTheme="minorHAnsi"/>
          <w:b/>
          <w:sz w:val="22"/>
          <w:szCs w:val="22"/>
        </w:rPr>
        <w:t>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nebo 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B401F6">
        <w:rPr>
          <w:rFonts w:asciiTheme="minorHAnsi" w:hAnsiTheme="minorHAnsi"/>
          <w:sz w:val="22"/>
          <w:szCs w:val="22"/>
        </w:rPr>
        <w:t>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D00A4">
        <w:rPr>
          <w:rFonts w:asciiTheme="minorHAnsi" w:hAnsiTheme="minorHAnsi"/>
          <w:sz w:val="22"/>
          <w:szCs w:val="22"/>
        </w:rPr>
        <w:t>01.11</w:t>
      </w:r>
      <w:r w:rsidR="00B401F6">
        <w:rPr>
          <w:rFonts w:asciiTheme="minorHAnsi" w:hAnsiTheme="minorHAnsi"/>
          <w:sz w:val="22"/>
          <w:szCs w:val="22"/>
        </w:rPr>
        <w:t>.2016</w:t>
      </w:r>
      <w:proofErr w:type="gramEnd"/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proofErr w:type="gramStart"/>
      <w:r w:rsidR="004D00A4">
        <w:rPr>
          <w:rFonts w:asciiTheme="minorHAnsi" w:hAnsiTheme="minorHAnsi"/>
          <w:sz w:val="22"/>
          <w:szCs w:val="22"/>
        </w:rPr>
        <w:t>01.11</w:t>
      </w:r>
      <w:r w:rsidR="00B401F6">
        <w:rPr>
          <w:rFonts w:asciiTheme="minorHAnsi" w:hAnsiTheme="minorHAnsi"/>
          <w:sz w:val="22"/>
          <w:szCs w:val="22"/>
        </w:rPr>
        <w:t>.2016</w:t>
      </w:r>
      <w:proofErr w:type="gramEnd"/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EC" w:rsidRDefault="003E09EC" w:rsidP="00CD5ACD">
      <w:r>
        <w:separator/>
      </w:r>
    </w:p>
  </w:endnote>
  <w:endnote w:type="continuationSeparator" w:id="0">
    <w:p w:rsidR="003E09EC" w:rsidRDefault="003E09EC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ED0E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EC" w:rsidRDefault="003E09EC" w:rsidP="00CD5ACD">
      <w:r>
        <w:separator/>
      </w:r>
    </w:p>
  </w:footnote>
  <w:footnote w:type="continuationSeparator" w:id="0">
    <w:p w:rsidR="003E09EC" w:rsidRDefault="003E09EC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4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6552E"/>
    <w:rsid w:val="00073CC4"/>
    <w:rsid w:val="000832D9"/>
    <w:rsid w:val="00090F76"/>
    <w:rsid w:val="000923F1"/>
    <w:rsid w:val="000A27C4"/>
    <w:rsid w:val="000A7E13"/>
    <w:rsid w:val="000B6984"/>
    <w:rsid w:val="000B6A5C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C2CC7"/>
    <w:rsid w:val="00200995"/>
    <w:rsid w:val="00224DD6"/>
    <w:rsid w:val="00233CE8"/>
    <w:rsid w:val="00252420"/>
    <w:rsid w:val="00297B74"/>
    <w:rsid w:val="002A470F"/>
    <w:rsid w:val="002B28F9"/>
    <w:rsid w:val="002C307E"/>
    <w:rsid w:val="002C7D74"/>
    <w:rsid w:val="003214DA"/>
    <w:rsid w:val="00335C17"/>
    <w:rsid w:val="00351572"/>
    <w:rsid w:val="00356390"/>
    <w:rsid w:val="003B0EE3"/>
    <w:rsid w:val="003B3FB3"/>
    <w:rsid w:val="003B72FB"/>
    <w:rsid w:val="003B7BF9"/>
    <w:rsid w:val="003E09EC"/>
    <w:rsid w:val="003E5FBA"/>
    <w:rsid w:val="004031FD"/>
    <w:rsid w:val="0043086A"/>
    <w:rsid w:val="00434C55"/>
    <w:rsid w:val="00444B45"/>
    <w:rsid w:val="00446C32"/>
    <w:rsid w:val="004536D7"/>
    <w:rsid w:val="004661F6"/>
    <w:rsid w:val="0047354D"/>
    <w:rsid w:val="004C0270"/>
    <w:rsid w:val="004D00A4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C410D"/>
    <w:rsid w:val="009D4099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70717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D0E3A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2016-12-12T06:33:00Z</cp:lastPrinted>
  <dcterms:created xsi:type="dcterms:W3CDTF">2016-12-12T06:33:00Z</dcterms:created>
  <dcterms:modified xsi:type="dcterms:W3CDTF">2016-12-12T06:33:00Z</dcterms:modified>
</cp:coreProperties>
</file>