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FE5827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DE2BC9" w:rsidRDefault="00FE5827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FE5827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FE5827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FE5827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425" w:type="dxa"/>
          </w:tcPr>
          <w:p w:rsidR="00226595" w:rsidRPr="00DE2BC9" w:rsidRDefault="00FE5827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FE5827">
        <w:rPr>
          <w:b/>
          <w:snapToGrid w:val="0"/>
          <w:sz w:val="28"/>
          <w:szCs w:val="28"/>
        </w:rPr>
        <w:t>07 – 16/2016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D7B4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1967EA">
        <w:rPr>
          <w:rFonts w:ascii="Times New Roman" w:hAnsi="Times New Roman"/>
          <w:snapToGrid w:val="0"/>
          <w:sz w:val="24"/>
        </w:rPr>
        <w:t xml:space="preserve"> </w:t>
      </w:r>
      <w:r w:rsidR="00FE5827">
        <w:rPr>
          <w:rFonts w:ascii="Times New Roman" w:hAnsi="Times New Roman"/>
          <w:snapToGrid w:val="0"/>
          <w:sz w:val="24"/>
        </w:rPr>
        <w:t>108845001</w:t>
      </w:r>
    </w:p>
    <w:p w:rsidR="009404F5" w:rsidRPr="00206D3F" w:rsidRDefault="00FE5827" w:rsidP="009404F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Vizovice</w:t>
      </w:r>
    </w:p>
    <w:p w:rsidR="009404F5" w:rsidRDefault="009404F5" w:rsidP="009404F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FE5827">
        <w:rPr>
          <w:rFonts w:ascii="Times New Roman" w:hAnsi="Times New Roman"/>
          <w:b/>
          <w:snapToGrid w:val="0"/>
          <w:sz w:val="24"/>
        </w:rPr>
        <w:t>Vizovice, Masarykovo nám. 1007, PSČ 763 12</w:t>
      </w:r>
    </w:p>
    <w:p w:rsidR="009404F5" w:rsidRPr="00FE5827" w:rsidRDefault="009404F5" w:rsidP="009404F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FE5827">
        <w:rPr>
          <w:rFonts w:ascii="Times New Roman" w:hAnsi="Times New Roman"/>
          <w:b/>
          <w:snapToGrid w:val="0"/>
          <w:sz w:val="24"/>
        </w:rPr>
        <w:t xml:space="preserve"> </w:t>
      </w:r>
      <w:r w:rsidR="00FE5827">
        <w:rPr>
          <w:rFonts w:ascii="Times New Roman" w:hAnsi="Times New Roman"/>
          <w:snapToGrid w:val="0"/>
          <w:sz w:val="24"/>
        </w:rPr>
        <w:t>Bc. Silvií Dolanskou, starostkou</w:t>
      </w:r>
    </w:p>
    <w:p w:rsidR="009404F5" w:rsidRDefault="009404F5" w:rsidP="009404F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FE5827">
        <w:rPr>
          <w:rFonts w:ascii="Times New Roman" w:hAnsi="Times New Roman"/>
          <w:snapToGrid w:val="0"/>
          <w:sz w:val="24"/>
        </w:rPr>
        <w:tab/>
        <w:t>00284653</w:t>
      </w:r>
    </w:p>
    <w:p w:rsidR="009404F5" w:rsidRDefault="009404F5" w:rsidP="009404F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FE5827">
        <w:rPr>
          <w:rFonts w:ascii="Times New Roman" w:hAnsi="Times New Roman"/>
          <w:snapToGrid w:val="0"/>
          <w:sz w:val="24"/>
        </w:rPr>
        <w:t>--</w:t>
      </w:r>
    </w:p>
    <w:p w:rsidR="00226595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FD7B46" w:rsidRDefault="00FD7B46" w:rsidP="00FE5827">
      <w:pPr>
        <w:pStyle w:val="Codstavec"/>
        <w:tabs>
          <w:tab w:val="left" w:pos="284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Default="00226595" w:rsidP="00FE5827">
      <w:pPr>
        <w:pStyle w:val="Codstavec"/>
        <w:tabs>
          <w:tab w:val="left" w:pos="284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FE5827">
        <w:rPr>
          <w:rFonts w:ascii="Times New Roman" w:hAnsi="Times New Roman"/>
          <w:snapToGrid w:val="0"/>
          <w:sz w:val="24"/>
        </w:rPr>
        <w:t xml:space="preserve"> --</w:t>
      </w:r>
    </w:p>
    <w:p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FE5827" w:rsidRDefault="00FE5827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FE5827" w:rsidRDefault="00FE5827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FE5827" w:rsidRDefault="00FE5827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FE5827" w:rsidRDefault="00FE5827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FE5827" w:rsidRPr="00DE2BC9" w:rsidRDefault="00FE5827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FE5827" w:rsidRDefault="00226595" w:rsidP="00FE5827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FE5827">
        <w:rPr>
          <w:rFonts w:ascii="Times New Roman" w:hAnsi="Times New Roman"/>
          <w:b/>
          <w:snapToGrid w:val="0"/>
          <w:color w:val="3366FF"/>
          <w:sz w:val="24"/>
        </w:rPr>
        <w:t xml:space="preserve"> </w:t>
      </w:r>
      <w:r w:rsidRPr="00FE5827">
        <w:rPr>
          <w:rFonts w:ascii="Times New Roman" w:hAnsi="Times New Roman"/>
          <w:b/>
          <w:snapToGrid w:val="0"/>
          <w:sz w:val="24"/>
        </w:rPr>
        <w:t>k nasazení poplatku všem plátcům v kmeni pro inkasní měsíc</w:t>
      </w:r>
      <w:r w:rsidRPr="00FE5827">
        <w:rPr>
          <w:rFonts w:ascii="Times New Roman" w:hAnsi="Times New Roman"/>
          <w:snapToGrid w:val="0"/>
          <w:sz w:val="24"/>
        </w:rPr>
        <w:t xml:space="preserve"> s průvodkou 1x měsíčně;</w:t>
      </w:r>
    </w:p>
    <w:p w:rsidR="00226595" w:rsidRPr="00FE5827" w:rsidRDefault="00226595" w:rsidP="00FE5827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FE5827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FE5827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FE5827" w:rsidRDefault="00226595" w:rsidP="00FE5827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FE5827">
        <w:rPr>
          <w:rFonts w:ascii="Times New Roman" w:hAnsi="Times New Roman"/>
          <w:sz w:val="24"/>
        </w:rPr>
        <w:t xml:space="preserve"> </w:t>
      </w:r>
      <w:r w:rsidRPr="00FE5827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FE5827" w:rsidRDefault="00226595" w:rsidP="00FE5827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FE5827" w:rsidRDefault="00226595" w:rsidP="00FE5827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FE5827">
        <w:rPr>
          <w:rFonts w:ascii="Times New Roman" w:hAnsi="Times New Roman"/>
          <w:snapToGrid w:val="0"/>
          <w:sz w:val="24"/>
        </w:rPr>
        <w:t>s průvodkou</w:t>
      </w:r>
      <w:r w:rsidRPr="00FE5827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FE5827" w:rsidRDefault="00FE5827" w:rsidP="00FE5827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FD7B46" w:rsidRPr="00147095" w:rsidRDefault="00FD7B46" w:rsidP="00FE5827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FE5827" w:rsidRDefault="00226595" w:rsidP="00FE5827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FE5827">
        <w:rPr>
          <w:rFonts w:ascii="Times New Roman" w:hAnsi="Times New Roman"/>
          <w:b/>
          <w:snapToGrid w:val="0"/>
          <w:sz w:val="24"/>
        </w:rPr>
        <w:t xml:space="preserve"> k nasazení poplatku všem</w:t>
      </w:r>
      <w:r w:rsidRPr="00FE5827">
        <w:rPr>
          <w:rFonts w:ascii="Times New Roman" w:hAnsi="Times New Roman"/>
          <w:snapToGrid w:val="0"/>
          <w:sz w:val="24"/>
        </w:rPr>
        <w:t xml:space="preserve"> plátcům v kmeni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FE5827" w:rsidRDefault="00226595" w:rsidP="00FE5827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 w:rsidR="00FE5827">
        <w:rPr>
          <w:rFonts w:ascii="Times New Roman" w:hAnsi="Times New Roman"/>
          <w:sz w:val="24"/>
        </w:rPr>
        <w:t>í od plátců vyinkasované platby</w:t>
      </w:r>
      <w:r w:rsidRPr="00FE5827">
        <w:rPr>
          <w:rFonts w:ascii="Times New Roman" w:hAnsi="Times New Roman"/>
          <w:sz w:val="24"/>
        </w:rPr>
        <w:t xml:space="preserve"> úhrnem vybraných plateb</w:t>
      </w:r>
      <w:r w:rsidRPr="00FE5827">
        <w:rPr>
          <w:rFonts w:ascii="Times New Roman" w:hAnsi="Times New Roman"/>
          <w:b/>
          <w:sz w:val="24"/>
        </w:rPr>
        <w:t xml:space="preserve">, </w:t>
      </w:r>
      <w:r w:rsidRPr="00FE5827">
        <w:rPr>
          <w:rFonts w:ascii="Times New Roman" w:hAnsi="Times New Roman"/>
          <w:sz w:val="24"/>
        </w:rPr>
        <w:t xml:space="preserve">a to </w:t>
      </w:r>
      <w:r w:rsidRPr="00FE5827">
        <w:rPr>
          <w:rFonts w:ascii="Times New Roman" w:hAnsi="Times New Roman"/>
          <w:b/>
          <w:sz w:val="24"/>
        </w:rPr>
        <w:t>k 20. dni daného měsíce a doúčtování</w:t>
      </w:r>
      <w:r w:rsidRPr="00FE5827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FE5827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FE5827" w:rsidRDefault="00FE5827" w:rsidP="00FE5827">
      <w:pPr>
        <w:pStyle w:val="Codstavec"/>
        <w:spacing w:before="120"/>
        <w:jc w:val="both"/>
        <w:rPr>
          <w:rFonts w:ascii="Times New Roman" w:hAnsi="Times New Roman"/>
          <w:sz w:val="24"/>
        </w:rPr>
      </w:pPr>
    </w:p>
    <w:p w:rsidR="00FE5827" w:rsidRDefault="00FE5827" w:rsidP="00FE5827">
      <w:pPr>
        <w:pStyle w:val="Codstavec"/>
        <w:spacing w:before="120"/>
        <w:jc w:val="both"/>
        <w:rPr>
          <w:rFonts w:ascii="Times New Roman" w:hAnsi="Times New Roman"/>
          <w:sz w:val="24"/>
        </w:rPr>
      </w:pPr>
    </w:p>
    <w:p w:rsidR="00FE5827" w:rsidRPr="00DE2BC9" w:rsidRDefault="00FE5827" w:rsidP="00FE5827">
      <w:pPr>
        <w:pStyle w:val="Codstavec"/>
        <w:spacing w:before="120"/>
        <w:jc w:val="both"/>
        <w:rPr>
          <w:rFonts w:ascii="Times New Roman" w:hAnsi="Times New Roman"/>
          <w:sz w:val="24"/>
        </w:rPr>
      </w:pPr>
    </w:p>
    <w:p w:rsidR="00226595" w:rsidRPr="00FE5827" w:rsidRDefault="00226595" w:rsidP="00FE5827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FE5827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FE5827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FE5827">
        <w:rPr>
          <w:rFonts w:ascii="Times New Roman" w:hAnsi="Times New Roman"/>
          <w:snapToGrid w:val="0"/>
          <w:sz w:val="24"/>
        </w:rPr>
        <w:t xml:space="preserve">) </w:t>
      </w:r>
      <w:r w:rsidRPr="00FE5827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FE5827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FE5827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FE5827" w:rsidRPr="00FE5827">
        <w:t>2</w:t>
      </w:r>
      <w:r w:rsidRPr="00FE5827">
        <w:t>.</w:t>
      </w:r>
      <w:r w:rsidR="00FE5827" w:rsidRPr="00FE5827">
        <w:t>1</w:t>
      </w:r>
      <w:r w:rsidRPr="00FE5827">
        <w:t>.</w:t>
      </w:r>
      <w:r w:rsidR="00FE5827" w:rsidRPr="00FE5827">
        <w:t>7</w:t>
      </w:r>
      <w:r w:rsidRPr="00FE5827">
        <w:t xml:space="preserve"> </w:t>
      </w:r>
      <w:r w:rsidRPr="00DE2BC9">
        <w:t xml:space="preserve">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>bodu 4.1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8579D5" w:rsidRPr="008579D5">
        <w:rPr>
          <w:rFonts w:ascii="Times New Roman" w:hAnsi="Times New Roman"/>
          <w:b/>
          <w:snapToGrid w:val="0"/>
          <w:sz w:val="24"/>
        </w:rPr>
        <w:t xml:space="preserve">Město Vizovice, Masarykovo nám. 1007, </w:t>
      </w:r>
      <w:r w:rsidR="008579D5">
        <w:rPr>
          <w:rFonts w:ascii="Times New Roman" w:hAnsi="Times New Roman"/>
          <w:b/>
          <w:snapToGrid w:val="0"/>
          <w:sz w:val="24"/>
        </w:rPr>
        <w:br/>
      </w:r>
      <w:r w:rsidR="008579D5" w:rsidRPr="008579D5">
        <w:rPr>
          <w:rFonts w:ascii="Times New Roman" w:hAnsi="Times New Roman"/>
          <w:b/>
          <w:snapToGrid w:val="0"/>
          <w:sz w:val="24"/>
        </w:rPr>
        <w:t>763 12 Vizovice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8579D5" w:rsidRDefault="008579D5" w:rsidP="008579D5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8579D5" w:rsidRDefault="008579D5" w:rsidP="008579D5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FD7B46" w:rsidRPr="003247F3" w:rsidRDefault="00FD7B46" w:rsidP="008579D5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8579D5" w:rsidRDefault="00226595" w:rsidP="008579D5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8579D5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8579D5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8579D5">
        <w:rPr>
          <w:rFonts w:ascii="Times New Roman" w:hAnsi="Times New Roman"/>
          <w:snapToGrid w:val="0"/>
          <w:sz w:val="24"/>
        </w:rPr>
        <w:t>(kódová stránka 1250).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BC297C">
      <w:pPr>
        <w:pStyle w:val="Codstavec"/>
        <w:tabs>
          <w:tab w:val="left" w:pos="284"/>
        </w:tabs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FD7B46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8579D5">
        <w:rPr>
          <w:rFonts w:ascii="Times New Roman" w:hAnsi="Times New Roman"/>
          <w:sz w:val="24"/>
        </w:rPr>
        <w:t>e Vizovicích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8579D5">
        <w:rPr>
          <w:rFonts w:ascii="Times New Roman" w:hAnsi="Times New Roman"/>
          <w:snapToGrid w:val="0"/>
          <w:sz w:val="24"/>
        </w:rPr>
        <w:t>Bc. Silvie Dolanská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8579D5">
        <w:rPr>
          <w:rFonts w:ascii="Times New Roman" w:hAnsi="Times New Roman"/>
          <w:snapToGrid w:val="0"/>
          <w:sz w:val="24"/>
        </w:rPr>
        <w:tab/>
        <w:t>starostka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FD7B46" w:rsidRDefault="00FD7B46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FD7B46" w:rsidRDefault="00FD7B46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FD7B46" w:rsidRDefault="00FD7B46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FD7B46" w:rsidRPr="008C2A45" w:rsidRDefault="00FD7B46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xxx</w:t>
      </w:r>
      <w:bookmarkStart w:id="0" w:name="_GoBack"/>
      <w:bookmarkEnd w:id="0"/>
    </w:p>
    <w:sectPr w:rsidR="00FD7B46" w:rsidRPr="008C2A45" w:rsidSect="0031724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22" w:rsidRDefault="00DD7E22">
      <w:r>
        <w:separator/>
      </w:r>
    </w:p>
  </w:endnote>
  <w:endnote w:type="continuationSeparator" w:id="0">
    <w:p w:rsidR="00DD7E22" w:rsidRDefault="00DD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95" w:rsidRDefault="00226595">
    <w:pPr>
      <w:pStyle w:val="Zpat"/>
      <w:rPr>
        <w:sz w:val="16"/>
      </w:rPr>
    </w:pPr>
    <w:r>
      <w:rPr>
        <w:sz w:val="16"/>
      </w:rPr>
      <w:t>Příkazní Smlouva č. nSIPO</w:t>
    </w:r>
    <w:r w:rsidR="003957B4">
      <w:rPr>
        <w:sz w:val="16"/>
      </w:rPr>
      <w:t xml:space="preserve"> </w:t>
    </w:r>
    <w:r w:rsidR="00FE5827">
      <w:rPr>
        <w:sz w:val="16"/>
      </w:rPr>
      <w:t>07 – 16/2016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FD7B46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22" w:rsidRDefault="00DD7E22">
      <w:r>
        <w:separator/>
      </w:r>
    </w:p>
  </w:footnote>
  <w:footnote w:type="continuationSeparator" w:id="0">
    <w:p w:rsidR="00DD7E22" w:rsidRDefault="00DD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3A57"/>
    <w:rsid w:val="000E6901"/>
    <w:rsid w:val="000E7778"/>
    <w:rsid w:val="000F33C0"/>
    <w:rsid w:val="001014B2"/>
    <w:rsid w:val="00101D53"/>
    <w:rsid w:val="001076A6"/>
    <w:rsid w:val="00112B16"/>
    <w:rsid w:val="0011610B"/>
    <w:rsid w:val="0012156C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967EA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1F3CE6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57063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6F6FF3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32E1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579D5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04F5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43445"/>
    <w:rsid w:val="00C55720"/>
    <w:rsid w:val="00C62FB9"/>
    <w:rsid w:val="00C74F85"/>
    <w:rsid w:val="00C8069A"/>
    <w:rsid w:val="00C85F78"/>
    <w:rsid w:val="00C90077"/>
    <w:rsid w:val="00C90BC8"/>
    <w:rsid w:val="00C92AF4"/>
    <w:rsid w:val="00CA0245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D7E22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56483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5EFE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4472F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D7B46"/>
    <w:rsid w:val="00FE1C0A"/>
    <w:rsid w:val="00FE50ED"/>
    <w:rsid w:val="00FE5827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678CE"/>
  <w15:docId w15:val="{8BCEA96A-52B6-4941-BC2D-3225357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1967EA"/>
    <w:rPr>
      <w:b/>
      <w:bCs/>
    </w:rPr>
  </w:style>
  <w:style w:type="paragraph" w:styleId="Odstavecseseznamem">
    <w:name w:val="List Paragraph"/>
    <w:basedOn w:val="Normln"/>
    <w:uiPriority w:val="34"/>
    <w:qFormat/>
    <w:rsid w:val="0094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2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5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1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5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72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44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61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39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62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2236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Ihnátová Alena Bc.</cp:lastModifiedBy>
  <cp:revision>3</cp:revision>
  <cp:lastPrinted>2013-11-27T08:41:00Z</cp:lastPrinted>
  <dcterms:created xsi:type="dcterms:W3CDTF">2019-05-21T12:32:00Z</dcterms:created>
  <dcterms:modified xsi:type="dcterms:W3CDTF">2019-05-21T12:34:00Z</dcterms:modified>
</cp:coreProperties>
</file>