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"/>
        <w:ind w:left="160" w:right="0" w:firstLine="0"/>
        <w:jc w:val="left"/>
        <w:rPr>
          <w:sz w:val="32"/>
        </w:rPr>
      </w:pPr>
      <w:r>
        <w:rPr>
          <w:sz w:val="32"/>
        </w:rPr>
        <w:t>Finanční platební kalendář FM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tabs>
          <w:tab w:pos="3969" w:val="left" w:leader="none"/>
        </w:tabs>
        <w:spacing w:before="197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 podpory:</w:t>
        <w:tab/>
      </w:r>
      <w:r>
        <w:rPr>
          <w:b/>
          <w:sz w:val="18"/>
        </w:rPr>
        <w:t>Obec Lesní Hluboké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projektu:</w:t>
        <w:tab/>
      </w:r>
      <w:r>
        <w:rPr>
          <w:b/>
          <w:sz w:val="18"/>
        </w:rPr>
        <w:t>Kanalizace a ČOV v obci Lesní Hluboké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prioritní osy:</w:t>
        <w:tab/>
      </w:r>
      <w:r>
        <w:rPr>
          <w:b/>
          <w:sz w:val="18"/>
        </w:rPr>
        <w:t>1 - Zlepšování kvality vody a snižování rizika povodní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Heading1"/>
        <w:tabs>
          <w:tab w:pos="3969" w:val="left" w:leader="none"/>
        </w:tabs>
      </w:pPr>
      <w:r>
        <w:rPr>
          <w:color w:val="6C777E"/>
        </w:rPr>
        <w:t>Akceptační číslo:</w:t>
        <w:tab/>
      </w:r>
      <w:r>
        <w:rPr/>
        <w:t>18000491</w:t>
      </w:r>
    </w:p>
    <w:p>
      <w:pPr>
        <w:tabs>
          <w:tab w:pos="3969" w:val="left" w:leader="none"/>
          <w:tab w:pos="7779" w:val="left" w:leader="none"/>
          <w:tab w:pos="11589" w:val="left" w:leader="none"/>
        </w:tabs>
        <w:spacing w:before="85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Číslo projektu:</w:t>
        <w:tab/>
      </w:r>
      <w:r>
        <w:rPr>
          <w:sz w:val="18"/>
        </w:rPr>
        <w:t>37302444</w:t>
        <w:tab/>
      </w:r>
      <w:r>
        <w:rPr>
          <w:color w:val="6C777E"/>
          <w:sz w:val="18"/>
        </w:rPr>
        <w:t>FM projektu:</w:t>
        <w:tab/>
      </w:r>
      <w:r>
        <w:rPr>
          <w:sz w:val="18"/>
        </w:rPr>
        <w:t>Klaudisová Zuzana</w:t>
      </w:r>
    </w:p>
    <w:p>
      <w:pPr>
        <w:tabs>
          <w:tab w:pos="3969" w:val="left" w:leader="none"/>
        </w:tabs>
        <w:spacing w:before="85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Registrační číslo z MS 2014+:</w:t>
        <w:tab/>
      </w:r>
      <w:r>
        <w:rPr>
          <w:sz w:val="18"/>
        </w:rPr>
        <w:t>CZ.05.1.30/0.0/0.0/16_042/0004812</w:t>
      </w:r>
    </w:p>
    <w:p>
      <w:pPr>
        <w:tabs>
          <w:tab w:pos="3969" w:val="left" w:leader="none"/>
        </w:tabs>
        <w:spacing w:before="85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Datum:</w:t>
        <w:tab/>
      </w:r>
      <w:r>
        <w:rPr>
          <w:sz w:val="18"/>
        </w:rPr>
        <w:t>04.04.2019</w:t>
      </w:r>
    </w:p>
    <w:p>
      <w:pPr>
        <w:tabs>
          <w:tab w:pos="3969" w:val="left" w:leader="none"/>
        </w:tabs>
        <w:spacing w:before="85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Č. j.:</w:t>
        <w:tab/>
      </w:r>
      <w:r>
        <w:rPr>
          <w:sz w:val="18"/>
        </w:rPr>
        <w:t>SFZP 053066/2018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3577"/>
        <w:gridCol w:w="1648"/>
        <w:gridCol w:w="2572"/>
        <w:gridCol w:w="2109"/>
        <w:gridCol w:w="2110"/>
        <w:gridCol w:w="2060"/>
      </w:tblGrid>
      <w:tr>
        <w:trPr>
          <w:trHeight w:val="514" w:hRule="exact"/>
        </w:trPr>
        <w:tc>
          <w:tcPr>
            <w:tcW w:w="1126" w:type="dxa"/>
          </w:tcPr>
          <w:p>
            <w:pPr>
              <w:pStyle w:val="TableParagraph"/>
              <w:spacing w:line="183" w:lineRule="exact" w:before="0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3577" w:type="dxa"/>
          </w:tcPr>
          <w:p>
            <w:pPr>
              <w:pStyle w:val="TableParagraph"/>
              <w:spacing w:line="247" w:lineRule="auto" w:before="13"/>
              <w:ind w:left="1566" w:right="56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1648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72" w:type="dxa"/>
          </w:tcPr>
          <w:p>
            <w:pPr>
              <w:pStyle w:val="TableParagraph"/>
              <w:spacing w:line="247" w:lineRule="auto" w:before="13"/>
              <w:ind w:left="561" w:right="56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109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00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110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Vlastni Zdroje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50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1872" w:val="left" w:leader="none"/>
              </w:tabs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celkem</w:t>
              <w:tab/>
              <w:t>37 772 200,95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2" w:type="dxa"/>
          </w:tcPr>
          <w:p>
            <w:pPr>
              <w:pStyle w:val="TableParagraph"/>
              <w:tabs>
                <w:tab w:pos="1331" w:val="left" w:leader="none"/>
              </w:tabs>
              <w:spacing w:before="91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37 772 200,95</w:t>
            </w:r>
          </w:p>
        </w:tc>
        <w:tc>
          <w:tcPr>
            <w:tcW w:w="2109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24 079 778,10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11 567 822,84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2 124 600,01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1248" w:val="left" w:leader="none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inv.</w:t>
              <w:tab/>
              <w:t>37 772 200,95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2" w:type="dxa"/>
          </w:tcPr>
          <w:p>
            <w:pPr>
              <w:pStyle w:val="TableParagraph"/>
              <w:tabs>
                <w:tab w:pos="1331" w:val="left" w:leader="none"/>
              </w:tabs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37 772 200,95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24 079 778,10</w:t>
            </w:r>
          </w:p>
        </w:tc>
        <w:tc>
          <w:tcPr>
            <w:tcW w:w="211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11 567 822,84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2 124 600,01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rPr>
                <w:sz w:val="18"/>
              </w:rPr>
            </w:pPr>
            <w:r>
              <w:rPr>
                <w:sz w:val="18"/>
              </w:rPr>
              <w:t>neinv.</w:t>
              <w:tab/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2" w:type="dxa"/>
          </w:tcPr>
          <w:p>
            <w:pPr>
              <w:pStyle w:val="TableParagraph"/>
              <w:tabs>
                <w:tab w:pos="2122" w:val="left" w:leader="none"/>
              </w:tabs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50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91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2" w:type="dxa"/>
          </w:tcPr>
          <w:p>
            <w:pPr>
              <w:pStyle w:val="TableParagraph"/>
              <w:tabs>
                <w:tab w:pos="2122" w:val="left" w:leader="none"/>
              </w:tabs>
              <w:spacing w:before="91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2" w:type="dxa"/>
          </w:tcPr>
          <w:p>
            <w:pPr>
              <w:pStyle w:val="TableParagraph"/>
              <w:tabs>
                <w:tab w:pos="2122" w:val="left" w:leader="none"/>
              </w:tabs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rPr>
                <w:sz w:val="18"/>
              </w:rPr>
            </w:pPr>
            <w:r>
              <w:rPr>
                <w:sz w:val="18"/>
              </w:rPr>
              <w:t>neinv.</w:t>
              <w:tab/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2" w:type="dxa"/>
          </w:tcPr>
          <w:p>
            <w:pPr>
              <w:pStyle w:val="TableParagraph"/>
              <w:tabs>
                <w:tab w:pos="2122" w:val="left" w:leader="none"/>
              </w:tabs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50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91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2" w:type="dxa"/>
          </w:tcPr>
          <w:p>
            <w:pPr>
              <w:pStyle w:val="TableParagraph"/>
              <w:tabs>
                <w:tab w:pos="2122" w:val="left" w:leader="none"/>
              </w:tabs>
              <w:spacing w:before="91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91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2" w:type="dxa"/>
          </w:tcPr>
          <w:p>
            <w:pPr>
              <w:pStyle w:val="TableParagraph"/>
              <w:tabs>
                <w:tab w:pos="2122" w:val="left" w:leader="none"/>
              </w:tabs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78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rPr>
                <w:sz w:val="18"/>
              </w:rPr>
            </w:pPr>
            <w:r>
              <w:rPr>
                <w:sz w:val="18"/>
              </w:rPr>
              <w:t>neinv.</w:t>
              <w:tab/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2" w:type="dxa"/>
          </w:tcPr>
          <w:p>
            <w:pPr>
              <w:pStyle w:val="TableParagraph"/>
              <w:tabs>
                <w:tab w:pos="2122" w:val="left" w:leader="none"/>
              </w:tabs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1060" w:bottom="0" w:left="680" w:right="740"/>
        </w:sectPr>
      </w:pPr>
    </w:p>
    <w:p>
      <w:pPr>
        <w:pStyle w:val="BodyText"/>
        <w:spacing w:line="247" w:lineRule="auto" w:before="79"/>
        <w:ind w:left="815" w:right="-20"/>
      </w:pPr>
      <w:r>
        <w:rPr/>
        <w:drawing>
          <wp:anchor distT="0" distB="0" distL="0" distR="0" allowOverlap="1" layoutInCell="1" locked="0" behindDoc="1" simplePos="0" relativeHeight="2684045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6C777E"/>
          </w:rPr>
          <w:t>Státní fond životního prostředí ČR, Kaplanova 1931/1, 148 00 Praha 11, Tel.: +420 267 994 300, Fax: +420 272 936 585, 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ind w:left="725" w:right="660"/>
        <w:jc w:val="center"/>
      </w:pPr>
      <w:r>
        <w:rPr/>
        <w:t>1/3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left="795" w:right="660"/>
        <w:jc w:val="center"/>
      </w:pPr>
      <w:r>
        <w:rPr>
          <w:color w:val="6C777E"/>
        </w:rPr>
        <w:t>04.04.2019</w:t>
      </w:r>
    </w:p>
    <w:p>
      <w:pPr>
        <w:spacing w:after="0"/>
        <w:jc w:val="center"/>
        <w:sectPr>
          <w:type w:val="continuous"/>
          <w:pgSz w:w="16840" w:h="11900" w:orient="landscape"/>
          <w:pgMar w:top="1060" w:bottom="0" w:left="680" w:right="740"/>
          <w:cols w:num="2" w:equalWidth="0">
            <w:col w:w="9073" w:space="4154"/>
            <w:col w:w="2193"/>
          </w:cols>
        </w:sectPr>
      </w:pPr>
    </w:p>
    <w:p>
      <w:pPr>
        <w:pStyle w:val="Heading1"/>
        <w:tabs>
          <w:tab w:pos="2802" w:val="left" w:leader="none"/>
        </w:tabs>
        <w:spacing w:before="49"/>
      </w:pPr>
      <w:r>
        <w:rPr>
          <w:position w:val="4"/>
        </w:rPr>
        <w:t>Období</w:t>
        <w:tab/>
      </w:r>
      <w:r>
        <w:rPr/>
        <w:t>Celkové způsobilé</w:t>
      </w:r>
    </w:p>
    <w:p>
      <w:pPr>
        <w:tabs>
          <w:tab w:pos="4912" w:val="left" w:leader="none"/>
        </w:tabs>
        <w:spacing w:before="5"/>
        <w:ind w:left="2802" w:right="0" w:firstLine="0"/>
        <w:jc w:val="left"/>
        <w:rPr>
          <w:sz w:val="18"/>
        </w:rPr>
      </w:pPr>
      <w:r>
        <w:rPr>
          <w:sz w:val="18"/>
        </w:rPr>
        <w:t>výdaje</w:t>
        <w:tab/>
        <w:t>Nezpůsobilé výdaje</w:t>
      </w:r>
    </w:p>
    <w:p>
      <w:pPr>
        <w:spacing w:before="89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Celkové způsobilé</w:t>
      </w:r>
    </w:p>
    <w:p>
      <w:pPr>
        <w:tabs>
          <w:tab w:pos="2269" w:val="left" w:leader="none"/>
          <w:tab w:pos="4378" w:val="left" w:leader="none"/>
          <w:tab w:pos="6488" w:val="left" w:leader="none"/>
        </w:tabs>
        <w:spacing w:before="5"/>
        <w:ind w:left="160" w:right="0" w:firstLine="0"/>
        <w:jc w:val="left"/>
        <w:rPr>
          <w:sz w:val="18"/>
        </w:rPr>
      </w:pPr>
      <w:r>
        <w:rPr>
          <w:sz w:val="18"/>
        </w:rPr>
        <w:t>veřejné výdaje</w:t>
        <w:tab/>
        <w:t>Podpora OPZP</w:t>
        <w:tab/>
        <w:t>Půjčka SFZP</w:t>
        <w:tab/>
        <w:t>Vlastni Zdroje</w:t>
      </w:r>
    </w:p>
    <w:p>
      <w:pPr>
        <w:spacing w:after="0"/>
        <w:jc w:val="left"/>
        <w:rPr>
          <w:sz w:val="18"/>
        </w:rPr>
        <w:sectPr>
          <w:pgSz w:w="16840" w:h="11900" w:orient="landscape"/>
          <w:pgMar w:top="640" w:bottom="0" w:left="680" w:right="740"/>
          <w:cols w:num="2" w:equalWidth="0">
            <w:col w:w="6447" w:space="415"/>
            <w:col w:w="8558"/>
          </w:cols>
        </w:sectPr>
      </w:pPr>
    </w:p>
    <w:p>
      <w:pPr>
        <w:tabs>
          <w:tab w:pos="1699" w:val="left" w:leader="none"/>
          <w:tab w:pos="4363" w:val="left" w:leader="none"/>
          <w:tab w:pos="6473" w:val="left" w:leader="none"/>
          <w:tab w:pos="8582" w:val="left" w:leader="none"/>
          <w:tab w:pos="10692" w:val="left" w:leader="none"/>
          <w:tab w:pos="12801" w:val="left" w:leader="none"/>
          <w:tab w:pos="14911" w:val="left" w:leader="none"/>
        </w:tabs>
        <w:spacing w:before="125"/>
        <w:ind w:left="160" w:right="0" w:firstLine="0"/>
        <w:jc w:val="left"/>
        <w:rPr>
          <w:sz w:val="18"/>
        </w:rPr>
      </w:pPr>
      <w:r>
        <w:rPr>
          <w:b/>
          <w:position w:val="4"/>
          <w:sz w:val="18"/>
        </w:rPr>
        <w:t>2017</w:t>
        <w:tab/>
      </w:r>
      <w:r>
        <w:rPr>
          <w:sz w:val="18"/>
        </w:rPr>
        <w:t>celkem</w:t>
        <w:tab/>
        <w:t>0,00</w:t>
        <w:tab/>
        <w:t>0,00</w:t>
        <w:tab/>
        <w:t>0,00</w:t>
        <w:tab/>
        <w:t>0,00</w:t>
        <w:tab/>
        <w:t>0,00</w:t>
        <w:tab/>
        <w:t>0,00</w:t>
      </w:r>
    </w:p>
    <w:p>
      <w:pPr>
        <w:tabs>
          <w:tab w:pos="4363" w:val="left" w:leader="none"/>
          <w:tab w:pos="6473" w:val="left" w:leader="none"/>
          <w:tab w:pos="8582" w:val="left" w:leader="none"/>
          <w:tab w:pos="10692" w:val="left" w:leader="none"/>
          <w:tab w:pos="12801" w:val="left" w:leader="none"/>
          <w:tab w:pos="14911" w:val="left" w:leader="none"/>
        </w:tabs>
        <w:spacing w:before="165"/>
        <w:ind w:left="2323" w:right="0" w:firstLine="0"/>
        <w:jc w:val="left"/>
        <w:rPr>
          <w:sz w:val="18"/>
        </w:rPr>
      </w:pPr>
      <w:r>
        <w:rPr>
          <w:sz w:val="18"/>
        </w:rPr>
        <w:t>inv.</w:t>
        <w:tab/>
        <w:t>0,00</w:t>
        <w:tab/>
        <w:t>0,00</w:t>
        <w:tab/>
        <w:t>0,00</w:t>
        <w:tab/>
        <w:t>0,00</w:t>
        <w:tab/>
        <w:t>0,00</w:t>
        <w:tab/>
        <w:t>0,00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016"/>
        <w:gridCol w:w="1458"/>
        <w:gridCol w:w="2160"/>
        <w:gridCol w:w="2060"/>
        <w:gridCol w:w="2110"/>
        <w:gridCol w:w="2110"/>
        <w:gridCol w:w="2160"/>
        <w:gridCol w:w="1625"/>
      </w:tblGrid>
      <w:tr>
        <w:trPr>
          <w:trHeight w:val="258" w:hRule="exact"/>
        </w:trPr>
        <w:tc>
          <w:tcPr>
            <w:tcW w:w="1520" w:type="dxa"/>
            <w:gridSpan w:val="2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spacing w:line="183" w:lineRule="exact" w:before="0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spacing w:line="183" w:lineRule="exact" w:before="0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line="183" w:lineRule="exact" w:before="0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line="183" w:lineRule="exact" w:before="0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line="183" w:lineRule="exact" w:before="0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83" w:lineRule="exact" w:before="0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spacing w:line="183" w:lineRule="exact" w:before="0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>
              <w:pStyle w:val="TableParagraph"/>
              <w:spacing w:before="50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>
              <w:pStyle w:val="TableParagraph"/>
              <w:spacing w:before="50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33 499 000,00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3 041 742,13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33 499 000,00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21 355 612,49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3"/>
              <w:rPr>
                <w:sz w:val="18"/>
              </w:rPr>
            </w:pPr>
            <w:r>
              <w:rPr>
                <w:sz w:val="18"/>
              </w:rPr>
              <w:t>10 259 145,28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1 884 242,23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33 499 000,00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3 041 742,13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33 499 000,00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21 355 612,49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10 259 145,28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1 884 242,23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19 213 000,00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1 087 000,00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19 213 000,00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12 248 287,50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5 884 025,14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1 080 687,36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19 213 000,00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1 087 000,00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19 213 000,00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12 248 287,50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5 884 025,14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1 080 687,36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10 370 000,00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980 000,00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10 370 000,00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6 610 874,99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3 175 836,19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583 288,82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10 370 000,00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980 000,00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10 370 000,00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6 610 874,99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3 175 836,19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583 288,82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51"/>
              <w:ind w:right="67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3 916 000,00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974 742,13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4"/>
              <w:rPr>
                <w:sz w:val="18"/>
              </w:rPr>
            </w:pPr>
            <w:r>
              <w:rPr>
                <w:sz w:val="18"/>
              </w:rPr>
              <w:t>3 916 000,00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2 496 450,00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1 199 283,95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220 266,05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3 916 000,00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974 742,13</w:t>
            </w:r>
          </w:p>
        </w:tc>
        <w:tc>
          <w:tcPr>
            <w:tcW w:w="2110" w:type="dxa"/>
          </w:tcPr>
          <w:p>
            <w:pPr>
              <w:pStyle w:val="TableParagraph"/>
              <w:ind w:right="484"/>
              <w:rPr>
                <w:sz w:val="18"/>
              </w:rPr>
            </w:pPr>
            <w:r>
              <w:rPr>
                <w:sz w:val="18"/>
              </w:rPr>
              <w:t>3 916 000,00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2 496 450,00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1 199 283,95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220 266,05</w:t>
            </w:r>
          </w:p>
        </w:tc>
      </w:tr>
      <w:tr>
        <w:trPr>
          <w:trHeight w:val="278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060" w:bottom="0" w:left="680" w:right="740"/>
        </w:sectPr>
      </w:pPr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045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7" w:lineRule="auto"/>
        <w:ind w:left="815" w:right="-20"/>
      </w:pPr>
      <w:hyperlink r:id="rId6">
        <w:r>
          <w:rPr>
            <w:color w:val="6C777E"/>
          </w:rPr>
          <w:t>Státní fond životního prostředí ČR, Kaplanova 1931/1, 148 00 Praha 11, Tel.: +420 267 994 300, Fax: +420 272 936 585, 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</w:pPr>
    </w:p>
    <w:p>
      <w:pPr>
        <w:pStyle w:val="Heading1"/>
        <w:ind w:left="725" w:right="660"/>
        <w:jc w:val="center"/>
      </w:pPr>
      <w:r>
        <w:rPr/>
        <w:t>2/3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left="795" w:right="660"/>
        <w:jc w:val="center"/>
      </w:pPr>
      <w:r>
        <w:rPr>
          <w:color w:val="6C777E"/>
        </w:rPr>
        <w:t>04.04.2019</w:t>
      </w:r>
    </w:p>
    <w:p>
      <w:pPr>
        <w:spacing w:after="0"/>
        <w:jc w:val="center"/>
        <w:sectPr>
          <w:type w:val="continuous"/>
          <w:pgSz w:w="16840" w:h="11900" w:orient="landscape"/>
          <w:pgMar w:top="1060" w:bottom="0" w:left="680" w:right="740"/>
          <w:cols w:num="2" w:equalWidth="0">
            <w:col w:w="9073" w:space="4154"/>
            <w:col w:w="2193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3577"/>
        <w:gridCol w:w="1648"/>
        <w:gridCol w:w="2571"/>
        <w:gridCol w:w="2109"/>
        <w:gridCol w:w="2110"/>
        <w:gridCol w:w="2060"/>
      </w:tblGrid>
      <w:tr>
        <w:trPr>
          <w:trHeight w:val="514" w:hRule="exact"/>
        </w:trPr>
        <w:tc>
          <w:tcPr>
            <w:tcW w:w="1126" w:type="dxa"/>
          </w:tcPr>
          <w:p>
            <w:pPr>
              <w:pStyle w:val="TableParagraph"/>
              <w:spacing w:line="180" w:lineRule="exact" w:before="0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3577" w:type="dxa"/>
          </w:tcPr>
          <w:p>
            <w:pPr>
              <w:pStyle w:val="TableParagraph"/>
              <w:spacing w:line="247" w:lineRule="auto" w:before="9"/>
              <w:ind w:left="1566" w:right="56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1648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71" w:type="dxa"/>
          </w:tcPr>
          <w:p>
            <w:pPr>
              <w:pStyle w:val="TableParagraph"/>
              <w:spacing w:line="247" w:lineRule="auto" w:before="9"/>
              <w:ind w:left="561" w:right="56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109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00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110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  <w:tc>
          <w:tcPr>
            <w:tcW w:w="2060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Vlastni Zdroje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1972" w:val="left" w:leader="none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celkem</w:t>
              <w:tab/>
              <w:t>4 273 200,95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1431" w:val="left" w:leader="none"/>
              </w:tabs>
              <w:spacing w:before="8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4 273 200,95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2 724 165,61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1 308 677,56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240 357,78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1349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inv.</w:t>
              <w:tab/>
              <w:t>4 273 200,95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1431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4 273 200,95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2 724 165,61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1 308 677,56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240 357,78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8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8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8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8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8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78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1648" w:type="dxa"/>
          </w:tcPr>
          <w:p>
            <w:pPr/>
          </w:p>
        </w:tc>
        <w:tc>
          <w:tcPr>
            <w:tcW w:w="2571" w:type="dxa"/>
          </w:tcPr>
          <w:p>
            <w:pPr>
              <w:pStyle w:val="TableParagraph"/>
              <w:tabs>
                <w:tab w:pos="2122" w:val="left" w:leader="none"/>
              </w:tabs>
              <w:spacing w:before="67"/>
              <w:ind w:left="13" w:right="0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  <w:tab/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pgSz w:w="16840" w:h="11900" w:orient="landscape"/>
          <w:pgMar w:top="720" w:bottom="0" w:left="680" w:right="740"/>
        </w:sectPr>
      </w:pPr>
    </w:p>
    <w:p>
      <w:pPr>
        <w:pStyle w:val="BodyText"/>
        <w:spacing w:line="247" w:lineRule="auto" w:before="79"/>
        <w:ind w:left="815" w:right="-20"/>
      </w:pPr>
      <w:r>
        <w:rPr/>
        <w:drawing>
          <wp:anchor distT="0" distB="0" distL="0" distR="0" allowOverlap="1" layoutInCell="1" locked="0" behindDoc="1" simplePos="0" relativeHeight="2684046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6C777E"/>
          </w:rPr>
          <w:t>Státní fond životního prostředí ČR, Kaplanova 1931/1, 148 00 Praha 11, Tel.: +420 267 994 300, Fax: +420 272 936 585, 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ind w:left="725" w:right="660"/>
        <w:jc w:val="center"/>
      </w:pPr>
      <w:r>
        <w:rPr/>
        <w:t>3/3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left="795" w:right="660"/>
        <w:jc w:val="center"/>
      </w:pPr>
      <w:r>
        <w:rPr>
          <w:color w:val="6C777E"/>
        </w:rPr>
        <w:t>04.04.2019</w:t>
      </w:r>
    </w:p>
    <w:sectPr>
      <w:type w:val="continuous"/>
      <w:pgSz w:w="16840" w:h="11900" w:orient="landscape"/>
      <w:pgMar w:top="1060" w:bottom="0" w:left="680" w:right="740"/>
      <w:cols w:num="2" w:equalWidth="0">
        <w:col w:w="9073" w:space="4154"/>
        <w:col w:w="21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JohnSans Text Pro" w:hAnsi="JohnSans Text Pro" w:eastAsia="JohnSans Text Pro" w:cs="JohnSans Text Pro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1"/>
      <w:ind w:right="97"/>
      <w:jc w:val="right"/>
    </w:pPr>
    <w:rPr>
      <w:rFonts w:ascii="JohnSans Text Pro" w:hAnsi="JohnSans Text Pro" w:eastAsia="JohnSans Text Pro" w:cs="JohnSans Text 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europa.eu/" TargetMode="External"/><Relationship Id="rId9" Type="http://schemas.openxmlformats.org/officeDocument/2006/relationships/hyperlink" Target="mailto:dotazy@sfzp.cz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2019-05-20T14:32:29Z</dcterms:created>
  <dcterms:modified xsi:type="dcterms:W3CDTF">2019-05-20T14:32:29Z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2019-05-20T00:00:00Z</vt:filetime>
  </property>
</Properties>
</file>