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 xml:space="preserve">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w:t>
      </w:r>
      <w:r w:rsidRPr="00C15C32">
        <w:rPr>
          <w:rFonts w:ascii="Arial" w:hAnsi="Arial" w:cs="Arial"/>
          <w:iCs/>
          <w:lang w:eastAsia="cs-CZ"/>
        </w:rPr>
        <w:lastRenderedPageBreak/>
        <w:t>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lastRenderedPageBreak/>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 xml:space="preserve">rozsahu dle potřeb zhotovitele. Zhotovitelem rozpracovaná dokumentace musí být odsouhlasena </w:t>
      </w:r>
      <w:r w:rsidRPr="00C15C32">
        <w:rPr>
          <w:rFonts w:ascii="Arial" w:hAnsi="Arial"/>
          <w:lang w:eastAsia="cs-CZ"/>
        </w:rPr>
        <w:lastRenderedPageBreak/>
        <w:t>objednatelem a generálním projektantem a musí umožňovat objednateli kontrolovat použité pracovní postupy a pomocné konstrukce.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a jednou v digitální podobě ve formátech pdf a dwg.</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 xml:space="preserve">hůta pro </w:t>
      </w:r>
      <w:r w:rsidRPr="00C15C32">
        <w:rPr>
          <w:rFonts w:ascii="Arial" w:hAnsi="Arial"/>
          <w:snapToGrid w:val="0"/>
          <w:lang w:eastAsia="cs-CZ"/>
        </w:rPr>
        <w:lastRenderedPageBreak/>
        <w:t>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w:t>
      </w:r>
      <w:r>
        <w:rPr>
          <w:rFonts w:ascii="Arial" w:hAnsi="Arial"/>
          <w:snapToGrid w:val="0"/>
          <w:lang w:eastAsia="cs-CZ"/>
        </w:rPr>
        <w:lastRenderedPageBreak/>
        <w:t>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 ,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měnového listu nejpozději do 10</w:t>
      </w:r>
      <w:r>
        <w:rPr>
          <w:rFonts w:ascii="Arial" w:hAnsi="Arial"/>
          <w:snapToGrid w:val="0"/>
          <w:lang w:eastAsia="cs-CZ"/>
        </w:rPr>
        <w:t>-</w:t>
      </w:r>
      <w:r w:rsidRPr="00C15C32">
        <w:rPr>
          <w:rFonts w:ascii="Arial" w:hAnsi="Arial"/>
          <w:snapToGrid w:val="0"/>
          <w:lang w:eastAsia="cs-CZ"/>
        </w:rPr>
        <w:t>ti</w:t>
      </w:r>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 xml:space="preserve">5%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s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w:t>
      </w:r>
      <w:r w:rsidRPr="00C15C32">
        <w:rPr>
          <w:rFonts w:ascii="Arial" w:hAnsi="Arial"/>
          <w:snapToGrid w:val="0"/>
          <w:lang w:eastAsia="cs-CZ"/>
        </w:rPr>
        <w:lastRenderedPageBreak/>
        <w:t xml:space="preserve">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lastRenderedPageBreak/>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lastRenderedPageBreak/>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 xml:space="preserve">bjednatele. Pokud se však zjistí, že práce nebyly </w:t>
      </w:r>
      <w:r w:rsidRPr="00C15C32">
        <w:rPr>
          <w:rFonts w:ascii="Arial" w:hAnsi="Arial"/>
          <w:snapToGrid w:val="0"/>
          <w:lang w:eastAsia="cs-CZ"/>
        </w:rPr>
        <w:lastRenderedPageBreak/>
        <w:t>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 xml:space="preserve">podmínkami, popřípadě </w:t>
      </w:r>
      <w:r>
        <w:rPr>
          <w:rFonts w:ascii="Arial" w:hAnsi="Arial"/>
          <w:snapToGrid w:val="0"/>
          <w:lang w:eastAsia="cs-CZ"/>
        </w:rPr>
        <w:lastRenderedPageBreak/>
        <w:t>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lastRenderedPageBreak/>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 xml:space="preserve">hotovitel povinen umístit na vhodných místech bezpečnostní značky a značení a zavést signály, které poskytují informace nebo instrukce týkající se </w:t>
      </w:r>
      <w:r w:rsidRPr="00C15C32">
        <w:rPr>
          <w:rFonts w:ascii="Arial" w:hAnsi="Arial"/>
          <w:snapToGrid w:val="0"/>
          <w:lang w:eastAsia="cs-CZ"/>
        </w:rPr>
        <w:lastRenderedPageBreak/>
        <w:t>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Na prvním jednání obě strany dohodnou organizační záležitosti předávacího a přejímacího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tři vyhotovení dokumentace skutečného provedení stavby a jedno vyhotovení v digitální podobě ve formátech pdf a dwg;</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10ti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nastoupit neprodleně k odstranění reklamované vady, nejpozději však do 15ti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hotovitel k odstranění reklamované vady ani do 20ti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Nebezpečí škody na díle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 xml:space="preserve">bjednateli </w:t>
      </w:r>
      <w:r w:rsidRPr="00A83792">
        <w:rPr>
          <w:rFonts w:ascii="Arial" w:hAnsi="Arial"/>
          <w:snapToGrid w:val="0"/>
          <w:lang w:eastAsia="cs-CZ"/>
        </w:rPr>
        <w:lastRenderedPageBreak/>
        <w:t>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 xml:space="preserve">Doklady o pojištění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 xml:space="preserve">bjednatel </w:t>
      </w:r>
      <w:r w:rsidRPr="00A83792">
        <w:rPr>
          <w:rFonts w:ascii="Arial" w:hAnsi="Arial"/>
          <w:snapToGrid w:val="0"/>
          <w:lang w:eastAsia="cs-CZ"/>
        </w:rPr>
        <w:lastRenderedPageBreak/>
        <w:t>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Default="004B57A6" w:rsidP="004B57A6">
      <w:pPr>
        <w:tabs>
          <w:tab w:val="num" w:pos="1134"/>
        </w:tabs>
        <w:spacing w:line="240" w:lineRule="atLeast"/>
        <w:rPr>
          <w:rFonts w:ascii="Arial" w:hAnsi="Arial"/>
          <w:snapToGrid w:val="0"/>
          <w:color w:val="000000"/>
          <w:sz w:val="24"/>
          <w:lang w:eastAsia="cs-CZ"/>
        </w:rPr>
      </w:pPr>
    </w:p>
    <w:p w:rsidR="00BF794C" w:rsidRDefault="00BF794C" w:rsidP="004B57A6">
      <w:pPr>
        <w:tabs>
          <w:tab w:val="num" w:pos="1134"/>
        </w:tabs>
        <w:spacing w:line="240" w:lineRule="atLeast"/>
        <w:rPr>
          <w:rFonts w:ascii="Arial" w:hAnsi="Arial"/>
          <w:snapToGrid w:val="0"/>
          <w:color w:val="000000"/>
          <w:sz w:val="24"/>
          <w:lang w:eastAsia="cs-CZ"/>
        </w:rPr>
      </w:pPr>
    </w:p>
    <w:p w:rsidR="00BF794C" w:rsidRDefault="00BF794C" w:rsidP="004B57A6">
      <w:pPr>
        <w:tabs>
          <w:tab w:val="num" w:pos="1134"/>
        </w:tabs>
        <w:spacing w:line="240" w:lineRule="atLeast"/>
        <w:rPr>
          <w:rFonts w:ascii="Arial" w:hAnsi="Arial"/>
          <w:snapToGrid w:val="0"/>
          <w:color w:val="000000"/>
          <w:sz w:val="24"/>
          <w:lang w:eastAsia="cs-CZ"/>
        </w:rPr>
      </w:pPr>
    </w:p>
    <w:p w:rsidR="00BF794C" w:rsidRDefault="00BF794C" w:rsidP="004B57A6">
      <w:pPr>
        <w:tabs>
          <w:tab w:val="num" w:pos="1134"/>
        </w:tabs>
        <w:spacing w:line="240" w:lineRule="atLeast"/>
        <w:rPr>
          <w:rFonts w:ascii="Arial" w:hAnsi="Arial"/>
          <w:snapToGrid w:val="0"/>
          <w:color w:val="000000"/>
          <w:sz w:val="24"/>
          <w:lang w:eastAsia="cs-CZ"/>
        </w:rPr>
      </w:pPr>
    </w:p>
    <w:p w:rsidR="00BF794C" w:rsidRPr="000336EB" w:rsidRDefault="00BF794C" w:rsidP="004B57A6">
      <w:pPr>
        <w:tabs>
          <w:tab w:val="num" w:pos="1134"/>
        </w:tabs>
        <w:spacing w:line="240" w:lineRule="atLeast"/>
        <w:rPr>
          <w:rFonts w:ascii="Arial" w:hAnsi="Arial"/>
          <w:snapToGrid w:val="0"/>
          <w:color w:val="000000"/>
          <w:sz w:val="24"/>
          <w:lang w:eastAsia="cs-CZ"/>
        </w:rPr>
      </w:pPr>
      <w:bookmarkStart w:id="2" w:name="_GoBack"/>
      <w:bookmarkEnd w:id="2"/>
    </w:p>
    <w:p w:rsidR="004B57A6" w:rsidRPr="000336EB" w:rsidRDefault="004B57A6" w:rsidP="004B57A6">
      <w:pPr>
        <w:pStyle w:val="Styl5"/>
      </w:pPr>
      <w:r w:rsidRPr="000336EB">
        <w:lastRenderedPageBreak/>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 xml:space="preserve"> 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610806" w:rsidRPr="00A83792" w:rsidRDefault="0061080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Objednatele: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rsidSect="006512F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9C" w:rsidRDefault="001E059C" w:rsidP="00B535EB">
      <w:pPr>
        <w:spacing w:after="0" w:line="240" w:lineRule="auto"/>
      </w:pPr>
      <w:r>
        <w:separator/>
      </w:r>
    </w:p>
  </w:endnote>
  <w:endnote w:type="continuationSeparator" w:id="0">
    <w:p w:rsidR="001E059C" w:rsidRDefault="001E059C" w:rsidP="00B53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9C" w:rsidRDefault="001E059C" w:rsidP="00B535EB">
      <w:pPr>
        <w:spacing w:after="0" w:line="240" w:lineRule="auto"/>
      </w:pPr>
      <w:r>
        <w:separator/>
      </w:r>
    </w:p>
  </w:footnote>
  <w:footnote w:type="continuationSeparator" w:id="0">
    <w:p w:rsidR="001E059C" w:rsidRDefault="001E059C" w:rsidP="00B53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B57A6"/>
    <w:rsid w:val="00180492"/>
    <w:rsid w:val="001E059C"/>
    <w:rsid w:val="002029E1"/>
    <w:rsid w:val="002069DD"/>
    <w:rsid w:val="002C1E42"/>
    <w:rsid w:val="002F0358"/>
    <w:rsid w:val="002F1908"/>
    <w:rsid w:val="004B57A6"/>
    <w:rsid w:val="00582D77"/>
    <w:rsid w:val="00596B78"/>
    <w:rsid w:val="00610806"/>
    <w:rsid w:val="006512FC"/>
    <w:rsid w:val="006C3DF9"/>
    <w:rsid w:val="006F2F6D"/>
    <w:rsid w:val="00706DF2"/>
    <w:rsid w:val="007A66A1"/>
    <w:rsid w:val="00841986"/>
    <w:rsid w:val="008E6207"/>
    <w:rsid w:val="00953DB6"/>
    <w:rsid w:val="009C5C7C"/>
    <w:rsid w:val="00B535EB"/>
    <w:rsid w:val="00B91C0D"/>
    <w:rsid w:val="00BA7F90"/>
    <w:rsid w:val="00BF794C"/>
    <w:rsid w:val="00D336D9"/>
    <w:rsid w:val="00E15E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2FC"/>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titul"/>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eastAsia="ar-SA"/>
    </w:rPr>
  </w:style>
  <w:style w:type="paragraph" w:styleId="Podtitul">
    <w:name w:val="Subtitle"/>
    <w:basedOn w:val="Nadpis"/>
    <w:next w:val="Zkladntext"/>
    <w:link w:val="PodtitulChar"/>
    <w:uiPriority w:val="99"/>
    <w:qFormat/>
    <w:rsid w:val="004B57A6"/>
    <w:pPr>
      <w:jc w:val="center"/>
    </w:pPr>
    <w:rPr>
      <w:rFonts w:cs="Times New Roman"/>
      <w:i/>
      <w:iCs/>
      <w:lang/>
    </w:rPr>
  </w:style>
  <w:style w:type="character" w:customStyle="1" w:styleId="PodtitulChar">
    <w:name w:val="Podtitul Char"/>
    <w:basedOn w:val="Standardnpsmoodstavce"/>
    <w:link w:val="Podtitul"/>
    <w:uiPriority w:val="99"/>
    <w:rsid w:val="004B57A6"/>
    <w:rPr>
      <w:rFonts w:ascii="Arial" w:eastAsia="Lucida Sans Unicode" w:hAnsi="Arial" w:cs="Times New Roman"/>
      <w:i/>
      <w:iCs/>
      <w:sz w:val="28"/>
      <w:szCs w:val="28"/>
      <w:lang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rPr>
  </w:style>
  <w:style w:type="character" w:customStyle="1" w:styleId="Zkladntext2Char">
    <w:name w:val="Základní text 2 Char"/>
    <w:basedOn w:val="Standardnpsmoodstavce"/>
    <w:link w:val="Zkladntext2"/>
    <w:rsid w:val="004B57A6"/>
    <w:rPr>
      <w:rFonts w:ascii="Calibri" w:eastAsia="Times New Roman" w:hAnsi="Calibri" w:cs="Times New Roman"/>
      <w:lang/>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vrendokumentu">
    <w:name w:val="Document Map"/>
    <w:basedOn w:val="Normln"/>
    <w:link w:val="RozvrendokumentuChar"/>
    <w:semiHidden/>
    <w:unhideWhenUsed/>
    <w:rsid w:val="004B57A6"/>
    <w:pPr>
      <w:spacing w:after="0" w:line="240" w:lineRule="auto"/>
      <w:ind w:left="1134" w:hanging="1134"/>
      <w:jc w:val="both"/>
    </w:pPr>
    <w:rPr>
      <w:rFonts w:ascii="Tahoma" w:eastAsia="Times New Roman" w:hAnsi="Tahoma" w:cs="Times New Roman"/>
      <w:sz w:val="16"/>
      <w:szCs w:val="16"/>
      <w:lang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vrendokumentuChar">
    <w:name w:val="Rozvržení dokumentu Char"/>
    <w:link w:val="Rozvrendokumentu"/>
    <w:semiHidden/>
    <w:rsid w:val="004B57A6"/>
    <w:rPr>
      <w:rFonts w:ascii="Tahoma" w:eastAsia="Times New Roman" w:hAnsi="Tahoma" w:cs="Times New Roman"/>
      <w:sz w:val="16"/>
      <w:szCs w:val="16"/>
      <w:lang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rPr>
  </w:style>
  <w:style w:type="character" w:customStyle="1" w:styleId="Odstavec111Char">
    <w:name w:val="Odstavec 1.1.1 Char"/>
    <w:link w:val="Odstavec111"/>
    <w:locked/>
    <w:rsid w:val="004B57A6"/>
    <w:rPr>
      <w:rFonts w:ascii="Arial" w:eastAsia="Calibri" w:hAnsi="Arial" w:cs="Times New Roman"/>
      <w:sz w:val="20"/>
      <w:szCs w:val="20"/>
      <w:lang/>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eastAsia="ar-SA"/>
    </w:rPr>
  </w:style>
  <w:style w:type="character" w:customStyle="1" w:styleId="Odstavec11Char">
    <w:name w:val="Odstavec 1.1 Char"/>
    <w:link w:val="Odstavec11"/>
    <w:locked/>
    <w:rsid w:val="004B57A6"/>
    <w:rPr>
      <w:rFonts w:ascii="Arial" w:eastAsia="Calibri" w:hAnsi="Arial" w:cs="Times New Roman"/>
      <w:sz w:val="20"/>
      <w:szCs w:val="20"/>
      <w:lang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13BE-3D41-4BED-A81B-3E7CBC80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12617</Words>
  <Characters>74445</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Radomír Teplý</cp:lastModifiedBy>
  <cp:revision>2</cp:revision>
  <dcterms:created xsi:type="dcterms:W3CDTF">2019-02-10T20:28:00Z</dcterms:created>
  <dcterms:modified xsi:type="dcterms:W3CDTF">2019-02-10T20:28:00Z</dcterms:modified>
</cp:coreProperties>
</file>