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CA" w:rsidRDefault="004158FC">
      <w:pPr>
        <w:pStyle w:val="Nadpis10"/>
        <w:keepNext/>
        <w:keepLines/>
        <w:shd w:val="clear" w:color="auto" w:fill="auto"/>
        <w:spacing w:after="660"/>
        <w:ind w:left="3880" w:firstLine="0"/>
        <w:jc w:val="left"/>
      </w:pPr>
      <w:bookmarkStart w:id="0" w:name="bookmark0"/>
      <w:r>
        <w:t>Standardy - podlahové krytiny</w:t>
      </w:r>
      <w:bookmarkEnd w:id="0"/>
    </w:p>
    <w:p w:rsidR="002A7BCA" w:rsidRDefault="004158FC">
      <w:pPr>
        <w:pStyle w:val="Nadpis10"/>
        <w:keepNext/>
        <w:keepLines/>
        <w:shd w:val="clear" w:color="auto" w:fill="auto"/>
        <w:spacing w:after="500"/>
        <w:jc w:val="left"/>
      </w:pPr>
      <w:bookmarkStart w:id="1" w:name="bookmark1"/>
      <w:r>
        <w:t>A. PODLAHOVÉ KRYTINY</w:t>
      </w:r>
      <w:bookmarkEnd w:id="1"/>
    </w:p>
    <w:p w:rsidR="002A7BCA" w:rsidRDefault="004158FC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1332"/>
        </w:tabs>
        <w:spacing w:after="0" w:line="492" w:lineRule="auto"/>
        <w:ind w:right="6200"/>
        <w:jc w:val="left"/>
      </w:pPr>
      <w:bookmarkStart w:id="2" w:name="bookmark2"/>
      <w:proofErr w:type="gramStart"/>
      <w:r>
        <w:t>KANCELÁŘE 1 .A PVC</w:t>
      </w:r>
      <w:proofErr w:type="gramEnd"/>
      <w:r>
        <w:t>, koberce</w:t>
      </w:r>
      <w:bookmarkEnd w:id="2"/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rPr>
          <w:b/>
          <w:bCs/>
        </w:rPr>
        <w:t xml:space="preserve">min. třída zátěže 32 - </w:t>
      </w:r>
      <w:r>
        <w:t>veře</w:t>
      </w:r>
      <w:r w:rsidR="00DE24F5">
        <w:t>jné prostory s trvalým používán</w:t>
      </w:r>
      <w:r>
        <w:t>ím,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určeno pro trvalé chození bez přezutí,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nesmí být viditelně žádné poškození vlivem nohou nábytku,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 xml:space="preserve">nesmí být </w:t>
      </w:r>
      <w:r>
        <w:t>viditelná změna vzhledu nebo poškození vlivem nábytkových koleček,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 xml:space="preserve">lokální vyspravení podkladní vrstvy (propadlé betony, nerovností) </w:t>
      </w:r>
      <w:proofErr w:type="spellStart"/>
      <w:r>
        <w:t>vysprávkovou</w:t>
      </w:r>
      <w:proofErr w:type="spellEnd"/>
      <w:r>
        <w:t xml:space="preserve"> rychle tuhnoucí a vysoko pevnostní hmotou,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celoplošná disperzní penetrace na savé podklady (betony, OSB desky)</w:t>
      </w:r>
      <w:r>
        <w:t>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celoplošná jednosložková akrylátová penetrace na nesavé podklady (plechy, ocel.</w:t>
      </w:r>
    </w:p>
    <w:p w:rsidR="002A7BCA" w:rsidRDefault="004158FC">
      <w:pPr>
        <w:pStyle w:val="Zkladntext1"/>
        <w:shd w:val="clear" w:color="auto" w:fill="auto"/>
        <w:tabs>
          <w:tab w:val="left" w:pos="1799"/>
        </w:tabs>
      </w:pPr>
      <w:r>
        <w:tab/>
        <w:t>poklopy, lakované OSB desky, původní betony ošetřené nátěry),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samonivelační vyhlazovací stěrka s</w:t>
      </w:r>
      <w:r w:rsidR="00DE24F5">
        <w:t xml:space="preserve"> mi</w:t>
      </w:r>
      <w:r>
        <w:t>n. pevností 20</w:t>
      </w:r>
      <w:r w:rsidR="00DE24F5">
        <w:t xml:space="preserve"> </w:t>
      </w:r>
      <w:proofErr w:type="spellStart"/>
      <w:r w:rsidR="00DE24F5">
        <w:t>MPa</w:t>
      </w:r>
      <w:proofErr w:type="spellEnd"/>
      <w:r w:rsidR="00DE24F5">
        <w:t xml:space="preserve"> vil. 3-4 mm včetně přebrouš</w:t>
      </w:r>
      <w:r>
        <w:t>ení,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celoplošné přilepení na</w:t>
      </w:r>
      <w:r>
        <w:t xml:space="preserve"> </w:t>
      </w:r>
      <w:proofErr w:type="spellStart"/>
      <w:r>
        <w:t>vystěrkovanou</w:t>
      </w:r>
      <w:proofErr w:type="spellEnd"/>
      <w:r>
        <w:t xml:space="preserve"> podkladní vrstvu,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PVC homogenní ve čtvercích nebo pásech, koberce zátěžové,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 xml:space="preserve">na podlahy mohou být použity jen podlahové krytiny </w:t>
      </w:r>
      <w:r>
        <w:rPr>
          <w:lang w:val="en-US" w:eastAsia="en-US" w:bidi="en-US"/>
        </w:rPr>
        <w:t xml:space="preserve">die </w:t>
      </w:r>
      <w:r>
        <w:t xml:space="preserve">ČSN EN 13501-1+A1 s indexem šíření plamene </w:t>
      </w:r>
      <w:r>
        <w:rPr>
          <w:lang w:val="en-US" w:eastAsia="en-US" w:bidi="en-US"/>
        </w:rPr>
        <w:t xml:space="preserve">is </w:t>
      </w:r>
      <w:r>
        <w:t>&lt; 100 mm.min-1,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ind w:left="1800" w:hanging="460"/>
        <w:jc w:val="left"/>
      </w:pPr>
      <w:r>
        <w:t>ukončení krytin po obvodě soklovou lištou,</w:t>
      </w:r>
    </w:p>
    <w:p w:rsidR="002A7BCA" w:rsidRDefault="004158FC">
      <w:pPr>
        <w:pStyle w:val="Zkladntext1"/>
        <w:numPr>
          <w:ilvl w:val="0"/>
          <w:numId w:val="2"/>
        </w:numPr>
        <w:shd w:val="clear" w:color="auto" w:fill="auto"/>
        <w:tabs>
          <w:tab w:val="left" w:pos="1799"/>
        </w:tabs>
        <w:spacing w:after="740"/>
        <w:ind w:left="1800" w:hanging="460"/>
        <w:jc w:val="left"/>
      </w:pPr>
      <w:r>
        <w:t>napojení dvou různých podlahových krytin systémovou lištou.</w:t>
      </w:r>
    </w:p>
    <w:p w:rsidR="002A7BCA" w:rsidRDefault="004158FC">
      <w:pPr>
        <w:pStyle w:val="Nadpis10"/>
        <w:keepNext/>
        <w:keepLines/>
        <w:shd w:val="clear" w:color="auto" w:fill="auto"/>
        <w:spacing w:after="0"/>
        <w:jc w:val="left"/>
      </w:pPr>
      <w:bookmarkStart w:id="3" w:name="bookmark3"/>
      <w:r>
        <w:t>Poznámka</w:t>
      </w:r>
      <w:bookmarkEnd w:id="3"/>
    </w:p>
    <w:p w:rsidR="002A7BCA" w:rsidRPr="00DE24F5" w:rsidRDefault="004158FC" w:rsidP="00DE24F5">
      <w:pPr>
        <w:pStyle w:val="Zkladntext1"/>
        <w:numPr>
          <w:ilvl w:val="1"/>
          <w:numId w:val="8"/>
        </w:numPr>
        <w:shd w:val="clear" w:color="auto" w:fill="auto"/>
        <w:tabs>
          <w:tab w:val="left" w:pos="1327"/>
        </w:tabs>
        <w:rPr>
          <w:i/>
          <w:iCs/>
        </w:rPr>
      </w:pPr>
      <w:r w:rsidRPr="00DE24F5">
        <w:rPr>
          <w:i/>
          <w:iCs/>
        </w:rPr>
        <w:t xml:space="preserve">před zahájením pokládky musí být podkladní vrstva </w:t>
      </w:r>
      <w:proofErr w:type="spellStart"/>
      <w:r w:rsidRPr="00DE24F5">
        <w:rPr>
          <w:i/>
          <w:iCs/>
        </w:rPr>
        <w:t>napenetrovaná</w:t>
      </w:r>
      <w:proofErr w:type="spellEnd"/>
      <w:r w:rsidRPr="00DE24F5">
        <w:rPr>
          <w:i/>
          <w:iCs/>
        </w:rPr>
        <w:t xml:space="preserve"> penetračním nátěrem pro savé podklady,</w:t>
      </w:r>
    </w:p>
    <w:p w:rsidR="002A7BCA" w:rsidRPr="00DE24F5" w:rsidRDefault="004158FC" w:rsidP="00DE24F5">
      <w:pPr>
        <w:pStyle w:val="Zkladntext1"/>
        <w:numPr>
          <w:ilvl w:val="1"/>
          <w:numId w:val="8"/>
        </w:numPr>
        <w:shd w:val="clear" w:color="auto" w:fill="auto"/>
        <w:tabs>
          <w:tab w:val="left" w:pos="1327"/>
        </w:tabs>
        <w:rPr>
          <w:i/>
          <w:iCs/>
        </w:rPr>
      </w:pPr>
      <w:r w:rsidRPr="00DE24F5">
        <w:rPr>
          <w:i/>
          <w:iCs/>
        </w:rPr>
        <w:t>podlahy s předpokládaným výskytem vody budou ošetřeny jednosložkovou</w:t>
      </w:r>
    </w:p>
    <w:p w:rsidR="002A7BCA" w:rsidRPr="00DE24F5" w:rsidRDefault="004158FC" w:rsidP="00DE24F5">
      <w:pPr>
        <w:pStyle w:val="Zkladntext1"/>
        <w:numPr>
          <w:ilvl w:val="1"/>
          <w:numId w:val="8"/>
        </w:numPr>
        <w:shd w:val="clear" w:color="auto" w:fill="auto"/>
        <w:tabs>
          <w:tab w:val="left" w:pos="1327"/>
        </w:tabs>
        <w:rPr>
          <w:i/>
          <w:iCs/>
        </w:rPr>
      </w:pPr>
      <w:r w:rsidRPr="00DE24F5">
        <w:rPr>
          <w:i/>
          <w:iCs/>
        </w:rPr>
        <w:t>hydroizolační s</w:t>
      </w:r>
      <w:r w:rsidRPr="00DE24F5">
        <w:rPr>
          <w:i/>
          <w:iCs/>
        </w:rPr>
        <w:t>těrkou vytaženou na stěny min. 100 mm,</w:t>
      </w:r>
    </w:p>
    <w:p w:rsidR="002A7BCA" w:rsidRPr="00DE24F5" w:rsidRDefault="004158FC" w:rsidP="00DE24F5">
      <w:pPr>
        <w:pStyle w:val="Zkladntext1"/>
        <w:numPr>
          <w:ilvl w:val="1"/>
          <w:numId w:val="8"/>
        </w:numPr>
        <w:shd w:val="clear" w:color="auto" w:fill="auto"/>
        <w:tabs>
          <w:tab w:val="left" w:pos="1327"/>
        </w:tabs>
        <w:rPr>
          <w:i/>
          <w:iCs/>
        </w:rPr>
      </w:pPr>
      <w:r w:rsidRPr="00DE24F5">
        <w:rPr>
          <w:i/>
          <w:iCs/>
        </w:rPr>
        <w:t>přechody podlaha stěna a všechny kouty budou opatřeny těsnící páskou,</w:t>
      </w:r>
    </w:p>
    <w:p w:rsidR="002A7BCA" w:rsidRPr="00DE24F5" w:rsidRDefault="004158FC" w:rsidP="00DE24F5">
      <w:pPr>
        <w:pStyle w:val="Zkladntext1"/>
        <w:numPr>
          <w:ilvl w:val="1"/>
          <w:numId w:val="8"/>
        </w:numPr>
        <w:shd w:val="clear" w:color="auto" w:fill="auto"/>
        <w:tabs>
          <w:tab w:val="left" w:pos="1327"/>
        </w:tabs>
        <w:rPr>
          <w:i/>
          <w:iCs/>
        </w:rPr>
      </w:pPr>
      <w:r>
        <w:rPr>
          <w:i/>
          <w:iCs/>
        </w:rPr>
        <w:t>ve</w:t>
      </w:r>
      <w:r w:rsidRPr="00DE24F5">
        <w:rPr>
          <w:i/>
          <w:iCs/>
        </w:rPr>
        <w:t xml:space="preserve"> všech koutových a dilatačních spárách bude před </w:t>
      </w:r>
      <w:proofErr w:type="spellStart"/>
      <w:r w:rsidRPr="00DE24F5">
        <w:rPr>
          <w:i/>
          <w:iCs/>
        </w:rPr>
        <w:t>s</w:t>
      </w:r>
      <w:r w:rsidR="00DE24F5" w:rsidRPr="00DE24F5">
        <w:rPr>
          <w:i/>
          <w:iCs/>
        </w:rPr>
        <w:t>i</w:t>
      </w:r>
      <w:r w:rsidRPr="00DE24F5">
        <w:rPr>
          <w:i/>
          <w:iCs/>
        </w:rPr>
        <w:t>l</w:t>
      </w:r>
      <w:r w:rsidR="00DE24F5" w:rsidRPr="00DE24F5">
        <w:rPr>
          <w:i/>
          <w:iCs/>
        </w:rPr>
        <w:t>i</w:t>
      </w:r>
      <w:r w:rsidRPr="00DE24F5">
        <w:rPr>
          <w:i/>
          <w:iCs/>
        </w:rPr>
        <w:t>konováním</w:t>
      </w:r>
      <w:proofErr w:type="spellEnd"/>
      <w:r w:rsidRPr="00DE24F5">
        <w:rPr>
          <w:i/>
          <w:iCs/>
        </w:rPr>
        <w:t xml:space="preserve"> osazen</w:t>
      </w:r>
      <w:r w:rsidR="00DE24F5">
        <w:rPr>
          <w:i/>
          <w:iCs/>
        </w:rPr>
        <w:t xml:space="preserve"> </w:t>
      </w:r>
      <w:bookmarkStart w:id="4" w:name="_GoBack"/>
      <w:bookmarkEnd w:id="4"/>
      <w:r w:rsidR="00DE24F5" w:rsidRPr="00DE24F5">
        <w:rPr>
          <w:i/>
          <w:iCs/>
        </w:rPr>
        <w:t>separační</w:t>
      </w:r>
      <w:r w:rsidRPr="00DE24F5">
        <w:rPr>
          <w:i/>
          <w:iCs/>
        </w:rPr>
        <w:t xml:space="preserve"> provazec,</w:t>
      </w:r>
    </w:p>
    <w:p w:rsidR="002A7BCA" w:rsidRPr="00DE24F5" w:rsidRDefault="004158FC" w:rsidP="00DE24F5">
      <w:pPr>
        <w:pStyle w:val="Zkladntext1"/>
        <w:numPr>
          <w:ilvl w:val="1"/>
          <w:numId w:val="8"/>
        </w:numPr>
        <w:shd w:val="clear" w:color="auto" w:fill="auto"/>
        <w:tabs>
          <w:tab w:val="left" w:pos="1327"/>
        </w:tabs>
        <w:rPr>
          <w:i/>
          <w:iCs/>
        </w:rPr>
        <w:sectPr w:rsidR="002A7BCA" w:rsidRPr="00DE24F5">
          <w:headerReference w:type="default" r:id="rId7"/>
          <w:pgSz w:w="11900" w:h="16840"/>
          <w:pgMar w:top="1818" w:right="1425" w:bottom="1818" w:left="405" w:header="0" w:footer="3" w:gutter="0"/>
          <w:cols w:space="720"/>
          <w:noEndnote/>
          <w:docGrid w:linePitch="360"/>
        </w:sectPr>
      </w:pPr>
      <w:r w:rsidRPr="00DE24F5">
        <w:rPr>
          <w:i/>
          <w:iCs/>
        </w:rPr>
        <w:t>veškerá stave</w:t>
      </w:r>
      <w:r w:rsidR="00DE24F5" w:rsidRPr="00DE24F5">
        <w:rPr>
          <w:i/>
          <w:iCs/>
        </w:rPr>
        <w:t>bní chemie (penetrace, hydroizol</w:t>
      </w:r>
      <w:r w:rsidRPr="00DE24F5">
        <w:rPr>
          <w:i/>
          <w:iCs/>
        </w:rPr>
        <w:t>ace včetně nezbytných doplňků pro těsnění, lepidla, spárovací hmoty apod.) bude provedena v rámci jednotného systému.</w:t>
      </w:r>
    </w:p>
    <w:p w:rsidR="002A7BCA" w:rsidRDefault="004158FC">
      <w:pPr>
        <w:pStyle w:val="Nadpis10"/>
        <w:keepNext/>
        <w:keepLines/>
        <w:shd w:val="clear" w:color="auto" w:fill="auto"/>
        <w:spacing w:before="180" w:after="640"/>
        <w:ind w:left="4460" w:firstLine="0"/>
        <w:jc w:val="left"/>
      </w:pPr>
      <w:bookmarkStart w:id="5" w:name="bookmark4"/>
      <w:r>
        <w:lastRenderedPageBreak/>
        <w:t>Standardy - malby</w:t>
      </w:r>
      <w:bookmarkEnd w:id="5"/>
    </w:p>
    <w:p w:rsidR="002A7BCA" w:rsidRDefault="004158FC">
      <w:pPr>
        <w:pStyle w:val="Nadpis10"/>
        <w:keepNext/>
        <w:keepLines/>
        <w:shd w:val="clear" w:color="auto" w:fill="auto"/>
        <w:spacing w:after="220"/>
        <w:ind w:left="880"/>
      </w:pPr>
      <w:bookmarkStart w:id="6" w:name="bookmark5"/>
      <w:r>
        <w:t>MALÍŘSKÉ PRÁCE</w:t>
      </w:r>
      <w:bookmarkEnd w:id="6"/>
    </w:p>
    <w:p w:rsidR="002A7BCA" w:rsidRDefault="004158FC">
      <w:pPr>
        <w:pStyle w:val="Nadpis10"/>
        <w:keepNext/>
        <w:keepLines/>
        <w:shd w:val="clear" w:color="auto" w:fill="auto"/>
        <w:spacing w:after="220"/>
        <w:ind w:left="880"/>
      </w:pPr>
      <w:bookmarkStart w:id="7" w:name="bookmark6"/>
      <w:r>
        <w:rPr>
          <w:u w:val="single"/>
        </w:rPr>
        <w:t>1. Výpočet plochy pro malířské práce</w:t>
      </w:r>
      <w:bookmarkEnd w:id="7"/>
    </w:p>
    <w:p w:rsidR="002A7BCA" w:rsidRDefault="004158FC">
      <w:pPr>
        <w:pStyle w:val="Zkladntext1"/>
        <w:shd w:val="clear" w:color="auto" w:fill="auto"/>
        <w:spacing w:after="220"/>
        <w:ind w:left="880" w:firstLine="20"/>
      </w:pPr>
      <w:r>
        <w:t>Množství maleb se určuje v m</w:t>
      </w:r>
      <w:r>
        <w:rPr>
          <w:vertAlign w:val="superscript"/>
        </w:rPr>
        <w:t>2</w:t>
      </w:r>
      <w:r>
        <w:t xml:space="preserve"> součtem ploch konstrukcí (např. stěn, stropů, sloupů, podhledů ramen </w:t>
      </w:r>
      <w:r>
        <w:rPr>
          <w:b/>
          <w:bCs/>
          <w:i/>
          <w:iCs/>
        </w:rPr>
        <w:t>a</w:t>
      </w:r>
      <w:r>
        <w:t xml:space="preserve"> podest, avšak vyjma nemalovaných podlah) vypočtených z jejich rozměrů. Protože všechny místnosti mají dveře a většina </w:t>
      </w:r>
      <w:r>
        <w:t>nějaké okno, jsou podle toho pro zjednodušení koncipovány í jednotkové ceny a způsob výpočtu plochy.</w:t>
      </w:r>
    </w:p>
    <w:p w:rsidR="002A7BCA" w:rsidRDefault="004158FC">
      <w:pPr>
        <w:pStyle w:val="Zkladntext1"/>
        <w:shd w:val="clear" w:color="auto" w:fill="auto"/>
        <w:ind w:left="880" w:firstLine="20"/>
      </w:pPr>
      <w:r>
        <w:t>Vychází se z největších jmenovitých rozměrů místnosti (vč. větších výklenků) a přičítají se průvlaky, stoupy apod.</w:t>
      </w:r>
    </w:p>
    <w:p w:rsidR="002A7BCA" w:rsidRDefault="004158FC">
      <w:pPr>
        <w:pStyle w:val="Zkladntext1"/>
        <w:numPr>
          <w:ilvl w:val="0"/>
          <w:numId w:val="3"/>
        </w:numPr>
        <w:shd w:val="clear" w:color="auto" w:fill="auto"/>
        <w:tabs>
          <w:tab w:val="left" w:pos="1753"/>
        </w:tabs>
        <w:ind w:left="1740" w:hanging="440"/>
      </w:pPr>
      <w:r>
        <w:t>plocha obzorových prvků a nemalovaných p</w:t>
      </w:r>
      <w:r>
        <w:t xml:space="preserve">loch (např. obklady, nátěry, </w:t>
      </w:r>
      <w:proofErr w:type="spellStart"/>
      <w:r>
        <w:t>linkustrace</w:t>
      </w:r>
      <w:proofErr w:type="spellEnd"/>
      <w:r>
        <w:t>) se odečítá pouze v případě, že mají součtem větší plochu než 4m</w:t>
      </w:r>
      <w:r>
        <w:rPr>
          <w:vertAlign w:val="superscript"/>
        </w:rPr>
        <w:t>2</w:t>
      </w:r>
      <w:r>
        <w:t xml:space="preserve"> a odečítá se plocha přesahující tyto 4m</w:t>
      </w:r>
      <w:r>
        <w:rPr>
          <w:vertAlign w:val="superscript"/>
        </w:rPr>
        <w:t>2</w:t>
      </w:r>
      <w:r>
        <w:t>;</w:t>
      </w:r>
    </w:p>
    <w:p w:rsidR="002A7BCA" w:rsidRDefault="004158FC">
      <w:pPr>
        <w:pStyle w:val="Zkladntext1"/>
        <w:numPr>
          <w:ilvl w:val="0"/>
          <w:numId w:val="3"/>
        </w:numPr>
        <w:shd w:val="clear" w:color="auto" w:fill="auto"/>
        <w:tabs>
          <w:tab w:val="left" w:pos="1753"/>
        </w:tabs>
        <w:ind w:left="1740" w:hanging="440"/>
      </w:pPr>
      <w:r>
        <w:t xml:space="preserve">plochy průběžných </w:t>
      </w:r>
      <w:proofErr w:type="spellStart"/>
      <w:r>
        <w:t>soklíků</w:t>
      </w:r>
      <w:proofErr w:type="spellEnd"/>
      <w:r>
        <w:t xml:space="preserve"> výšky do 150 mm se neodečítají;</w:t>
      </w:r>
    </w:p>
    <w:p w:rsidR="002A7BCA" w:rsidRDefault="004158FC">
      <w:pPr>
        <w:pStyle w:val="Zkladntext1"/>
        <w:numPr>
          <w:ilvl w:val="0"/>
          <w:numId w:val="3"/>
        </w:numPr>
        <w:shd w:val="clear" w:color="auto" w:fill="auto"/>
        <w:tabs>
          <w:tab w:val="left" w:pos="1753"/>
        </w:tabs>
        <w:spacing w:after="480"/>
        <w:ind w:left="1740" w:hanging="440"/>
      </w:pPr>
      <w:r>
        <w:t xml:space="preserve">plochy podhledů schodišťových ramen nebo šikmých </w:t>
      </w:r>
      <w:r>
        <w:t>stropů se určují ve sklonu,</w:t>
      </w:r>
    </w:p>
    <w:p w:rsidR="002A7BCA" w:rsidRDefault="004158FC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1263"/>
        </w:tabs>
        <w:spacing w:after="0"/>
        <w:ind w:left="880"/>
      </w:pPr>
      <w:bookmarkStart w:id="8" w:name="bookmark7"/>
      <w:r>
        <w:rPr>
          <w:u w:val="single"/>
        </w:rPr>
        <w:t>Kvalita prací</w:t>
      </w:r>
      <w:bookmarkEnd w:id="8"/>
    </w:p>
    <w:p w:rsidR="002A7BCA" w:rsidRDefault="004158FC">
      <w:pPr>
        <w:pStyle w:val="Zkladntext1"/>
        <w:numPr>
          <w:ilvl w:val="0"/>
          <w:numId w:val="5"/>
        </w:numPr>
        <w:shd w:val="clear" w:color="auto" w:fill="auto"/>
        <w:tabs>
          <w:tab w:val="left" w:pos="1753"/>
        </w:tabs>
        <w:spacing w:line="218" w:lineRule="auto"/>
        <w:ind w:left="1740" w:hanging="440"/>
      </w:pPr>
      <w:r>
        <w:t>malířské práce musí být v souladu s bezpečnostními předpisy a technologickými postupy stanovenými výrobcem;</w:t>
      </w:r>
    </w:p>
    <w:p w:rsidR="002A7BCA" w:rsidRDefault="004158FC">
      <w:pPr>
        <w:pStyle w:val="Zkladntext1"/>
        <w:numPr>
          <w:ilvl w:val="0"/>
          <w:numId w:val="5"/>
        </w:numPr>
        <w:shd w:val="clear" w:color="auto" w:fill="auto"/>
        <w:tabs>
          <w:tab w:val="left" w:pos="1753"/>
        </w:tabs>
        <w:spacing w:after="220"/>
        <w:ind w:left="1740" w:hanging="440"/>
      </w:pPr>
      <w:r>
        <w:t>malířský nátěr musí Splňovat veškeré základní požadavky investora na užitné vlastnosti malovaných prostor.</w:t>
      </w:r>
    </w:p>
    <w:p w:rsidR="002A7BCA" w:rsidRDefault="004158FC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1263"/>
        </w:tabs>
        <w:spacing w:line="302" w:lineRule="auto"/>
        <w:ind w:left="880"/>
      </w:pPr>
      <w:bookmarkStart w:id="9" w:name="bookmark8"/>
      <w:r>
        <w:rPr>
          <w:u w:val="single"/>
        </w:rPr>
        <w:t>Stanoveni rozsahu prací</w:t>
      </w:r>
      <w:bookmarkEnd w:id="9"/>
    </w:p>
    <w:p w:rsidR="002A7BCA" w:rsidRDefault="004158FC">
      <w:pPr>
        <w:pStyle w:val="Zkladntext1"/>
        <w:shd w:val="clear" w:color="auto" w:fill="auto"/>
        <w:spacing w:after="220" w:line="360" w:lineRule="auto"/>
        <w:ind w:left="880" w:firstLine="20"/>
      </w:pPr>
      <w:r>
        <w:rPr>
          <w:b/>
          <w:bCs/>
        </w:rPr>
        <w:t>JEDNOTLIVÉ POSTUPY PRACÍ SE STANOVÍ V ZÁVISLOSTI NA KONKRÉTNÍCH POŽADAVCÍCH NA KVALITU MALBY A S PŘIHLÉDNUTÍM KE SKUTEČNÉMU STAVU MALOVANÝCH PLOCH.</w:t>
      </w:r>
    </w:p>
    <w:p w:rsidR="002A7BCA" w:rsidRDefault="004158FC">
      <w:pPr>
        <w:pStyle w:val="Nadpis10"/>
        <w:keepNext/>
        <w:keepLines/>
        <w:shd w:val="clear" w:color="auto" w:fill="auto"/>
        <w:spacing w:line="302" w:lineRule="auto"/>
        <w:ind w:left="880"/>
      </w:pPr>
      <w:bookmarkStart w:id="10" w:name="bookmark9"/>
      <w:r>
        <w:rPr>
          <w:u w:val="single"/>
        </w:rPr>
        <w:t>3. Aplikační postup</w:t>
      </w:r>
      <w:bookmarkEnd w:id="10"/>
    </w:p>
    <w:p w:rsidR="002A7BCA" w:rsidRDefault="004158FC">
      <w:pPr>
        <w:pStyle w:val="Nadpis10"/>
        <w:keepNext/>
        <w:keepLines/>
        <w:shd w:val="clear" w:color="auto" w:fill="auto"/>
        <w:spacing w:line="302" w:lineRule="auto"/>
        <w:ind w:left="880"/>
      </w:pPr>
      <w:bookmarkStart w:id="11" w:name="bookmark10"/>
      <w:r>
        <w:t>a) Příprava podkladu</w:t>
      </w:r>
      <w:bookmarkEnd w:id="11"/>
    </w:p>
    <w:p w:rsidR="002A7BCA" w:rsidRDefault="004158FC">
      <w:pPr>
        <w:pStyle w:val="Nadpis10"/>
        <w:keepNext/>
        <w:keepLines/>
        <w:shd w:val="clear" w:color="auto" w:fill="auto"/>
        <w:spacing w:line="302" w:lineRule="auto"/>
        <w:ind w:left="1740" w:hanging="440"/>
      </w:pPr>
      <w:bookmarkStart w:id="12" w:name="bookmark11"/>
      <w:r>
        <w:t xml:space="preserve">Staré omítky s několikanásobnou vrstvou </w:t>
      </w:r>
      <w:r>
        <w:t>maleb</w:t>
      </w:r>
      <w:bookmarkEnd w:id="12"/>
    </w:p>
    <w:p w:rsidR="002A7BCA" w:rsidRDefault="00DE24F5">
      <w:pPr>
        <w:pStyle w:val="Zkladntext1"/>
        <w:shd w:val="clear" w:color="auto" w:fill="auto"/>
        <w:spacing w:line="254" w:lineRule="auto"/>
        <w:ind w:left="1740" w:firstLine="20"/>
        <w:jc w:val="left"/>
      </w:pPr>
      <w:r>
        <w:t>Silnější vrstvy starých mal</w:t>
      </w:r>
      <w:r w:rsidR="004158FC">
        <w:t>eb vykazující bobtnání, popraskání, loupání atd.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254" w:lineRule="auto"/>
        <w:ind w:left="1740" w:firstLine="20"/>
        <w:jc w:val="left"/>
      </w:pPr>
      <w:r>
        <w:t>oškrábání malby - mechanické odstranění,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233" w:lineRule="auto"/>
        <w:ind w:left="2320" w:hanging="560"/>
        <w:jc w:val="left"/>
      </w:pPr>
      <w:r>
        <w:t>vyspravení vhodným štěrkovým materiálem dle specifikace technického listu výrobce dodávané barvy.</w:t>
      </w:r>
    </w:p>
    <w:p w:rsidR="002A7BCA" w:rsidRDefault="004158FC">
      <w:pPr>
        <w:pStyle w:val="Zkladntext1"/>
        <w:shd w:val="clear" w:color="auto" w:fill="auto"/>
        <w:spacing w:line="233" w:lineRule="auto"/>
        <w:ind w:left="1740" w:firstLine="20"/>
        <w:jc w:val="left"/>
      </w:pPr>
      <w:r>
        <w:t>Provedení lokálního vyrovnání podkl</w:t>
      </w:r>
      <w:r>
        <w:t>adu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254" w:lineRule="auto"/>
        <w:ind w:left="1740" w:firstLine="20"/>
        <w:jc w:val="left"/>
      </w:pPr>
      <w:r>
        <w:t>vhodným materiálem dle specifikace technického lištu výrobce,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254" w:lineRule="auto"/>
        <w:ind w:left="1740" w:firstLine="20"/>
        <w:jc w:val="left"/>
      </w:pPr>
      <w:r>
        <w:t>2x penetrace podkladu.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3"/>
        </w:tabs>
        <w:spacing w:line="254" w:lineRule="auto"/>
        <w:ind w:left="1740" w:hanging="440"/>
      </w:pPr>
      <w:r>
        <w:t>Odstranění plísní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254" w:lineRule="auto"/>
        <w:ind w:left="1740" w:firstLine="20"/>
        <w:jc w:val="left"/>
      </w:pPr>
      <w:r>
        <w:t>chemicky vyhubit a mechanicky zlikvidovat (</w:t>
      </w:r>
      <w:proofErr w:type="spellStart"/>
      <w:r>
        <w:t>bezchlórové</w:t>
      </w:r>
      <w:proofErr w:type="spellEnd"/>
      <w:r>
        <w:t xml:space="preserve"> odstranění). Rozmývání podkladu po škrábání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254" w:lineRule="auto"/>
        <w:ind w:left="1740" w:firstLine="20"/>
        <w:jc w:val="left"/>
      </w:pPr>
      <w:r>
        <w:t>k rozpuštění zbytků malířských hmot, plošné sjedno</w:t>
      </w:r>
      <w:r>
        <w:t>cení,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3"/>
        </w:tabs>
        <w:spacing w:after="220" w:line="254" w:lineRule="auto"/>
        <w:ind w:left="1740" w:hanging="440"/>
      </w:pPr>
      <w:r>
        <w:t>Tmelení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lastRenderedPageBreak/>
        <w:t>v místech styku různých druhů materiálů (sádroka</w:t>
      </w:r>
      <w:r w:rsidR="00DE24F5">
        <w:t>r</w:t>
      </w:r>
      <w:r>
        <w:t>to</w:t>
      </w:r>
      <w:r w:rsidR="00DE24F5">
        <w:t>n</w:t>
      </w:r>
      <w:r>
        <w:t>, okenní rám - štuk),</w:t>
      </w:r>
    </w:p>
    <w:p w:rsidR="002A7BCA" w:rsidRDefault="00DE24F5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Bandážo</w:t>
      </w:r>
      <w:r w:rsidR="004158FC">
        <w:t>vání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v místech deformace většího rozsahu (větší trhliny).</w:t>
      </w:r>
    </w:p>
    <w:p w:rsidR="002A7BCA" w:rsidRDefault="004158FC">
      <w:pPr>
        <w:pStyle w:val="Zkladntext1"/>
        <w:shd w:val="clear" w:color="auto" w:fill="auto"/>
        <w:ind w:left="2320" w:hanging="560"/>
      </w:pPr>
      <w:r>
        <w:t>Izolování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 xml:space="preserve">k zakrytí a zabránění prostupování skvrn způsobených </w:t>
      </w:r>
      <w:r w:rsidR="00DE24F5">
        <w:t>n</w:t>
      </w:r>
      <w:r>
        <w:t xml:space="preserve">apř. sazemi, rzí, dřívějším vytopením atd., provést vhodným materiálem </w:t>
      </w:r>
      <w:r>
        <w:rPr>
          <w:lang w:val="en-US" w:eastAsia="en-US" w:bidi="en-US"/>
        </w:rPr>
        <w:t xml:space="preserve">die </w:t>
      </w:r>
      <w:r>
        <w:t>specifikace výrobce,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Broušení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přebroušení opravovaných lokálních míst.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Oprášení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stěny zbavíme prachu otřením,</w:t>
      </w:r>
    </w:p>
    <w:p w:rsidR="002A7BCA" w:rsidRDefault="004158FC">
      <w:pPr>
        <w:pStyle w:val="Zkladntext1"/>
        <w:shd w:val="clear" w:color="auto" w:fill="auto"/>
        <w:ind w:left="2320" w:hanging="560"/>
      </w:pPr>
      <w:r>
        <w:t>Olepování vnitřní</w:t>
      </w:r>
      <w:r>
        <w:t>ch ploch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plochy, které nemají být opatřeny malbou.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Zakrytí nemalovaných ploch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after="240"/>
        <w:ind w:left="2320" w:hanging="560"/>
      </w:pPr>
      <w:r>
        <w:t>nábytku, podlah, obkladů atd.</w:t>
      </w:r>
    </w:p>
    <w:p w:rsidR="002A7BCA" w:rsidRDefault="004158FC">
      <w:pPr>
        <w:pStyle w:val="Nadpis10"/>
        <w:keepNext/>
        <w:keepLines/>
        <w:shd w:val="clear" w:color="auto" w:fill="auto"/>
        <w:spacing w:after="280"/>
        <w:ind w:left="1260" w:firstLine="40"/>
      </w:pPr>
      <w:bookmarkStart w:id="13" w:name="bookmark12"/>
      <w:r>
        <w:t>Nové omítky, malby bez potřeby odstranění starého nátěru</w:t>
      </w:r>
      <w:bookmarkEnd w:id="13"/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spacing w:line="233" w:lineRule="auto"/>
        <w:ind w:left="1760" w:hanging="460"/>
        <w:jc w:val="left"/>
      </w:pPr>
      <w:r>
        <w:t>Provedení lokálního vyspravení podkladu (drobné trhliny, otvory po hřebících, skobách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vyspravení vhodným štěrkovým materiálem dle specifikace technického listu výrobce dodávané barvy.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Celoplošného vyrovnání, vyhlazení podkladové vrstvy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vhodným materiálem dle specifikace technického listu výrobce.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Tmelení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v místech styku různých druhů materi</w:t>
      </w:r>
      <w:r w:rsidR="00DE24F5">
        <w:t>álů (sádrokart</w:t>
      </w:r>
      <w:r>
        <w:t>on, okenní rám -štuk).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Bandážování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v místech deformace většího rozsahu (větší trhliny).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izolování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k zakrytí</w:t>
      </w:r>
      <w:r w:rsidR="00DE24F5">
        <w:t xml:space="preserve"> a zabránění prostupování skvrn</w:t>
      </w:r>
      <w:r>
        <w:t xml:space="preserve"> způsobených nap</w:t>
      </w:r>
      <w:r w:rsidR="00DE24F5">
        <w:t>ř</w:t>
      </w:r>
      <w:r>
        <w:t>. sazemi, rz</w:t>
      </w:r>
      <w:r w:rsidR="00DE24F5">
        <w:t>í</w:t>
      </w:r>
      <w:r>
        <w:t>, dřívějším vytopením atd., provést vhodným materiálem dle specifikace vý</w:t>
      </w:r>
      <w:r>
        <w:t>robce.</w:t>
      </w:r>
    </w:p>
    <w:p w:rsidR="002A7BCA" w:rsidRDefault="004158FC">
      <w:pPr>
        <w:pStyle w:val="Zkladntext1"/>
        <w:shd w:val="clear" w:color="auto" w:fill="auto"/>
        <w:ind w:left="2320" w:hanging="560"/>
      </w:pPr>
      <w:r>
        <w:t>Broušení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odstranění veškerých nepřilnavých povrchových zrn ze štukové omítky.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Oprášení, omytí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stěny zbavíme prachu otřením, ometením, případné mastnoty omytím mýdlovým roztokem.</w:t>
      </w:r>
    </w:p>
    <w:p w:rsidR="002A7BCA" w:rsidRDefault="004158FC">
      <w:pPr>
        <w:pStyle w:val="Zkladntext1"/>
        <w:numPr>
          <w:ilvl w:val="0"/>
          <w:numId w:val="7"/>
        </w:numPr>
        <w:shd w:val="clear" w:color="auto" w:fill="auto"/>
        <w:tabs>
          <w:tab w:val="left" w:pos="1755"/>
        </w:tabs>
        <w:ind w:left="1260" w:firstLine="40"/>
      </w:pPr>
      <w:r>
        <w:t>Olepování vnitřních ploch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plochy, které nemají být opatřeny malbou.</w:t>
      </w:r>
    </w:p>
    <w:p w:rsidR="002A7BCA" w:rsidRDefault="004158FC">
      <w:pPr>
        <w:pStyle w:val="Zkladntext1"/>
        <w:shd w:val="clear" w:color="auto" w:fill="auto"/>
        <w:ind w:left="2320" w:hanging="560"/>
      </w:pPr>
      <w:r>
        <w:t>Zakrytí nemalovaných ploch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spacing w:line="492" w:lineRule="auto"/>
        <w:ind w:left="900" w:right="4800" w:firstLine="860"/>
        <w:jc w:val="left"/>
        <w:rPr>
          <w:sz w:val="20"/>
          <w:szCs w:val="20"/>
        </w:rPr>
      </w:pPr>
      <w:r>
        <w:t xml:space="preserve">nábytku, podlah, obkladů atd. </w:t>
      </w:r>
      <w:r>
        <w:rPr>
          <w:b/>
          <w:bCs/>
          <w:sz w:val="20"/>
          <w:szCs w:val="20"/>
        </w:rPr>
        <w:t>b) Malba, specifikace nátěrové hmoty</w:t>
      </w:r>
    </w:p>
    <w:p w:rsidR="002A7BCA" w:rsidRDefault="004158FC">
      <w:pPr>
        <w:pStyle w:val="Zkladntext1"/>
        <w:shd w:val="clear" w:color="auto" w:fill="auto"/>
        <w:spacing w:after="260"/>
        <w:ind w:left="1260" w:firstLine="40"/>
      </w:pPr>
      <w:r>
        <w:t>Na malby vnitřních povrchů je vhodné použít materiály dle technických listů výrobce za dodržení celého nátěrového systému jednoho výrobce z důvodu udržitelnosti r</w:t>
      </w:r>
      <w:r>
        <w:t>eklamace.</w:t>
      </w:r>
    </w:p>
    <w:p w:rsidR="002A7BCA" w:rsidRDefault="004158FC">
      <w:pPr>
        <w:pStyle w:val="Zkladntext1"/>
        <w:shd w:val="clear" w:color="auto" w:fill="auto"/>
        <w:ind w:left="2320" w:hanging="560"/>
      </w:pPr>
      <w:r>
        <w:t>Penetrace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19"/>
        </w:tabs>
        <w:ind w:left="2320" w:hanging="560"/>
      </w:pPr>
      <w:r>
        <w:t>základní nátěr, který zpevní podkladové vrstvy, sjednotí nasákavost podkladu, vytvoří přechodový můstek mezi podkladem a následnou vrstvu.</w:t>
      </w:r>
    </w:p>
    <w:p w:rsidR="002A7BCA" w:rsidRDefault="004158FC">
      <w:pPr>
        <w:pStyle w:val="Zkladntext1"/>
        <w:shd w:val="clear" w:color="auto" w:fill="auto"/>
        <w:ind w:left="2320" w:hanging="560"/>
      </w:pPr>
      <w:r>
        <w:t xml:space="preserve">Malby z malířských směsí </w:t>
      </w:r>
      <w:r>
        <w:rPr>
          <w:lang w:val="en-US" w:eastAsia="en-US" w:bidi="en-US"/>
        </w:rPr>
        <w:t xml:space="preserve">die </w:t>
      </w:r>
      <w:r>
        <w:t>požadavků na konkrétní prostor</w:t>
      </w:r>
      <w:r>
        <w:br w:type="page"/>
      </w:r>
    </w:p>
    <w:p w:rsidR="002A7BCA" w:rsidRDefault="004158FC">
      <w:pPr>
        <w:pStyle w:val="Zkladntext1"/>
        <w:shd w:val="clear" w:color="auto" w:fill="auto"/>
        <w:spacing w:after="240"/>
        <w:ind w:left="1780" w:firstLine="2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1790065</wp:posOffset>
                </wp:positionH>
                <wp:positionV relativeFrom="paragraph">
                  <wp:posOffset>152400</wp:posOffset>
                </wp:positionV>
                <wp:extent cx="332105" cy="1860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BCA" w:rsidRDefault="004158F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páry,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40.95pt;margin-top:12pt;width:26.15pt;height:14.6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" filled="f" stroked="f">
                <v:textbox style="mso-fit-shape-to-text:t" inset="0,0,0,0">
                  <w:txbxContent>
                    <w:p w:rsidR="002A7BCA" w:rsidRDefault="004158F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páry,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* dvojnásobný bílý nátěr </w:t>
      </w:r>
      <w:r w:rsidR="00DE24F5">
        <w:t xml:space="preserve">na </w:t>
      </w:r>
      <w:r>
        <w:t>interiérové omítky, dostatečně propustný pr</w:t>
      </w:r>
      <w:r w:rsidR="00DE24F5">
        <w:t>o</w:t>
      </w:r>
      <w:r>
        <w:t xml:space="preserve"> vodní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57"/>
        </w:tabs>
        <w:ind w:left="1780" w:firstLine="20"/>
        <w:jc w:val="left"/>
      </w:pPr>
      <w:r>
        <w:t>za sucha dostatečně otěruvzdorný,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57"/>
        </w:tabs>
        <w:ind w:left="1780" w:firstLine="20"/>
        <w:jc w:val="left"/>
      </w:pPr>
      <w:r>
        <w:t>bělost (% BaSO4) minimálně 75%,</w:t>
      </w:r>
    </w:p>
    <w:p w:rsidR="002A7BCA" w:rsidRDefault="004158FC">
      <w:pPr>
        <w:pStyle w:val="Zkladntext1"/>
        <w:shd w:val="clear" w:color="auto" w:fill="auto"/>
        <w:ind w:left="2360"/>
      </w:pPr>
      <w:r>
        <w:t>při obnovení maleb jé nutné použít materiál, který vykáže dobrou přilnavost k původnímu materiálu v závislosti na druhu využívání místno</w:t>
      </w:r>
      <w:r>
        <w:t>stí (kancelář, chodby, sklady, s</w:t>
      </w:r>
      <w:r w:rsidR="00DE24F5">
        <w:t>klepní prostory - suché, vlhké atd.)</w:t>
      </w:r>
      <w:r>
        <w:t xml:space="preserve">, aby nový nátěr dobře přilnul ke stávajícímu, nedocházelo k bobtnání, praskáni, plísním, </w:t>
      </w:r>
      <w:proofErr w:type="spellStart"/>
      <w:r>
        <w:t>odlupovánl</w:t>
      </w:r>
      <w:proofErr w:type="spellEnd"/>
      <w:r>
        <w:t xml:space="preserve"> atd.</w:t>
      </w:r>
    </w:p>
    <w:p w:rsidR="002A7BCA" w:rsidRDefault="004158FC">
      <w:pPr>
        <w:pStyle w:val="Zkladntext1"/>
        <w:shd w:val="clear" w:color="auto" w:fill="auto"/>
        <w:ind w:left="1780" w:firstLine="20"/>
        <w:jc w:val="left"/>
      </w:pPr>
      <w:r>
        <w:t>Čištění vnitřních ploch</w:t>
      </w:r>
    </w:p>
    <w:p w:rsidR="002A7BCA" w:rsidRDefault="004158FC">
      <w:pPr>
        <w:pStyle w:val="Zkladntext1"/>
        <w:numPr>
          <w:ilvl w:val="0"/>
          <w:numId w:val="6"/>
        </w:numPr>
        <w:shd w:val="clear" w:color="auto" w:fill="auto"/>
        <w:tabs>
          <w:tab w:val="left" w:pos="2357"/>
        </w:tabs>
        <w:ind w:left="1780" w:firstLine="20"/>
        <w:jc w:val="left"/>
        <w:sectPr w:rsidR="002A7BCA">
          <w:pgSz w:w="11900" w:h="16840"/>
          <w:pgMar w:top="1378" w:right="1382" w:bottom="1552" w:left="448" w:header="0" w:footer="3" w:gutter="0"/>
          <w:cols w:space="720"/>
          <w:noEndnote/>
          <w:docGrid w:linePitch="360"/>
        </w:sectPr>
      </w:pPr>
      <w:r>
        <w:t>hrubý úklid po malbách, vhodnou tech</w:t>
      </w:r>
      <w:r>
        <w:t>nologií.</w:t>
      </w: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line="240" w:lineRule="exact"/>
        <w:rPr>
          <w:sz w:val="19"/>
          <w:szCs w:val="19"/>
        </w:rPr>
      </w:pPr>
    </w:p>
    <w:p w:rsidR="002A7BCA" w:rsidRDefault="002A7BCA">
      <w:pPr>
        <w:spacing w:before="113" w:after="113" w:line="240" w:lineRule="exact"/>
        <w:rPr>
          <w:sz w:val="19"/>
          <w:szCs w:val="19"/>
        </w:rPr>
      </w:pPr>
    </w:p>
    <w:p w:rsidR="002A7BCA" w:rsidRDefault="002A7BCA">
      <w:pPr>
        <w:spacing w:line="14" w:lineRule="exact"/>
        <w:sectPr w:rsidR="002A7BCA">
          <w:type w:val="continuous"/>
          <w:pgSz w:w="11900" w:h="16840"/>
          <w:pgMar w:top="1193" w:right="0" w:bottom="1193" w:left="0" w:header="0" w:footer="3" w:gutter="0"/>
          <w:cols w:space="720"/>
          <w:noEndnote/>
          <w:docGrid w:linePitch="360"/>
        </w:sectPr>
      </w:pPr>
    </w:p>
    <w:p w:rsidR="002A7BCA" w:rsidRDefault="002A7BCA">
      <w:pPr>
        <w:spacing w:line="360" w:lineRule="exact"/>
      </w:pPr>
    </w:p>
    <w:p w:rsidR="002A7BCA" w:rsidRDefault="002A7BCA">
      <w:pPr>
        <w:spacing w:line="360" w:lineRule="exact"/>
      </w:pPr>
    </w:p>
    <w:p w:rsidR="002A7BCA" w:rsidRDefault="002A7BCA">
      <w:pPr>
        <w:spacing w:line="470" w:lineRule="exact"/>
      </w:pPr>
    </w:p>
    <w:p w:rsidR="002A7BCA" w:rsidRDefault="002A7BCA">
      <w:pPr>
        <w:spacing w:line="14" w:lineRule="exact"/>
      </w:pPr>
    </w:p>
    <w:sectPr w:rsidR="002A7BCA">
      <w:type w:val="continuous"/>
      <w:pgSz w:w="11900" w:h="16840"/>
      <w:pgMar w:top="1193" w:right="1373" w:bottom="1193" w:left="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FC" w:rsidRDefault="004158FC">
      <w:r>
        <w:separator/>
      </w:r>
    </w:p>
  </w:endnote>
  <w:endnote w:type="continuationSeparator" w:id="0">
    <w:p w:rsidR="004158FC" w:rsidRDefault="0041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FC" w:rsidRDefault="004158FC"/>
  </w:footnote>
  <w:footnote w:type="continuationSeparator" w:id="0">
    <w:p w:rsidR="004158FC" w:rsidRDefault="004158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CA" w:rsidRDefault="004158F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5960110</wp:posOffset>
              </wp:positionH>
              <wp:positionV relativeFrom="page">
                <wp:posOffset>454025</wp:posOffset>
              </wp:positionV>
              <wp:extent cx="6946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7BCA" w:rsidRDefault="004158F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Příloha č.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69.3pt;margin-top:35.75pt;width:54.7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" filled="f" stroked="f">
              <v:textbox style="mso-fit-shape-to-text:t" inset="0,0,0,0">
                <w:txbxContent>
                  <w:p w:rsidR="002A7BCA" w:rsidRDefault="004158FC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Příloha č.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71B"/>
    <w:multiLevelType w:val="multilevel"/>
    <w:tmpl w:val="F6AA9A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E53C1"/>
    <w:multiLevelType w:val="multilevel"/>
    <w:tmpl w:val="9A2AC7BE"/>
    <w:lvl w:ilvl="0">
      <w:start w:val="1"/>
      <w:numFmt w:val="decimal"/>
      <w:lvlText w:val="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010692"/>
    <w:multiLevelType w:val="multilevel"/>
    <w:tmpl w:val="6A049BEA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27769"/>
    <w:multiLevelType w:val="multilevel"/>
    <w:tmpl w:val="796246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E08E6"/>
    <w:multiLevelType w:val="multilevel"/>
    <w:tmpl w:val="380809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A2C7D"/>
    <w:multiLevelType w:val="multilevel"/>
    <w:tmpl w:val="05169CA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D70B82"/>
    <w:multiLevelType w:val="multilevel"/>
    <w:tmpl w:val="3AC4BB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5D6FD4"/>
    <w:multiLevelType w:val="hybridMultilevel"/>
    <w:tmpl w:val="4EC68C00"/>
    <w:lvl w:ilvl="0" w:tplc="7D2A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2A344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i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CA"/>
    <w:rsid w:val="002A7BCA"/>
    <w:rsid w:val="004158FC"/>
    <w:rsid w:val="00D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70F88-70AB-458C-92C8-7E4BAA3E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ind w:left="940" w:firstLine="20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2</cp:revision>
  <dcterms:created xsi:type="dcterms:W3CDTF">2019-05-20T09:36:00Z</dcterms:created>
  <dcterms:modified xsi:type="dcterms:W3CDTF">2019-05-20T09:36:00Z</dcterms:modified>
</cp:coreProperties>
</file>