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544FDB" w:rsidRPr="000501DD" w:rsidTr="00A36937">
        <w:trPr>
          <w:trHeight w:val="1135"/>
        </w:trPr>
        <w:tc>
          <w:tcPr>
            <w:tcW w:w="2268" w:type="dxa"/>
          </w:tcPr>
          <w:p w:rsidR="00544FDB" w:rsidRPr="00590335" w:rsidRDefault="00544FDB" w:rsidP="004D3DBF">
            <w:pPr>
              <w:spacing w:before="100" w:beforeAutospacing="1" w:after="100" w:afterAutospacing="1" w:line="276" w:lineRule="auto"/>
              <w:rPr>
                <w:rFonts w:ascii="Calibri" w:hAnsi="Calibri"/>
                <w:sz w:val="22"/>
                <w:szCs w:val="22"/>
              </w:rPr>
            </w:pPr>
            <w:bookmarkStart w:id="0" w:name="_GoBack"/>
            <w:bookmarkEnd w:id="0"/>
            <w:r>
              <w:br w:type="page"/>
            </w:r>
            <w:r>
              <w:br w:type="page"/>
            </w:r>
            <w:r w:rsidR="00492844">
              <w:rPr>
                <w:rFonts w:ascii="Calibri" w:hAnsi="Calibri"/>
                <w:b/>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E_Muet_NB_HR" style="width:100.3pt;height:50.15pt;visibility:visible">
                  <v:imagedata r:id="rId14" o:title=""/>
                </v:shape>
              </w:pict>
            </w:r>
          </w:p>
        </w:tc>
        <w:tc>
          <w:tcPr>
            <w:tcW w:w="7201" w:type="dxa"/>
          </w:tcPr>
          <w:p w:rsidR="00544FDB" w:rsidRPr="00590335" w:rsidRDefault="00544FDB" w:rsidP="004D3DBF">
            <w:pPr>
              <w:ind w:right="85"/>
              <w:jc w:val="both"/>
              <w:rPr>
                <w:szCs w:val="20"/>
              </w:rPr>
            </w:pPr>
            <w:r>
              <w:t>EVROPSKÁ KOMISE</w:t>
            </w:r>
          </w:p>
          <w:p w:rsidR="00544FDB" w:rsidRPr="00BB1755" w:rsidRDefault="00544FDB" w:rsidP="004D3DBF">
            <w:pPr>
              <w:ind w:right="85"/>
              <w:jc w:val="both"/>
              <w:rPr>
                <w:sz w:val="16"/>
                <w:szCs w:val="20"/>
              </w:rPr>
            </w:pPr>
            <w:r>
              <w:rPr>
                <w:sz w:val="16"/>
              </w:rPr>
              <w:t>GŘ pro komunikaci</w:t>
            </w:r>
          </w:p>
          <w:p w:rsidR="00544FDB" w:rsidRPr="00BB1755" w:rsidRDefault="00544FDB" w:rsidP="004D3DBF">
            <w:pPr>
              <w:ind w:right="85"/>
              <w:jc w:val="both"/>
              <w:rPr>
                <w:sz w:val="16"/>
                <w:szCs w:val="20"/>
              </w:rPr>
            </w:pPr>
          </w:p>
          <w:p w:rsidR="00544FDB" w:rsidRPr="000501DD" w:rsidRDefault="000501DD" w:rsidP="004D3DBF">
            <w:pPr>
              <w:spacing w:after="200" w:line="276" w:lineRule="auto"/>
              <w:rPr>
                <w:rFonts w:ascii="Calibri" w:hAnsi="Calibri"/>
                <w:b/>
                <w:sz w:val="22"/>
                <w:szCs w:val="22"/>
              </w:rPr>
            </w:pPr>
            <w:r>
              <w:rPr>
                <w:rFonts w:ascii="Calibri" w:hAnsi="Calibri"/>
                <w:b/>
                <w:sz w:val="22"/>
              </w:rPr>
              <w:t xml:space="preserve">Zastoupení </w:t>
            </w:r>
            <w:r w:rsidR="00EB14AD">
              <w:rPr>
                <w:rFonts w:ascii="Calibri" w:hAnsi="Calibri"/>
                <w:b/>
                <w:sz w:val="22"/>
              </w:rPr>
              <w:t>Evropské komise v České republice</w:t>
            </w:r>
          </w:p>
        </w:tc>
      </w:tr>
    </w:tbl>
    <w:p w:rsidR="00544FDB" w:rsidRPr="00AC0A04" w:rsidRDefault="00544FDB" w:rsidP="007769AD">
      <w:pPr>
        <w:jc w:val="center"/>
        <w:rPr>
          <w:b/>
          <w:bCs/>
          <w:smallCaps/>
          <w:sz w:val="28"/>
          <w:szCs w:val="28"/>
          <w:u w:val="single"/>
        </w:rPr>
      </w:pPr>
    </w:p>
    <w:p w:rsidR="00544FDB" w:rsidRPr="00590335" w:rsidRDefault="00544FDB" w:rsidP="007769AD"/>
    <w:p w:rsidR="00544FDB" w:rsidRPr="00590335" w:rsidRDefault="00544FDB" w:rsidP="007769AD"/>
    <w:p w:rsidR="00544FDB" w:rsidRDefault="00544FDB" w:rsidP="00082B5F">
      <w:pPr>
        <w:jc w:val="center"/>
        <w:rPr>
          <w:b/>
          <w:sz w:val="28"/>
          <w:u w:val="single"/>
        </w:rPr>
      </w:pPr>
      <w:r>
        <w:rPr>
          <w:b/>
          <w:sz w:val="28"/>
          <w:u w:val="single"/>
        </w:rPr>
        <w:t xml:space="preserve">ZVLÁŠTNÍ DOHODA č. </w:t>
      </w:r>
      <w:r w:rsidR="00082B5F">
        <w:rPr>
          <w:b/>
          <w:sz w:val="28"/>
          <w:u w:val="single"/>
        </w:rPr>
        <w:t>S</w:t>
      </w:r>
      <w:r w:rsidR="00082B5F" w:rsidRPr="006B07B8">
        <w:rPr>
          <w:b/>
          <w:sz w:val="28"/>
          <w:u w:val="single"/>
        </w:rPr>
        <w:t>A/EDIC 201</w:t>
      </w:r>
      <w:r w:rsidR="00082B5F">
        <w:rPr>
          <w:b/>
          <w:sz w:val="28"/>
          <w:u w:val="single"/>
        </w:rPr>
        <w:t>8</w:t>
      </w:r>
      <w:r w:rsidR="00082B5F" w:rsidRPr="006B07B8">
        <w:rPr>
          <w:b/>
          <w:sz w:val="28"/>
          <w:u w:val="single"/>
        </w:rPr>
        <w:t>-20</w:t>
      </w:r>
      <w:r w:rsidR="00082B5F">
        <w:rPr>
          <w:b/>
          <w:sz w:val="28"/>
          <w:u w:val="single"/>
        </w:rPr>
        <w:t>20</w:t>
      </w:r>
      <w:r w:rsidR="00082B5F" w:rsidRPr="006B07B8">
        <w:rPr>
          <w:b/>
          <w:sz w:val="28"/>
          <w:u w:val="single"/>
        </w:rPr>
        <w:t xml:space="preserve">/CZ/EDIC </w:t>
      </w:r>
      <w:r w:rsidR="00E50F60">
        <w:rPr>
          <w:b/>
          <w:sz w:val="28"/>
          <w:u w:val="single"/>
        </w:rPr>
        <w:t>03</w:t>
      </w:r>
      <w:r w:rsidR="00082B5F">
        <w:rPr>
          <w:b/>
          <w:sz w:val="28"/>
          <w:u w:val="single"/>
        </w:rPr>
        <w:t>/</w:t>
      </w:r>
      <w:r w:rsidR="00082B5F" w:rsidRPr="007F0D44">
        <w:rPr>
          <w:b/>
          <w:sz w:val="28"/>
          <w:u w:val="single"/>
        </w:rPr>
        <w:t>201</w:t>
      </w:r>
      <w:r w:rsidR="00A77A45">
        <w:rPr>
          <w:b/>
          <w:sz w:val="28"/>
          <w:u w:val="single"/>
        </w:rPr>
        <w:t>9</w:t>
      </w:r>
    </w:p>
    <w:p w:rsidR="00082B5F" w:rsidRPr="00590335" w:rsidRDefault="00082B5F" w:rsidP="00082B5F">
      <w:pPr>
        <w:jc w:val="center"/>
      </w:pPr>
    </w:p>
    <w:p w:rsidR="002C7087" w:rsidRDefault="002C7087" w:rsidP="007769AD">
      <w:pPr>
        <w:pStyle w:val="Zkladntext"/>
        <w:jc w:val="left"/>
      </w:pPr>
    </w:p>
    <w:p w:rsidR="00544FDB" w:rsidRPr="00590335" w:rsidRDefault="00544FDB" w:rsidP="007769AD">
      <w:pPr>
        <w:pStyle w:val="Zkladntext"/>
        <w:jc w:val="left"/>
      </w:pPr>
      <w:r>
        <w:t>Tuto zvláštní dohodu („zvláštní dohoda“) mezi sebou uzavírají:</w:t>
      </w:r>
    </w:p>
    <w:p w:rsidR="00173D87" w:rsidRPr="00590335" w:rsidRDefault="00173D87" w:rsidP="007769AD">
      <w:pPr>
        <w:pStyle w:val="Zkladntext"/>
        <w:jc w:val="left"/>
      </w:pPr>
    </w:p>
    <w:p w:rsidR="00173D87" w:rsidRPr="00590335" w:rsidRDefault="0092378A" w:rsidP="00173D87">
      <w:r>
        <w:t>na straně jedné</w:t>
      </w:r>
    </w:p>
    <w:p w:rsidR="00173D87" w:rsidRPr="00590335" w:rsidRDefault="00173D87" w:rsidP="007769AD">
      <w:pPr>
        <w:pStyle w:val="Zkladntext"/>
        <w:jc w:val="left"/>
      </w:pPr>
    </w:p>
    <w:p w:rsidR="00C47851" w:rsidRPr="00C27122" w:rsidRDefault="00544FDB" w:rsidP="00C47851">
      <w:pPr>
        <w:jc w:val="both"/>
      </w:pPr>
      <w:r>
        <w:rPr>
          <w:b/>
        </w:rPr>
        <w:t>Evropská unie</w:t>
      </w:r>
      <w:r>
        <w:t xml:space="preserve"> („Unie“), zastoupená Evropskou komisí („Komise“), kterou za účelem podpisu této zvláštní dohody zastupuje </w:t>
      </w:r>
      <w:r w:rsidR="00C47851">
        <w:t>Dana Kovaříková, vedoucí Zastoupení Evropské komise v České republice,</w:t>
      </w:r>
    </w:p>
    <w:p w:rsidR="00544FDB" w:rsidRPr="00590335" w:rsidRDefault="00544FDB" w:rsidP="006E2A86">
      <w:pPr>
        <w:spacing w:after="200" w:line="276" w:lineRule="auto"/>
        <w:jc w:val="both"/>
      </w:pPr>
    </w:p>
    <w:p w:rsidR="00544FDB" w:rsidRPr="00590335" w:rsidRDefault="00544FDB" w:rsidP="006E2A86">
      <w:pPr>
        <w:spacing w:after="200" w:line="276" w:lineRule="auto"/>
        <w:rPr>
          <w:b/>
        </w:rPr>
      </w:pPr>
      <w:r>
        <w:rPr>
          <w:b/>
        </w:rPr>
        <w:t>a</w:t>
      </w:r>
    </w:p>
    <w:p w:rsidR="00173D87" w:rsidRPr="00590335" w:rsidRDefault="00173D87" w:rsidP="006E2A86">
      <w:pPr>
        <w:spacing w:after="200" w:line="276" w:lineRule="auto"/>
        <w:rPr>
          <w:b/>
        </w:rPr>
      </w:pPr>
      <w:r>
        <w:t>na straně druhé</w:t>
      </w:r>
    </w:p>
    <w:p w:rsidR="00173D87" w:rsidRPr="00590335" w:rsidRDefault="00173D87" w:rsidP="006E2A86">
      <w:pPr>
        <w:spacing w:after="200" w:line="276" w:lineRule="auto"/>
      </w:pPr>
      <w:r>
        <w:t xml:space="preserve">„partner“ </w:t>
      </w:r>
    </w:p>
    <w:p w:rsidR="00E50F60" w:rsidRPr="00CA10BC" w:rsidRDefault="00E50F60" w:rsidP="00E50F60">
      <w:r w:rsidRPr="00CA10BC">
        <w:rPr>
          <w:b/>
          <w:noProof/>
        </w:rPr>
        <w:t>Knihovna města Hradce Králové</w:t>
      </w:r>
      <w:r w:rsidRPr="00CA10BC">
        <w:rPr>
          <w:b/>
        </w:rPr>
        <w:t xml:space="preserve">, </w:t>
      </w:r>
      <w:r w:rsidRPr="00CA10BC">
        <w:rPr>
          <w:b/>
          <w:noProof/>
        </w:rPr>
        <w:t>KMHK</w:t>
      </w:r>
    </w:p>
    <w:p w:rsidR="00E50F60" w:rsidRDefault="00E50F60" w:rsidP="00E50F60">
      <w:pPr>
        <w:rPr>
          <w:noProof/>
        </w:rPr>
      </w:pPr>
    </w:p>
    <w:p w:rsidR="00E50F60" w:rsidRPr="00CA10BC" w:rsidRDefault="00E50F60" w:rsidP="00E50F60">
      <w:r w:rsidRPr="00CA10BC">
        <w:rPr>
          <w:noProof/>
        </w:rPr>
        <w:t>Příspěvková organizace</w:t>
      </w:r>
      <w:r w:rsidRPr="00CA10BC">
        <w:rPr>
          <w:i/>
        </w:rPr>
        <w:t xml:space="preserve"> </w:t>
      </w:r>
    </w:p>
    <w:p w:rsidR="00E50F60" w:rsidRDefault="00E50F60" w:rsidP="00E50F60">
      <w:pPr>
        <w:rPr>
          <w:noProof/>
        </w:rPr>
      </w:pPr>
    </w:p>
    <w:p w:rsidR="00E50F60" w:rsidRDefault="00E50F60" w:rsidP="00E50F60">
      <w:pPr>
        <w:rPr>
          <w:noProof/>
        </w:rPr>
      </w:pPr>
      <w:r>
        <w:rPr>
          <w:noProof/>
        </w:rPr>
        <w:t>Wonkova ulice 1262/1a</w:t>
      </w:r>
    </w:p>
    <w:p w:rsidR="00E50F60" w:rsidRDefault="00E50F60" w:rsidP="00E50F60">
      <w:pPr>
        <w:rPr>
          <w:noProof/>
        </w:rPr>
      </w:pPr>
    </w:p>
    <w:p w:rsidR="00E50F60" w:rsidRPr="00CA10BC" w:rsidRDefault="00E50F60" w:rsidP="00E50F60">
      <w:r w:rsidRPr="00CA10BC">
        <w:rPr>
          <w:noProof/>
        </w:rPr>
        <w:t>500 02 Hradec Králové</w:t>
      </w:r>
    </w:p>
    <w:p w:rsidR="00E50F60" w:rsidRDefault="00E50F60" w:rsidP="00E50F60">
      <w:pPr>
        <w:rPr>
          <w:noProof/>
        </w:rPr>
      </w:pPr>
    </w:p>
    <w:p w:rsidR="00E50F60" w:rsidRPr="00CA10BC" w:rsidRDefault="00E50F60" w:rsidP="00E50F60">
      <w:r w:rsidRPr="00CA10BC">
        <w:rPr>
          <w:noProof/>
        </w:rPr>
        <w:t>DIČ: CZ00125491</w:t>
      </w:r>
    </w:p>
    <w:p w:rsidR="00C47851" w:rsidRDefault="00C47851" w:rsidP="006E2A86">
      <w:pPr>
        <w:spacing w:after="200" w:line="276" w:lineRule="auto"/>
        <w:jc w:val="both"/>
      </w:pPr>
    </w:p>
    <w:p w:rsidR="00C47851" w:rsidRDefault="00544FDB" w:rsidP="00C47851">
      <w:pPr>
        <w:spacing w:after="200" w:line="276" w:lineRule="auto"/>
        <w:jc w:val="both"/>
        <w:rPr>
          <w:noProof/>
        </w:rPr>
      </w:pPr>
      <w:r>
        <w:t xml:space="preserve">jehož za účelem podpisu zvláštní dohody </w:t>
      </w:r>
      <w:r w:rsidR="00E50F60" w:rsidRPr="00CA10BC">
        <w:rPr>
          <w:noProof/>
        </w:rPr>
        <w:t>Mgr. Barbora Čižinská</w:t>
      </w:r>
      <w:r w:rsidR="00E50F60" w:rsidRPr="00CA10BC">
        <w:t>, ředitelka</w:t>
      </w:r>
      <w:r w:rsidR="00E50F60">
        <w:t xml:space="preserve"> knihovny města Hradce Králové.</w:t>
      </w:r>
    </w:p>
    <w:p w:rsidR="00544FDB" w:rsidRPr="00590335" w:rsidRDefault="00173D87" w:rsidP="00C47851">
      <w:pPr>
        <w:spacing w:after="200" w:line="276" w:lineRule="auto"/>
        <w:jc w:val="both"/>
      </w:pPr>
      <w:r>
        <w:t>Výše uvedené strany</w:t>
      </w:r>
    </w:p>
    <w:p w:rsidR="00173D87" w:rsidRPr="00590335" w:rsidRDefault="00173D87" w:rsidP="006E2A86">
      <w:pPr>
        <w:spacing w:after="200" w:line="276" w:lineRule="auto"/>
      </w:pPr>
      <w:r>
        <w:t>SE DOHODLY</w:t>
      </w:r>
    </w:p>
    <w:p w:rsidR="00173D87" w:rsidRPr="00590335" w:rsidRDefault="00173D87" w:rsidP="006E2A86">
      <w:pPr>
        <w:spacing w:after="200" w:line="276" w:lineRule="auto"/>
      </w:pPr>
      <w:r>
        <w:t>na zvláštní dohodě a následujících přílohách:</w:t>
      </w:r>
    </w:p>
    <w:p w:rsidR="00544FDB" w:rsidRPr="00590335" w:rsidRDefault="00544FDB" w:rsidP="007769AD">
      <w:pPr>
        <w:pStyle w:val="Zkladntext"/>
        <w:jc w:val="left"/>
      </w:pPr>
    </w:p>
    <w:p w:rsidR="00544FDB" w:rsidRPr="00107821" w:rsidRDefault="00544FDB" w:rsidP="006E2A86">
      <w:pPr>
        <w:tabs>
          <w:tab w:val="left" w:pos="1276"/>
        </w:tabs>
        <w:spacing w:after="200" w:line="276" w:lineRule="auto"/>
      </w:pPr>
      <w:r w:rsidRPr="00107821">
        <w:t xml:space="preserve">Příloha I      </w:t>
      </w:r>
      <w:r w:rsidRPr="00107821">
        <w:tab/>
      </w:r>
      <w:r w:rsidR="006B7A34" w:rsidRPr="00107821">
        <w:t>Roční komunikační plán</w:t>
      </w:r>
    </w:p>
    <w:p w:rsidR="00544FDB" w:rsidRPr="00107821" w:rsidRDefault="00544FDB" w:rsidP="006E2A86">
      <w:pPr>
        <w:tabs>
          <w:tab w:val="left" w:pos="1276"/>
        </w:tabs>
      </w:pPr>
      <w:r w:rsidRPr="00107821">
        <w:lastRenderedPageBreak/>
        <w:t xml:space="preserve">Příloha II    </w:t>
      </w:r>
      <w:r w:rsidRPr="00107821">
        <w:tab/>
        <w:t>Odhadovaný rozpočet</w:t>
      </w:r>
    </w:p>
    <w:p w:rsidR="00DF2891" w:rsidRPr="00107821" w:rsidRDefault="00DF2891" w:rsidP="006E2A86">
      <w:pPr>
        <w:tabs>
          <w:tab w:val="left" w:pos="1276"/>
        </w:tabs>
      </w:pPr>
    </w:p>
    <w:p w:rsidR="00544FDB" w:rsidRPr="00107821" w:rsidRDefault="00544FDB" w:rsidP="007769AD">
      <w:pPr>
        <w:pStyle w:val="Zkladntext"/>
        <w:jc w:val="left"/>
        <w:rPr>
          <w:b/>
          <w:bCs/>
        </w:rPr>
      </w:pPr>
    </w:p>
    <w:p w:rsidR="00544FDB" w:rsidRPr="00107821" w:rsidRDefault="00544FDB" w:rsidP="00A86081">
      <w:pPr>
        <w:pStyle w:val="Nadpis1"/>
      </w:pPr>
      <w:r w:rsidRPr="00107821">
        <w:t>ČLÁNEK 1 – PŘEDMĚT ZVLÁŠTNÍ DOHODY</w:t>
      </w:r>
    </w:p>
    <w:p w:rsidR="00544FDB" w:rsidRPr="00107821" w:rsidRDefault="00544FDB" w:rsidP="00A23A64">
      <w:pPr>
        <w:jc w:val="both"/>
      </w:pPr>
    </w:p>
    <w:p w:rsidR="00544FDB" w:rsidRPr="00107821" w:rsidRDefault="00544FDB" w:rsidP="007769AD">
      <w:pPr>
        <w:pStyle w:val="Zkladntext"/>
      </w:pPr>
      <w:r w:rsidRPr="00107821">
        <w:t xml:space="preserve">Zvláštní dohoda se uzavírá v rámci partnerství zřízeného mezi stranami. Je vypracována podle příslušných ustanovení rámcové dohody o partnerství č. </w:t>
      </w:r>
      <w:r w:rsidR="00082B5F" w:rsidRPr="00082B5F">
        <w:t xml:space="preserve">FA/EDIC 2018-2020/EDIC </w:t>
      </w:r>
      <w:r w:rsidR="00082B5F" w:rsidRPr="00E50F60">
        <w:t>0</w:t>
      </w:r>
      <w:r w:rsidR="00E50F60" w:rsidRPr="00E50F60">
        <w:t>3</w:t>
      </w:r>
      <w:r w:rsidRPr="00107821">
        <w:t xml:space="preserve"> podepsané mezi Komisí a partnerem dne </w:t>
      </w:r>
      <w:r w:rsidR="00C91805">
        <w:t>17. 1</w:t>
      </w:r>
      <w:r w:rsidR="00A77A45">
        <w:t xml:space="preserve">. </w:t>
      </w:r>
      <w:r w:rsidR="00C91805">
        <w:t xml:space="preserve">2018 </w:t>
      </w:r>
      <w:r w:rsidR="00C91805" w:rsidRPr="00107821">
        <w:t>(„rámcová</w:t>
      </w:r>
      <w:r w:rsidRPr="00107821">
        <w:t xml:space="preserve"> dohoda“).</w:t>
      </w:r>
    </w:p>
    <w:p w:rsidR="00544FDB" w:rsidRPr="00107821" w:rsidRDefault="00544FDB" w:rsidP="007769AD">
      <w:pPr>
        <w:pStyle w:val="Zkladntext"/>
      </w:pPr>
    </w:p>
    <w:p w:rsidR="00544FDB" w:rsidRPr="00107821" w:rsidRDefault="00544FDB" w:rsidP="00A36937">
      <w:pPr>
        <w:jc w:val="both"/>
        <w:rPr>
          <w:i/>
        </w:rPr>
      </w:pPr>
      <w:r w:rsidRPr="00107821">
        <w:t xml:space="preserve">V souladu s podmínkami stanovenými ve zvláštní dohodě a v rámcové dohodě se Komise rozhodla udělit grant na akci („zvláštní grant na akci“) pod názvem </w:t>
      </w:r>
      <w:r w:rsidR="00082B5F">
        <w:t>Europe Direct</w:t>
      </w:r>
      <w:r w:rsidR="00FC77C0" w:rsidRPr="00107821" w:rsidDel="00FC77C0">
        <w:rPr>
          <w:b/>
        </w:rPr>
        <w:t xml:space="preserve"> </w:t>
      </w:r>
      <w:r w:rsidRPr="00107821">
        <w:t>(„akce“), jejíž popis je uveden v příloze I.</w:t>
      </w:r>
      <w:r w:rsidRPr="00107821">
        <w:rPr>
          <w:i/>
        </w:rPr>
        <w:t xml:space="preserve"> </w:t>
      </w:r>
    </w:p>
    <w:p w:rsidR="00544FDB" w:rsidRPr="00107821" w:rsidRDefault="00544FDB" w:rsidP="00A36937">
      <w:pPr>
        <w:ind w:left="720"/>
        <w:jc w:val="both"/>
      </w:pPr>
    </w:p>
    <w:p w:rsidR="00544FDB" w:rsidRPr="00107821" w:rsidRDefault="00D6388F" w:rsidP="00A36937">
      <w:pPr>
        <w:jc w:val="both"/>
      </w:pPr>
      <w:r w:rsidRPr="00107821">
        <w:t>Podpisem této zvláštní dohody partner grant přijímá a souhlasí, že na svou odpovědnost provede akci v souladu s podmínkami zvláštní dohody a rámcové dohody.</w:t>
      </w:r>
    </w:p>
    <w:p w:rsidR="00544FDB" w:rsidRPr="00107821" w:rsidRDefault="00544FDB" w:rsidP="002E6123">
      <w:pPr>
        <w:pStyle w:val="Zkladntext"/>
        <w:rPr>
          <w:shd w:val="clear" w:color="000000" w:fill="FFFFFF"/>
        </w:rPr>
      </w:pPr>
    </w:p>
    <w:p w:rsidR="00544FDB" w:rsidRPr="00107821" w:rsidRDefault="00544FDB" w:rsidP="00A86081">
      <w:pPr>
        <w:pStyle w:val="Nadpis1"/>
        <w:rPr>
          <w:b w:val="0"/>
          <w:bCs w:val="0"/>
          <w:smallCaps/>
        </w:rPr>
      </w:pPr>
      <w:r w:rsidRPr="00107821">
        <w:t>ČLÁNEK 2 – NABYTÍ ÚČINNOSTI A OBDOBÍ PLNĚNÍ ZVLÁŠTNÍ DOHODY</w:t>
      </w:r>
      <w:r w:rsidRPr="00107821">
        <w:rPr>
          <w:b w:val="0"/>
          <w:smallCaps/>
        </w:rPr>
        <w:t xml:space="preserve"> </w:t>
      </w:r>
    </w:p>
    <w:p w:rsidR="00544FDB" w:rsidRPr="00107821" w:rsidRDefault="00544FDB">
      <w:pPr>
        <w:pStyle w:val="Zkladntext"/>
      </w:pPr>
    </w:p>
    <w:p w:rsidR="00544FDB" w:rsidRPr="00107821" w:rsidRDefault="00544FDB" w:rsidP="008B7C05">
      <w:pPr>
        <w:tabs>
          <w:tab w:val="left" w:pos="720"/>
        </w:tabs>
        <w:jc w:val="both"/>
      </w:pPr>
      <w:r w:rsidRPr="00107821">
        <w:t>2.1 Zvláštní dohoda nabývá účinnosti dnem, kdy ji podepíše poslední smluvní strana.</w:t>
      </w:r>
    </w:p>
    <w:p w:rsidR="00544FDB" w:rsidRPr="00107821" w:rsidRDefault="00544FDB" w:rsidP="00A86081">
      <w:pPr>
        <w:tabs>
          <w:tab w:val="left" w:pos="720"/>
        </w:tabs>
        <w:jc w:val="both"/>
      </w:pPr>
    </w:p>
    <w:p w:rsidR="000A717F" w:rsidRPr="00107821" w:rsidRDefault="00544FDB" w:rsidP="008B7C05">
      <w:pPr>
        <w:tabs>
          <w:tab w:val="left" w:pos="720"/>
        </w:tabs>
        <w:jc w:val="both"/>
      </w:pPr>
      <w:r w:rsidRPr="00107821">
        <w:t xml:space="preserve">2.2 </w:t>
      </w:r>
      <w:r w:rsidRPr="00107821">
        <w:tab/>
        <w:t xml:space="preserve">Akce trvá po dobu </w:t>
      </w:r>
      <w:r w:rsidR="004D21C9">
        <w:t>12</w:t>
      </w:r>
      <w:r w:rsidRPr="00107821">
        <w:t xml:space="preserve"> měsíců počínaje dnem 1. ledna </w:t>
      </w:r>
      <w:r w:rsidR="004D21C9">
        <w:t>201</w:t>
      </w:r>
      <w:r w:rsidR="00C91805">
        <w:t>9</w:t>
      </w:r>
      <w:r w:rsidR="004D21C9">
        <w:t>.</w:t>
      </w:r>
    </w:p>
    <w:p w:rsidR="00544FDB" w:rsidRPr="00107821" w:rsidRDefault="00054D5E" w:rsidP="00A86081">
      <w:pPr>
        <w:pStyle w:val="Nadpis1"/>
      </w:pPr>
      <w:r w:rsidRPr="00107821">
        <w:t>ČLÁNEK 3 – MAXIMÁLNÍ VÝŠE GRANTU A JEHO FORMA</w:t>
      </w:r>
    </w:p>
    <w:p w:rsidR="000A717F" w:rsidRPr="00107821" w:rsidRDefault="000E5B66" w:rsidP="000D0389">
      <w:pPr>
        <w:pStyle w:val="Nadpis2"/>
      </w:pPr>
      <w:r w:rsidRPr="00107821">
        <w:t>3.1 Maximální výše grantu činí</w:t>
      </w:r>
      <w:r w:rsidR="00101A47" w:rsidRPr="00107821">
        <w:t xml:space="preserve"> </w:t>
      </w:r>
      <w:r w:rsidR="00E50F60" w:rsidRPr="00E50F60">
        <w:t xml:space="preserve">19 </w:t>
      </w:r>
      <w:r w:rsidR="00C91805">
        <w:t>950</w:t>
      </w:r>
      <w:r w:rsidR="00101A47" w:rsidRPr="00E50F60">
        <w:t xml:space="preserve"> </w:t>
      </w:r>
      <w:r w:rsidRPr="00E50F60">
        <w:t>EUR.</w:t>
      </w:r>
    </w:p>
    <w:p w:rsidR="00662672" w:rsidRPr="00107821" w:rsidRDefault="00662672" w:rsidP="00E1173F">
      <w:pPr>
        <w:tabs>
          <w:tab w:val="left" w:pos="720"/>
        </w:tabs>
        <w:jc w:val="both"/>
      </w:pPr>
    </w:p>
    <w:p w:rsidR="00544FDB" w:rsidRPr="00107821" w:rsidRDefault="00421F17" w:rsidP="000D0389">
      <w:pPr>
        <w:pStyle w:val="Nadpis2"/>
      </w:pPr>
      <w:r w:rsidRPr="00107821">
        <w:t>3.2 Grant vyplacen ve formě:</w:t>
      </w:r>
    </w:p>
    <w:p w:rsidR="00544FDB" w:rsidRPr="00107821" w:rsidRDefault="00544FDB" w:rsidP="001B442D">
      <w:pPr>
        <w:contextualSpacing/>
        <w:jc w:val="both"/>
        <w:rPr>
          <w:i/>
        </w:rPr>
      </w:pPr>
    </w:p>
    <w:p w:rsidR="00544FDB" w:rsidRPr="00107821" w:rsidRDefault="00544FDB" w:rsidP="001B442D">
      <w:pPr>
        <w:ind w:firstLine="120"/>
        <w:contextualSpacing/>
        <w:jc w:val="both"/>
      </w:pPr>
    </w:p>
    <w:p w:rsidR="00544FDB" w:rsidRPr="00107821" w:rsidRDefault="00C34ECE" w:rsidP="001B442D">
      <w:pPr>
        <w:numPr>
          <w:ilvl w:val="0"/>
          <w:numId w:val="1"/>
        </w:numPr>
        <w:spacing w:after="200" w:line="276" w:lineRule="auto"/>
        <w:ind w:left="426" w:hanging="426"/>
        <w:contextualSpacing/>
        <w:jc w:val="both"/>
      </w:pPr>
      <w:r w:rsidRPr="00107821">
        <w:t xml:space="preserve">jednorázový příspěvek ve výši </w:t>
      </w:r>
      <w:r w:rsidR="00E50F60">
        <w:t xml:space="preserve">19 </w:t>
      </w:r>
      <w:r w:rsidR="00C91805">
        <w:t>950</w:t>
      </w:r>
      <w:r w:rsidR="00E50F60">
        <w:t xml:space="preserve"> EUR</w:t>
      </w:r>
      <w:r w:rsidRPr="00107821">
        <w:t xml:space="preserve"> („jednorázový příspěvek“), z nějž budou hrazeny způsobilé náklady u partnera: </w:t>
      </w:r>
    </w:p>
    <w:p w:rsidR="00F9482A" w:rsidRPr="00107821" w:rsidRDefault="00F9482A" w:rsidP="00F9482A">
      <w:pPr>
        <w:spacing w:after="200" w:line="276" w:lineRule="auto"/>
        <w:ind w:left="426"/>
        <w:contextualSpacing/>
        <w:jc w:val="both"/>
      </w:pPr>
    </w:p>
    <w:p w:rsidR="00544FDB" w:rsidRPr="00107821" w:rsidRDefault="00C34ECE" w:rsidP="004D21C9">
      <w:pPr>
        <w:ind w:left="720"/>
        <w:contextualSpacing/>
        <w:jc w:val="both"/>
      </w:pPr>
      <w:r w:rsidRPr="00107821">
        <w:t xml:space="preserve">jednorázový příspěvek ve výši </w:t>
      </w:r>
      <w:r w:rsidR="004D21C9" w:rsidRPr="00E50F60">
        <w:t>11 250</w:t>
      </w:r>
      <w:r w:rsidRPr="00E50F60">
        <w:t xml:space="preserve"> EUR</w:t>
      </w:r>
      <w:r w:rsidRPr="00107821">
        <w:t xml:space="preserve"> („jednorázový příspěvek“), z nějž budou hrazeny způsobilé náklady na: </w:t>
      </w:r>
      <w:r w:rsidR="004D21C9">
        <w:t>hlavní komunikační činnosti;</w:t>
      </w:r>
    </w:p>
    <w:p w:rsidR="00F9482A" w:rsidRPr="00107821" w:rsidRDefault="00F9482A" w:rsidP="004D21C9">
      <w:pPr>
        <w:ind w:left="720"/>
        <w:contextualSpacing/>
        <w:jc w:val="both"/>
      </w:pPr>
    </w:p>
    <w:p w:rsidR="00F9482A" w:rsidRPr="00E50F60" w:rsidRDefault="00C34ECE" w:rsidP="004D21C9">
      <w:pPr>
        <w:ind w:left="720"/>
        <w:contextualSpacing/>
        <w:jc w:val="both"/>
      </w:pPr>
      <w:r w:rsidRPr="00E50F60">
        <w:t xml:space="preserve">jednorázový příspěvek ve výši </w:t>
      </w:r>
      <w:r w:rsidR="00C91805" w:rsidRPr="00E50F60">
        <w:t>3 000 EUR</w:t>
      </w:r>
      <w:r w:rsidRPr="00E50F60">
        <w:t xml:space="preserve"> („jednorázový příspěvek“), z nějž budou</w:t>
      </w:r>
      <w:r w:rsidR="004D21C9" w:rsidRPr="00E50F60">
        <w:t xml:space="preserve"> hrazeny způsobilé náklady na: organizaci akcí;</w:t>
      </w:r>
    </w:p>
    <w:p w:rsidR="004D21C9" w:rsidRPr="00082B5F" w:rsidRDefault="004D21C9" w:rsidP="004D21C9">
      <w:pPr>
        <w:ind w:left="720"/>
        <w:contextualSpacing/>
        <w:jc w:val="both"/>
        <w:rPr>
          <w:highlight w:val="yellow"/>
        </w:rPr>
      </w:pPr>
    </w:p>
    <w:p w:rsidR="004D21C9" w:rsidRPr="00316267" w:rsidRDefault="004D21C9" w:rsidP="004D21C9">
      <w:pPr>
        <w:ind w:left="720"/>
        <w:contextualSpacing/>
        <w:jc w:val="both"/>
      </w:pPr>
      <w:r w:rsidRPr="00316267">
        <w:t xml:space="preserve">jednorázový příspěvek ve výši </w:t>
      </w:r>
      <w:r w:rsidR="00C91805" w:rsidRPr="00316267">
        <w:t xml:space="preserve">1 </w:t>
      </w:r>
      <w:r w:rsidR="00C91805">
        <w:t>575</w:t>
      </w:r>
      <w:r w:rsidR="00C91805" w:rsidRPr="00316267">
        <w:t xml:space="preserve"> EUR</w:t>
      </w:r>
      <w:r w:rsidRPr="00316267">
        <w:t xml:space="preserve"> („jednorázový příspěvek“), z nějž budou hrazeny způsobilé náklady na: účast na akcích;</w:t>
      </w:r>
    </w:p>
    <w:p w:rsidR="00082B5F" w:rsidRPr="00082B5F" w:rsidRDefault="00082B5F" w:rsidP="004D21C9">
      <w:pPr>
        <w:ind w:left="720"/>
        <w:contextualSpacing/>
        <w:jc w:val="both"/>
        <w:rPr>
          <w:highlight w:val="yellow"/>
        </w:rPr>
      </w:pPr>
    </w:p>
    <w:p w:rsidR="004D21C9" w:rsidRPr="00316267" w:rsidRDefault="004D21C9" w:rsidP="004D21C9">
      <w:pPr>
        <w:ind w:left="720"/>
        <w:contextualSpacing/>
        <w:jc w:val="both"/>
      </w:pPr>
      <w:r w:rsidRPr="00316267">
        <w:t>jednorázový příspěvek ve výši 375  EUR („jednorázový příspěvek“), z nějž budou hrazeny způsobilé náklady na: elektronický zpravodaj;</w:t>
      </w:r>
    </w:p>
    <w:p w:rsidR="004D21C9" w:rsidRPr="00082B5F" w:rsidRDefault="004D21C9" w:rsidP="004D21C9">
      <w:pPr>
        <w:ind w:left="720"/>
        <w:contextualSpacing/>
        <w:jc w:val="both"/>
        <w:rPr>
          <w:highlight w:val="yellow"/>
        </w:rPr>
      </w:pPr>
    </w:p>
    <w:p w:rsidR="004D21C9" w:rsidRDefault="004D21C9" w:rsidP="004D21C9">
      <w:pPr>
        <w:ind w:left="720"/>
        <w:contextualSpacing/>
        <w:jc w:val="both"/>
      </w:pPr>
      <w:r w:rsidRPr="00316267">
        <w:t>jednorázový příspěvek ve výši 3 750  EUR („jednorázový příspěvek“), z nějž budou hrazeny způsobilé náklady na: kontaktní místo;</w:t>
      </w:r>
    </w:p>
    <w:p w:rsidR="004D21C9" w:rsidRDefault="004D21C9" w:rsidP="004D21C9">
      <w:pPr>
        <w:ind w:left="426"/>
        <w:contextualSpacing/>
        <w:jc w:val="both"/>
      </w:pPr>
    </w:p>
    <w:p w:rsidR="00F9482A" w:rsidRPr="00107821" w:rsidRDefault="00F9482A" w:rsidP="00F9482A">
      <w:pPr>
        <w:ind w:left="426"/>
        <w:contextualSpacing/>
        <w:jc w:val="both"/>
      </w:pPr>
    </w:p>
    <w:p w:rsidR="00544FDB" w:rsidRPr="00107821" w:rsidRDefault="00544FDB">
      <w:pPr>
        <w:jc w:val="both"/>
      </w:pPr>
    </w:p>
    <w:p w:rsidR="00662672" w:rsidRPr="00107821" w:rsidRDefault="000E5B66" w:rsidP="000756D7">
      <w:pPr>
        <w:pStyle w:val="Nadpis1"/>
        <w:jc w:val="both"/>
        <w:rPr>
          <w:color w:val="0070C0"/>
        </w:rPr>
      </w:pPr>
      <w:r w:rsidRPr="00107821">
        <w:t>ČLÁNEK 4 – PŘEDKLÁDÁNÍ ZPRÁV, ŽÁDOSTI O PLATBY A PODPŮRNÉ DOKUMENTY</w:t>
      </w:r>
    </w:p>
    <w:p w:rsidR="00633892" w:rsidRPr="00107821" w:rsidRDefault="00633892" w:rsidP="00A86081">
      <w:pPr>
        <w:tabs>
          <w:tab w:val="left" w:pos="720"/>
        </w:tabs>
        <w:jc w:val="both"/>
        <w:rPr>
          <w:b/>
        </w:rPr>
      </w:pPr>
    </w:p>
    <w:p w:rsidR="00662672" w:rsidRPr="00107821" w:rsidRDefault="00662672" w:rsidP="000D0389">
      <w:pPr>
        <w:pStyle w:val="Nadpis2"/>
      </w:pPr>
      <w:r w:rsidRPr="00107821">
        <w:t>4.1 Vykazovaná období</w:t>
      </w:r>
    </w:p>
    <w:p w:rsidR="00662672" w:rsidRPr="00107821" w:rsidRDefault="00662672" w:rsidP="00A86081"/>
    <w:p w:rsidR="008D2536" w:rsidRPr="00107821" w:rsidRDefault="008D2536" w:rsidP="008D2536">
      <w:pPr>
        <w:ind w:left="851"/>
        <w:jc w:val="both"/>
      </w:pPr>
    </w:p>
    <w:p w:rsidR="008B7C05" w:rsidRPr="00107821" w:rsidRDefault="008D2536" w:rsidP="008D2536">
      <w:pPr>
        <w:jc w:val="both"/>
      </w:pPr>
      <w:r w:rsidRPr="00107821">
        <w:t>Jediné vykazované období zahrnující období stanovené v článku 2.2.</w:t>
      </w:r>
    </w:p>
    <w:p w:rsidR="008B7C05" w:rsidRPr="00107821" w:rsidRDefault="008B7C05" w:rsidP="00662672">
      <w:pPr>
        <w:ind w:left="851"/>
        <w:jc w:val="both"/>
      </w:pPr>
    </w:p>
    <w:p w:rsidR="008B7C05" w:rsidRPr="00107821" w:rsidRDefault="008B7C05" w:rsidP="00662672">
      <w:pPr>
        <w:ind w:left="851"/>
        <w:jc w:val="both"/>
      </w:pPr>
    </w:p>
    <w:p w:rsidR="0083101C" w:rsidRPr="00107821" w:rsidRDefault="00544FDB" w:rsidP="000D0389">
      <w:pPr>
        <w:pStyle w:val="Nadpis2"/>
      </w:pPr>
      <w:r w:rsidRPr="00107821">
        <w:t>4.2 Žádost/žádosti o druhou [a] [,] [třetí][a][,][čtvrtou][totéž pro další žádosti] platbu předběžného financování a podpůrné dokumenty</w:t>
      </w:r>
    </w:p>
    <w:p w:rsidR="0083101C" w:rsidRPr="00107821" w:rsidRDefault="0083101C" w:rsidP="0083101C">
      <w:pPr>
        <w:jc w:val="both"/>
        <w:rPr>
          <w:color w:val="00B0F0"/>
        </w:rPr>
      </w:pPr>
    </w:p>
    <w:p w:rsidR="0083101C" w:rsidRPr="00107821" w:rsidRDefault="008D2536" w:rsidP="0083101C">
      <w:pPr>
        <w:jc w:val="both"/>
      </w:pPr>
      <w:r w:rsidRPr="00107821">
        <w:t xml:space="preserve"> Nepoužije se.</w:t>
      </w:r>
    </w:p>
    <w:p w:rsidR="004757E5" w:rsidRPr="00107821" w:rsidRDefault="004757E5" w:rsidP="0083101C">
      <w:pPr>
        <w:jc w:val="both"/>
      </w:pPr>
    </w:p>
    <w:p w:rsidR="004757E5" w:rsidRPr="00107821" w:rsidRDefault="004757E5" w:rsidP="000D0389">
      <w:pPr>
        <w:pStyle w:val="Nadpis2"/>
      </w:pPr>
      <w:r w:rsidRPr="00107821">
        <w:t>4.3 Žádost/žádosti o průběžnou platbu/platby a podpůrné dokumenty</w:t>
      </w:r>
    </w:p>
    <w:p w:rsidR="004757E5" w:rsidRPr="00107821" w:rsidRDefault="004757E5" w:rsidP="0083101C">
      <w:pPr>
        <w:jc w:val="both"/>
      </w:pPr>
    </w:p>
    <w:p w:rsidR="002317F6" w:rsidRPr="00107821" w:rsidRDefault="008D2536" w:rsidP="008D2536">
      <w:pPr>
        <w:spacing w:before="100" w:beforeAutospacing="1" w:after="100" w:afterAutospacing="1"/>
        <w:jc w:val="both"/>
      </w:pPr>
      <w:r w:rsidRPr="00107821">
        <w:t>Nepoužije se.</w:t>
      </w:r>
    </w:p>
    <w:p w:rsidR="002317F6" w:rsidRPr="00107821" w:rsidRDefault="002317F6" w:rsidP="0083101C">
      <w:pPr>
        <w:jc w:val="both"/>
      </w:pPr>
    </w:p>
    <w:p w:rsidR="002317F6" w:rsidRPr="00107821" w:rsidRDefault="002317F6" w:rsidP="00620C90">
      <w:pPr>
        <w:pStyle w:val="Nadpis2"/>
      </w:pPr>
      <w:r w:rsidRPr="00107821">
        <w:t xml:space="preserve">4.4 Žádost o vyplacení zůstatku a podpůrné dokumenty  </w:t>
      </w:r>
    </w:p>
    <w:p w:rsidR="002317F6" w:rsidRPr="00107821" w:rsidRDefault="002317F6" w:rsidP="00A86081"/>
    <w:p w:rsidR="002317F6" w:rsidRPr="00107821" w:rsidRDefault="002317F6" w:rsidP="002317F6">
      <w:pPr>
        <w:jc w:val="both"/>
      </w:pPr>
      <w:r w:rsidRPr="00107821">
        <w:t>Partner musí podat žádost o vyplacení zůstatku ve lhůtě 60 kalendářních dnů od konce vykazovaného období.</w:t>
      </w:r>
    </w:p>
    <w:p w:rsidR="002317F6" w:rsidRPr="00107821" w:rsidRDefault="002317F6" w:rsidP="002317F6">
      <w:pPr>
        <w:jc w:val="both"/>
      </w:pPr>
      <w:r w:rsidRPr="00107821">
        <w:t>K této žádosti musí být přiloženy tyto dokumenty:</w:t>
      </w:r>
    </w:p>
    <w:p w:rsidR="002317F6" w:rsidRPr="00107821" w:rsidRDefault="002317F6" w:rsidP="002317F6">
      <w:pPr>
        <w:numPr>
          <w:ilvl w:val="0"/>
          <w:numId w:val="22"/>
        </w:numPr>
        <w:spacing w:before="100" w:beforeAutospacing="1" w:after="100" w:afterAutospacing="1"/>
        <w:jc w:val="both"/>
      </w:pPr>
      <w:r w:rsidRPr="00107821">
        <w:t>závěrečná zpráva o provedení akce („závěrečná technická zpráva“) vypracovaná v souladu s přílohou IV rámcové dohody a uvádějící informace potřebné k odůvodnění vzniku vykázaných příspěvků ve formě jednorázových částek a informace o subdodávkách podle čl. II.11.1 písm. d) bodu ii) rámcové dohody;</w:t>
      </w:r>
    </w:p>
    <w:p w:rsidR="002317F6" w:rsidRPr="00107821" w:rsidRDefault="002317F6" w:rsidP="002317F6">
      <w:pPr>
        <w:numPr>
          <w:ilvl w:val="0"/>
          <w:numId w:val="22"/>
        </w:numPr>
        <w:spacing w:before="100" w:beforeAutospacing="1" w:after="100" w:afterAutospacing="1"/>
        <w:jc w:val="both"/>
      </w:pPr>
      <w:r w:rsidRPr="00107821">
        <w:t>závěrečný finanční výkaz („závěrečný finanční výkaz“). Tento závěrečný finanční výkaz musí obsahovat konsolidovaný výkaz a rozpis částek, jež uplatňuje partner a subjekty k němu přidružené.</w:t>
      </w:r>
    </w:p>
    <w:p w:rsidR="002317F6" w:rsidRPr="00107821" w:rsidRDefault="002317F6" w:rsidP="002317F6">
      <w:pPr>
        <w:jc w:val="both"/>
      </w:pPr>
      <w:r w:rsidRPr="00107821">
        <w:lastRenderedPageBreak/>
        <w:t>Závěrečný finanční výkaz musí být sestaven podle struktury odhadu rozpočtu v příloze II zvláštní dohody a v souladu s přílohou V rámcové dohody a za vykazované období musí podrobně uvádět částky u každé formy grantu uvedené v článku 3.2.</w:t>
      </w:r>
    </w:p>
    <w:p w:rsidR="00620C90" w:rsidRPr="00107821" w:rsidRDefault="00620C90" w:rsidP="00416936">
      <w:pPr>
        <w:jc w:val="both"/>
        <w:rPr>
          <w:color w:val="000000"/>
        </w:rPr>
      </w:pPr>
    </w:p>
    <w:p w:rsidR="00416936" w:rsidRPr="00107821" w:rsidRDefault="00416936" w:rsidP="00A86081"/>
    <w:p w:rsidR="002E68EE" w:rsidRPr="00107821" w:rsidRDefault="002E68EE" w:rsidP="00620C90">
      <w:pPr>
        <w:pStyle w:val="Nadpis2"/>
        <w:rPr>
          <w:spacing w:val="5"/>
        </w:rPr>
      </w:pPr>
      <w:r w:rsidRPr="00107821">
        <w:t>4.6 Měna žádostí o platbu a finančních výkazů</w:t>
      </w:r>
    </w:p>
    <w:p w:rsidR="002E68EE" w:rsidRPr="00107821" w:rsidRDefault="002E68EE" w:rsidP="000756D7">
      <w:pPr>
        <w:ind w:left="1134"/>
        <w:jc w:val="both"/>
        <w:rPr>
          <w:b/>
        </w:rPr>
      </w:pPr>
    </w:p>
    <w:p w:rsidR="00BB44CC" w:rsidRPr="00107821" w:rsidRDefault="00BB44CC" w:rsidP="00BB44CC">
      <w:pPr>
        <w:spacing w:after="200" w:line="276" w:lineRule="auto"/>
        <w:jc w:val="both"/>
        <w:rPr>
          <w:rFonts w:eastAsia="Calibri"/>
        </w:rPr>
      </w:pPr>
      <w:r w:rsidRPr="00107821">
        <w:t>Žádosti o platbu a finanční výkazy musí být sestaveny v eurech.</w:t>
      </w:r>
    </w:p>
    <w:p w:rsidR="00BB44CC" w:rsidRPr="00107821" w:rsidRDefault="00BB44CC" w:rsidP="00BB44CC">
      <w:pPr>
        <w:spacing w:after="200" w:line="276" w:lineRule="auto"/>
        <w:jc w:val="both"/>
        <w:rPr>
          <w:rFonts w:eastAsia="Calibri"/>
        </w:rPr>
      </w:pPr>
      <w:r w:rsidRPr="00107821">
        <w:t xml:space="preserve">Partner a k němu přidružené subjekty, kteří vedou účetní evidenci v jiné měně než v eurech, musí přepočítat náklady zaznamenané v jejich účetní evidenci na eura s použitím průměru denních směnných kurzů zveřejněných v řadě C </w:t>
      </w:r>
      <w:r w:rsidRPr="00107821">
        <w:rPr>
          <w:i/>
        </w:rPr>
        <w:t>Úředního věstníku Evropské unie</w:t>
      </w:r>
      <w:r w:rsidRPr="00107821">
        <w:t xml:space="preserve"> (k dispozici na </w:t>
      </w:r>
      <w:hyperlink r:id="rId15">
        <w:r w:rsidRPr="00107821">
          <w:rPr>
            <w:noProof/>
            <w:color w:val="0000FF"/>
            <w:u w:val="single"/>
          </w:rPr>
          <w:t>http://www.ecb.europa.eu/stats/exchange/eurofxref/html/index.en.html</w:t>
        </w:r>
      </w:hyperlink>
      <w:r w:rsidRPr="00107821">
        <w:t>), jež vypočtou za odpovídající vykazované období.</w:t>
      </w:r>
    </w:p>
    <w:p w:rsidR="00BB44CC" w:rsidRPr="00107821" w:rsidRDefault="00BB44CC" w:rsidP="00BB44CC">
      <w:pPr>
        <w:spacing w:after="200" w:line="276" w:lineRule="auto"/>
        <w:jc w:val="both"/>
        <w:rPr>
          <w:rFonts w:eastAsia="Calibri"/>
          <w:i/>
        </w:rPr>
      </w:pPr>
      <w:r w:rsidRPr="00107821">
        <w:t xml:space="preserve">Není-li v </w:t>
      </w:r>
      <w:r w:rsidRPr="00107821">
        <w:rPr>
          <w:i/>
        </w:rPr>
        <w:t>Úředním věstníku Evropské unie</w:t>
      </w:r>
      <w:r w:rsidRPr="00107821">
        <w:t xml:space="preserve"> pro danou měnu zveřejňován denní směnný kurz k euru, musí být přepočet vypočítán na základě průměru, jenž se za odpovídající vykazované období určí z měsíčních účetních kurzů, které Komise stanoví a zveřejní na svých internetových stránkách (</w:t>
      </w:r>
      <w:hyperlink r:id="rId16">
        <w:r w:rsidRPr="00107821">
          <w:rPr>
            <w:noProof/>
            <w:color w:val="0000FF"/>
            <w:u w:val="single"/>
          </w:rPr>
          <w:t>http://ec.europa.eu/budget/contracts_grants/info_contracts/inforeuro/inforeuro_en.cfm</w:t>
        </w:r>
      </w:hyperlink>
      <w:r w:rsidRPr="00107821">
        <w:t>).</w:t>
      </w:r>
    </w:p>
    <w:p w:rsidR="00BB44CC" w:rsidRPr="00107821" w:rsidRDefault="00BB44CC" w:rsidP="00BB44CC">
      <w:pPr>
        <w:spacing w:after="200" w:line="276" w:lineRule="auto"/>
        <w:jc w:val="both"/>
        <w:rPr>
          <w:rFonts w:eastAsia="Calibri"/>
        </w:rPr>
      </w:pPr>
      <w:r w:rsidRPr="00107821">
        <w:t>Partner a k němu přidružené subjekty, kteří vedou účetní evidenci v eurech, musí provádět přepočet nákladů vzniklých v jiné měně než v eurech v souladu se svými běžnými účetními postupy.</w:t>
      </w:r>
    </w:p>
    <w:p w:rsidR="00BB44CC" w:rsidRPr="00107821" w:rsidRDefault="00BB44CC" w:rsidP="00620C90">
      <w:pPr>
        <w:pStyle w:val="Nadpis2"/>
        <w:rPr>
          <w:spacing w:val="5"/>
        </w:rPr>
      </w:pPr>
      <w:r w:rsidRPr="00107821">
        <w:t>4.7 Jazyk, v němž jsou předkládány žádosti o platbu, technické zprávy a finanční výkaz</w:t>
      </w:r>
    </w:p>
    <w:p w:rsidR="002E68EE" w:rsidRPr="00107821" w:rsidRDefault="002E68EE" w:rsidP="00105FFE">
      <w:pPr>
        <w:jc w:val="both"/>
        <w:rPr>
          <w:b/>
          <w:i/>
        </w:rPr>
      </w:pPr>
    </w:p>
    <w:p w:rsidR="00BB44CC" w:rsidRPr="00107821" w:rsidRDefault="00BB44CC" w:rsidP="00BB44CC">
      <w:pPr>
        <w:spacing w:line="276" w:lineRule="auto"/>
        <w:jc w:val="both"/>
        <w:rPr>
          <w:rFonts w:eastAsia="Calibri"/>
        </w:rPr>
      </w:pPr>
      <w:r w:rsidRPr="00107821">
        <w:t xml:space="preserve">Všechny žádosti o platbu, technické zprávy a finanční výkazy jsou předkládány v </w:t>
      </w:r>
      <w:r w:rsidR="00FC77C0" w:rsidRPr="00107821">
        <w:t>českém jazyce</w:t>
      </w:r>
      <w:r w:rsidRPr="00107821">
        <w:t>.</w:t>
      </w:r>
    </w:p>
    <w:p w:rsidR="00EE7D19" w:rsidRPr="00107821" w:rsidRDefault="00EE7D19" w:rsidP="00A86081">
      <w:pPr>
        <w:pStyle w:val="Nadpis1"/>
      </w:pPr>
    </w:p>
    <w:p w:rsidR="00544FDB" w:rsidRPr="00107821" w:rsidRDefault="00BB44CC" w:rsidP="00A86081">
      <w:pPr>
        <w:pStyle w:val="Nadpis1"/>
      </w:pPr>
      <w:r w:rsidRPr="00107821">
        <w:t>ČLÁNEK 5 – PLATBY A PLATEBNÍ UJEDNÁNÍ</w:t>
      </w:r>
    </w:p>
    <w:p w:rsidR="00BB44CC" w:rsidRPr="00107821" w:rsidRDefault="00BB44CC" w:rsidP="00620C90">
      <w:pPr>
        <w:pStyle w:val="Nadpis2"/>
      </w:pPr>
      <w:r w:rsidRPr="00107821">
        <w:t>5.1 Platby, které mají být provedeny</w:t>
      </w:r>
    </w:p>
    <w:p w:rsidR="00BB44CC" w:rsidRPr="00107821" w:rsidRDefault="00BB44CC" w:rsidP="00105FFE">
      <w:pPr>
        <w:jc w:val="both"/>
      </w:pPr>
    </w:p>
    <w:p w:rsidR="00BB44CC" w:rsidRPr="00107821" w:rsidRDefault="00BB44CC" w:rsidP="00BB44CC">
      <w:pPr>
        <w:spacing w:line="276" w:lineRule="auto"/>
        <w:jc w:val="both"/>
        <w:rPr>
          <w:rFonts w:eastAsia="Calibri"/>
        </w:rPr>
      </w:pPr>
      <w:r w:rsidRPr="00107821">
        <w:t>Komise musí provést tyto platby ve prospěch partnera:</w:t>
      </w:r>
    </w:p>
    <w:p w:rsidR="00BB44CC" w:rsidRPr="00107821" w:rsidRDefault="001114BB" w:rsidP="00BB44CC">
      <w:pPr>
        <w:spacing w:after="200" w:line="276" w:lineRule="auto"/>
        <w:ind w:left="238" w:hanging="238"/>
        <w:jc w:val="both"/>
        <w:rPr>
          <w:rFonts w:eastAsia="Calibri"/>
        </w:rPr>
      </w:pPr>
      <w:r w:rsidRPr="00107821">
        <w:t xml:space="preserve">– </w:t>
      </w:r>
      <w:r w:rsidRPr="00107821">
        <w:tab/>
        <w:t>jedno předběžné financování ve výši 70 % maximální částky uvedené v článku 3;</w:t>
      </w:r>
    </w:p>
    <w:p w:rsidR="00BB44CC" w:rsidRPr="00107821" w:rsidRDefault="00BB44CC" w:rsidP="00BB44CC">
      <w:pPr>
        <w:spacing w:after="200" w:line="276" w:lineRule="auto"/>
        <w:ind w:left="238" w:hanging="238"/>
        <w:jc w:val="both"/>
        <w:rPr>
          <w:rFonts w:eastAsia="Calibri"/>
        </w:rPr>
      </w:pPr>
      <w:r w:rsidRPr="00107821">
        <w:t xml:space="preserve">– </w:t>
      </w:r>
      <w:r w:rsidRPr="00107821">
        <w:tab/>
        <w:t>jedno vyplacení zůstatku na základě žádosti o vyplacení zůstatku podle článku 4.4.</w:t>
      </w:r>
    </w:p>
    <w:p w:rsidR="00544FDB" w:rsidRPr="00107821" w:rsidRDefault="001114BB" w:rsidP="00620C90">
      <w:pPr>
        <w:pStyle w:val="Nadpis2"/>
      </w:pPr>
      <w:r w:rsidRPr="00107821">
        <w:t>5.2 Splátka předběžného financování</w:t>
      </w:r>
    </w:p>
    <w:p w:rsidR="0078032D" w:rsidRPr="00107821" w:rsidRDefault="0078032D" w:rsidP="002000BA"/>
    <w:p w:rsidR="002000BA" w:rsidRPr="00107821" w:rsidRDefault="002000BA" w:rsidP="002000BA">
      <w:r w:rsidRPr="00107821">
        <w:lastRenderedPageBreak/>
        <w:t>Účelem předběžného financování je poskytnout počáteční hotovost. Předběžné financování zůstává majetkem Unie, dokud není zúčtováno průběžnými platbami, nebo pokud není zúčtováno průběžnými platbami, až do vyplacení zůstatku.</w:t>
      </w:r>
    </w:p>
    <w:p w:rsidR="00BB44CC" w:rsidRPr="00107821" w:rsidRDefault="00BB44CC" w:rsidP="00A86081"/>
    <w:p w:rsidR="00BB44CC" w:rsidRPr="00107821" w:rsidRDefault="00BB44CC" w:rsidP="00BB44CC">
      <w:pPr>
        <w:spacing w:after="200" w:line="276" w:lineRule="auto"/>
        <w:jc w:val="both"/>
        <w:rPr>
          <w:rFonts w:eastAsia="Calibri"/>
        </w:rPr>
      </w:pPr>
      <w:r w:rsidRPr="00107821">
        <w:t xml:space="preserve">Komise musí provést první platbu předběžného financování ve výši </w:t>
      </w:r>
      <w:r w:rsidR="00316267" w:rsidRPr="00316267">
        <w:t xml:space="preserve">13 </w:t>
      </w:r>
      <w:r w:rsidR="00C91805">
        <w:t>965</w:t>
      </w:r>
      <w:r w:rsidR="00FC77C0" w:rsidRPr="00316267">
        <w:t xml:space="preserve"> </w:t>
      </w:r>
      <w:r w:rsidRPr="00316267">
        <w:t>EUR</w:t>
      </w:r>
      <w:r w:rsidRPr="00107821">
        <w:t xml:space="preserve"> ve prospěch partnera do 30 kalendářních dnů od vstupu zvláštní dohody v platnost, s výjimkou případu, kdy se použije článek II.24.1 rámcové dohody.</w:t>
      </w:r>
    </w:p>
    <w:p w:rsidR="00AC5AEE" w:rsidRPr="00107821" w:rsidRDefault="00AC5AEE" w:rsidP="00620C90">
      <w:pPr>
        <w:pStyle w:val="Nadpis2"/>
      </w:pPr>
    </w:p>
    <w:p w:rsidR="00C95687" w:rsidRPr="00107821" w:rsidRDefault="00C95687" w:rsidP="00620C90">
      <w:pPr>
        <w:pStyle w:val="Nadpis2"/>
      </w:pPr>
      <w:r w:rsidRPr="00107821">
        <w:t>5.3 Průběžná platba / průběžné platby</w:t>
      </w:r>
    </w:p>
    <w:p w:rsidR="00BB44CC" w:rsidRPr="00107821" w:rsidRDefault="00BB44CC" w:rsidP="00A86081"/>
    <w:p w:rsidR="00C95687" w:rsidRPr="00107821" w:rsidRDefault="001114BB" w:rsidP="001114BB">
      <w:pPr>
        <w:spacing w:line="276" w:lineRule="auto"/>
        <w:jc w:val="both"/>
        <w:rPr>
          <w:rFonts w:eastAsia="Calibri"/>
          <w:bCs/>
          <w:i/>
        </w:rPr>
      </w:pPr>
      <w:r w:rsidRPr="00107821">
        <w:t>Nepoužije se.</w:t>
      </w:r>
    </w:p>
    <w:p w:rsidR="00C95687" w:rsidRPr="00107821" w:rsidRDefault="00C95687" w:rsidP="00A86081"/>
    <w:p w:rsidR="00C95687" w:rsidRPr="00107821" w:rsidRDefault="00C95687" w:rsidP="00620C90">
      <w:pPr>
        <w:pStyle w:val="Nadpis2"/>
      </w:pPr>
      <w:r w:rsidRPr="00107821">
        <w:t>5.4 Platba zůstatku</w:t>
      </w:r>
    </w:p>
    <w:p w:rsidR="00C95687" w:rsidRPr="00107821" w:rsidRDefault="00C95687" w:rsidP="00A86081"/>
    <w:p w:rsidR="00C95687" w:rsidRPr="00107821" w:rsidRDefault="00C95687" w:rsidP="00C95687">
      <w:pPr>
        <w:spacing w:after="200" w:line="276" w:lineRule="auto"/>
        <w:jc w:val="both"/>
        <w:rPr>
          <w:rFonts w:eastAsia="Calibri"/>
        </w:rPr>
      </w:pPr>
      <w:r w:rsidRPr="00107821">
        <w:t xml:space="preserve">Vyplacení zůstatku proplácí či hradí zbývající část způsobilých nákladů, které partnerovi vznikly v souvislosti s prováděním </w:t>
      </w:r>
      <w:r w:rsidRPr="00107821">
        <w:rPr>
          <w:i/>
        </w:rPr>
        <w:t>akce</w:t>
      </w:r>
      <w:r w:rsidRPr="00107821">
        <w:t>.</w:t>
      </w:r>
    </w:p>
    <w:p w:rsidR="00C95687" w:rsidRPr="00107821" w:rsidRDefault="00C95687" w:rsidP="00C95687">
      <w:pPr>
        <w:spacing w:after="200" w:line="276" w:lineRule="auto"/>
        <w:jc w:val="both"/>
        <w:rPr>
          <w:rFonts w:eastAsia="Calibri"/>
        </w:rPr>
      </w:pPr>
      <w:r w:rsidRPr="00107821">
        <w:t>Je-li celková výše dřívějších plateb vyšší než konečná výše grantu vypočtená podle článku II.25 rámcové dohody, proběhne vyplacení zůstatku formou inkasa podle článku II.26 rámcové dohody.</w:t>
      </w:r>
    </w:p>
    <w:p w:rsidR="00C95687" w:rsidRPr="00107821" w:rsidRDefault="00C95687" w:rsidP="00C95687">
      <w:pPr>
        <w:spacing w:after="200" w:line="276" w:lineRule="auto"/>
        <w:jc w:val="both"/>
        <w:rPr>
          <w:rFonts w:eastAsia="Calibri"/>
          <w:bCs/>
        </w:rPr>
      </w:pPr>
      <w:r w:rsidRPr="00107821">
        <w:t>Je-li celková částka dřívějších plateb nižší než konečná výše grantu vypočtená podle článku II.25 rámcové dohody, musí Komise vyplatit zůstatek do 60 kalendářních dnů ode dne, kdy obdrží doklady uvedené v článku 4.4, s výjimkou případů, kdy se použije článek II.24.1 nebo článek II.24.2 rámcové dohody.</w:t>
      </w:r>
    </w:p>
    <w:p w:rsidR="00C95687" w:rsidRPr="00107821" w:rsidRDefault="00C95687" w:rsidP="00C95687">
      <w:pPr>
        <w:spacing w:after="200" w:line="276" w:lineRule="auto"/>
        <w:jc w:val="both"/>
        <w:rPr>
          <w:rFonts w:eastAsia="Calibri"/>
        </w:rPr>
      </w:pPr>
      <w:r w:rsidRPr="00107821">
        <w:t>Podmínkou pro provedení platby je schválení žádosti o vyplacení zůstatku a podpůrných dokumentů. Toto schválení neznamená, že bylo uznáno splnění požadavků, pravost, úplnost nebo správnost jejich obsahu.</w:t>
      </w:r>
    </w:p>
    <w:p w:rsidR="00C95687" w:rsidRPr="00107821" w:rsidRDefault="00C95687" w:rsidP="00620C90">
      <w:pPr>
        <w:pStyle w:val="Nadpis2"/>
      </w:pPr>
      <w:r w:rsidRPr="00107821">
        <w:t>5.5 Oznámení splatných částek</w:t>
      </w:r>
    </w:p>
    <w:p w:rsidR="00C95687" w:rsidRPr="00107821" w:rsidRDefault="00C95687" w:rsidP="00A86081"/>
    <w:p w:rsidR="00C95687" w:rsidRPr="00107821" w:rsidRDefault="00C95687" w:rsidP="00C95687">
      <w:pPr>
        <w:jc w:val="both"/>
      </w:pPr>
      <w:r w:rsidRPr="00107821">
        <w:t xml:space="preserve">Komise musí zaslat partnerovi </w:t>
      </w:r>
      <w:r w:rsidRPr="00107821">
        <w:rPr>
          <w:i/>
        </w:rPr>
        <w:t>formální oznámení</w:t>
      </w:r>
      <w:r w:rsidR="006C7AFB" w:rsidRPr="00107821">
        <w:t>, ve kterém</w:t>
      </w:r>
      <w:r w:rsidRPr="00107821">
        <w:t>:</w:t>
      </w:r>
    </w:p>
    <w:p w:rsidR="00C95687" w:rsidRPr="00107821" w:rsidRDefault="00C95687" w:rsidP="00C95687">
      <w:pPr>
        <w:numPr>
          <w:ilvl w:val="0"/>
          <w:numId w:val="37"/>
        </w:numPr>
        <w:spacing w:before="100" w:beforeAutospacing="1" w:after="100" w:afterAutospacing="1"/>
        <w:jc w:val="both"/>
      </w:pPr>
      <w:r w:rsidRPr="00107821">
        <w:t>ho informuje o dlužné částce a</w:t>
      </w:r>
    </w:p>
    <w:p w:rsidR="00C95687" w:rsidRPr="00107821" w:rsidRDefault="00C95687" w:rsidP="00C95687">
      <w:pPr>
        <w:numPr>
          <w:ilvl w:val="0"/>
          <w:numId w:val="37"/>
        </w:numPr>
        <w:spacing w:before="100" w:beforeAutospacing="1" w:after="100" w:afterAutospacing="1"/>
        <w:jc w:val="both"/>
      </w:pPr>
      <w:r w:rsidRPr="00107821">
        <w:t>uvádí, zda se oznámení týká další platby předběžného financování nebo vyplacení zůstatku.</w:t>
      </w:r>
    </w:p>
    <w:p w:rsidR="00C95687" w:rsidRPr="00107821" w:rsidRDefault="00C95687" w:rsidP="00C95687">
      <w:pPr>
        <w:jc w:val="both"/>
      </w:pPr>
      <w:r w:rsidRPr="00107821">
        <w:t>Pokud jde o vyplacení zůstatku, Komise musí rovněž uvést konečnou částku grantu vypočtenou v souladu s článkem II.25 rámcové dohody.</w:t>
      </w:r>
    </w:p>
    <w:p w:rsidR="00C95687" w:rsidRPr="00107821" w:rsidRDefault="00C95687" w:rsidP="00A86081"/>
    <w:p w:rsidR="0020623C" w:rsidRPr="00107821" w:rsidRDefault="0020623C" w:rsidP="00620C90">
      <w:pPr>
        <w:pStyle w:val="Nadpis2"/>
        <w:rPr>
          <w:caps/>
        </w:rPr>
      </w:pPr>
      <w:r w:rsidRPr="00107821">
        <w:rPr>
          <w:caps/>
        </w:rPr>
        <w:lastRenderedPageBreak/>
        <w:t>5.6</w:t>
      </w:r>
      <w:r w:rsidRPr="00107821">
        <w:t xml:space="preserve"> Úroky z prodlení</w:t>
      </w:r>
    </w:p>
    <w:p w:rsidR="0020623C" w:rsidRPr="00107821" w:rsidRDefault="0020623C" w:rsidP="00105FFE">
      <w:pPr>
        <w:spacing w:line="276" w:lineRule="auto"/>
        <w:jc w:val="both"/>
        <w:rPr>
          <w:b/>
          <w:caps/>
        </w:rPr>
      </w:pPr>
    </w:p>
    <w:p w:rsidR="0020623C" w:rsidRPr="00107821" w:rsidRDefault="0020623C" w:rsidP="0020623C">
      <w:pPr>
        <w:spacing w:after="200" w:line="276" w:lineRule="auto"/>
        <w:jc w:val="both"/>
        <w:rPr>
          <w:rFonts w:eastAsia="Calibri"/>
          <w:color w:val="000000"/>
        </w:rPr>
      </w:pPr>
      <w:r w:rsidRPr="00107821">
        <w:t xml:space="preserve">Neprovede-li Komise platbu ve lhůtě stanovené pro platby, má partner nárok na úrok z prodlení vypočítaný podle sazby Evropské centrální banky, kterou tato banka používá pro své hlavní refinanční operace v eurech („referenční sazba“), plus tři a půl bodu. Referenční sazbou je sazba platná v první den měsíce, v němž končí platební lhůta, zveřejněná v řadě C </w:t>
      </w:r>
      <w:r w:rsidRPr="00107821">
        <w:rPr>
          <w:i/>
        </w:rPr>
        <w:t>Úředního věstníku Evropské unie</w:t>
      </w:r>
      <w:r w:rsidRPr="00107821">
        <w:t>.</w:t>
      </w:r>
    </w:p>
    <w:p w:rsidR="0020623C" w:rsidRPr="00107821" w:rsidRDefault="0020623C" w:rsidP="0020623C">
      <w:pPr>
        <w:spacing w:after="200" w:line="276" w:lineRule="auto"/>
        <w:jc w:val="both"/>
        <w:rPr>
          <w:rFonts w:eastAsia="Calibri"/>
        </w:rPr>
      </w:pPr>
      <w:r w:rsidRPr="00107821">
        <w:t>Úroky z prodlení se nevyplatí, je-li partner členským státem Unie (včetně orgánů regionální správy a místní samosprávy a dalších veřejnoprávních subjektů, jež pro účely rámcové dohody a zvláštní dohody jednají jménem členského státu).</w:t>
      </w:r>
    </w:p>
    <w:p w:rsidR="0020623C" w:rsidRPr="00107821" w:rsidRDefault="0020623C" w:rsidP="0020623C">
      <w:pPr>
        <w:spacing w:after="200" w:line="276" w:lineRule="auto"/>
        <w:jc w:val="both"/>
        <w:rPr>
          <w:rFonts w:eastAsia="Calibri"/>
        </w:rPr>
      </w:pPr>
      <w:r w:rsidRPr="00107821">
        <w:t>Pokud Komise pozastaví lhůtu pro platbu podle článku II.24.2 rámcové dohody nebo pozastaví platby podle článku II.24.1 rámcové dohody, nelze je považovat za opožděné platby.</w:t>
      </w:r>
    </w:p>
    <w:p w:rsidR="0020623C" w:rsidRPr="00107821" w:rsidRDefault="0020623C" w:rsidP="0020623C">
      <w:pPr>
        <w:spacing w:after="200" w:line="276" w:lineRule="auto"/>
        <w:jc w:val="both"/>
        <w:rPr>
          <w:rFonts w:eastAsia="Calibri"/>
        </w:rPr>
      </w:pPr>
      <w:r w:rsidRPr="00107821">
        <w:t>Úroky z prodlení se počítají za období ode dne, jenž následuje po dni splatnosti platby, až do dne provedení skutečné platby včetně ve smyslu článku 5.8. Při výpočtu konečné výše grantu ve smyslu článku II.25 rámcové dohody Komise nepřihlíží ke splatnému úroku.</w:t>
      </w:r>
    </w:p>
    <w:p w:rsidR="0020623C" w:rsidRPr="00107821" w:rsidRDefault="0020623C" w:rsidP="0020623C">
      <w:pPr>
        <w:spacing w:after="200" w:line="276" w:lineRule="auto"/>
        <w:jc w:val="both"/>
        <w:rPr>
          <w:rFonts w:eastAsia="Calibri"/>
          <w:color w:val="000000"/>
        </w:rPr>
      </w:pPr>
      <w:r w:rsidRPr="00107821">
        <w:rPr>
          <w:color w:val="000000"/>
        </w:rPr>
        <w:t>Odchylně od prvního pododstavce platí, že činí-li vypočtené úroky 200 EUR nebo jsou nižší, musí být partnerovi vyplaceny pouze na jeho žádost podanou do dvou měsíců od připsání opožděné platby.</w:t>
      </w:r>
    </w:p>
    <w:p w:rsidR="0020623C" w:rsidRPr="00107821" w:rsidRDefault="007A1E4A" w:rsidP="00620C90">
      <w:pPr>
        <w:pStyle w:val="Nadpis2"/>
      </w:pPr>
      <w:r w:rsidRPr="00107821">
        <w:rPr>
          <w:caps/>
        </w:rPr>
        <w:t>5.7</w:t>
      </w:r>
      <w:r w:rsidRPr="00107821">
        <w:t xml:space="preserve"> Měna pro platby</w:t>
      </w:r>
    </w:p>
    <w:p w:rsidR="007A1E4A" w:rsidRPr="00107821" w:rsidRDefault="007A1E4A" w:rsidP="00A86081"/>
    <w:p w:rsidR="007A1E4A" w:rsidRPr="00107821" w:rsidRDefault="007A1E4A" w:rsidP="007A1E4A">
      <w:pPr>
        <w:jc w:val="both"/>
      </w:pPr>
      <w:r w:rsidRPr="00107821">
        <w:t>Komise musí platby provádět v eurech.</w:t>
      </w:r>
    </w:p>
    <w:p w:rsidR="007A1E4A" w:rsidRPr="00107821" w:rsidRDefault="007A1E4A" w:rsidP="00A86081"/>
    <w:p w:rsidR="007A1E4A" w:rsidRPr="00107821" w:rsidRDefault="007A1E4A" w:rsidP="00620C90">
      <w:pPr>
        <w:pStyle w:val="Nadpis2"/>
      </w:pPr>
      <w:r w:rsidRPr="00107821">
        <w:t>5.8 Datum platby</w:t>
      </w:r>
    </w:p>
    <w:p w:rsidR="007A1E4A" w:rsidRPr="00107821" w:rsidRDefault="007A1E4A" w:rsidP="00A86081"/>
    <w:p w:rsidR="007A1E4A" w:rsidRPr="00107821" w:rsidRDefault="007A1E4A" w:rsidP="007A1E4A">
      <w:pPr>
        <w:jc w:val="both"/>
        <w:rPr>
          <w:b/>
        </w:rPr>
      </w:pPr>
      <w:r w:rsidRPr="00107821">
        <w:t>Platby prováděné Komisí jsou považovány za provedené v den, kdy jsou připsány k tíži jejího účtu.</w:t>
      </w:r>
    </w:p>
    <w:p w:rsidR="007A1E4A" w:rsidRPr="00107821" w:rsidRDefault="007A1E4A" w:rsidP="00A86081"/>
    <w:p w:rsidR="007A1E4A" w:rsidRPr="00107821" w:rsidRDefault="007A1E4A" w:rsidP="00620C90">
      <w:pPr>
        <w:pStyle w:val="Nadpis2"/>
      </w:pPr>
      <w:r w:rsidRPr="00107821">
        <w:t>5.9 Náklady na platební převody</w:t>
      </w:r>
    </w:p>
    <w:p w:rsidR="007A1E4A" w:rsidRPr="00107821" w:rsidRDefault="007A1E4A" w:rsidP="00A86081"/>
    <w:p w:rsidR="007A1E4A" w:rsidRPr="00107821" w:rsidRDefault="007A1E4A" w:rsidP="007A1E4A">
      <w:pPr>
        <w:spacing w:after="200" w:line="276" w:lineRule="auto"/>
        <w:jc w:val="both"/>
        <w:rPr>
          <w:rFonts w:eastAsia="Calibri"/>
        </w:rPr>
      </w:pPr>
      <w:r w:rsidRPr="00107821">
        <w:t>Náklady na platební převody ponesou strany dohody takto:</w:t>
      </w:r>
    </w:p>
    <w:p w:rsidR="007A1E4A" w:rsidRPr="00107821" w:rsidRDefault="007A1E4A" w:rsidP="007A1E4A">
      <w:pPr>
        <w:numPr>
          <w:ilvl w:val="0"/>
          <w:numId w:val="38"/>
        </w:numPr>
        <w:spacing w:before="100" w:beforeAutospacing="1" w:after="100" w:afterAutospacing="1" w:line="276" w:lineRule="auto"/>
        <w:jc w:val="both"/>
        <w:rPr>
          <w:rFonts w:eastAsia="Calibri"/>
        </w:rPr>
      </w:pPr>
      <w:r w:rsidRPr="00107821">
        <w:t>Komise ponese náklady na převod účtované její bankou;</w:t>
      </w:r>
    </w:p>
    <w:p w:rsidR="007A1E4A" w:rsidRPr="00107821" w:rsidRDefault="007A1E4A" w:rsidP="007A1E4A">
      <w:pPr>
        <w:numPr>
          <w:ilvl w:val="0"/>
          <w:numId w:val="38"/>
        </w:numPr>
        <w:spacing w:before="100" w:beforeAutospacing="1" w:after="100" w:afterAutospacing="1" w:line="276" w:lineRule="auto"/>
        <w:jc w:val="both"/>
        <w:rPr>
          <w:rFonts w:eastAsia="Calibri"/>
        </w:rPr>
      </w:pPr>
      <w:r w:rsidRPr="00107821">
        <w:t>partner ponese náklady na převod účtované jeho bankou;</w:t>
      </w:r>
    </w:p>
    <w:p w:rsidR="007A1E4A" w:rsidRPr="00107821" w:rsidRDefault="007A1E4A" w:rsidP="007A1E4A">
      <w:pPr>
        <w:numPr>
          <w:ilvl w:val="0"/>
          <w:numId w:val="38"/>
        </w:numPr>
        <w:spacing w:before="100" w:beforeAutospacing="1" w:after="100" w:afterAutospacing="1" w:line="276" w:lineRule="auto"/>
        <w:jc w:val="both"/>
        <w:rPr>
          <w:rFonts w:eastAsia="Calibri"/>
        </w:rPr>
      </w:pPr>
      <w:r w:rsidRPr="00107821">
        <w:t>strana, která zapříčiní opakování určitého převodu, ponese veškeré náklady spojené s opakovanými převody.</w:t>
      </w:r>
    </w:p>
    <w:p w:rsidR="007A1E4A" w:rsidRPr="00107821" w:rsidRDefault="007A1E4A" w:rsidP="00620C90">
      <w:pPr>
        <w:pStyle w:val="Nadpis2"/>
      </w:pPr>
      <w:r w:rsidRPr="00107821">
        <w:lastRenderedPageBreak/>
        <w:t>5.10 Platby ve prospěch partnera</w:t>
      </w:r>
    </w:p>
    <w:p w:rsidR="007A1E4A" w:rsidRPr="00107821" w:rsidRDefault="007A1E4A" w:rsidP="00A86081"/>
    <w:p w:rsidR="007A1E4A" w:rsidRPr="00107821" w:rsidRDefault="007A1E4A" w:rsidP="007A1E4A">
      <w:pPr>
        <w:spacing w:after="200" w:line="276" w:lineRule="auto"/>
        <w:jc w:val="both"/>
        <w:rPr>
          <w:rFonts w:eastAsia="Calibri"/>
        </w:rPr>
      </w:pPr>
      <w:r w:rsidRPr="00107821">
        <w:t>Komise musí provést platby ve prospěch partnera.</w:t>
      </w:r>
    </w:p>
    <w:p w:rsidR="007A1E4A" w:rsidRPr="00107821" w:rsidRDefault="007A1E4A" w:rsidP="007A1E4A">
      <w:pPr>
        <w:spacing w:after="200" w:line="276" w:lineRule="auto"/>
        <w:jc w:val="both"/>
        <w:rPr>
          <w:rFonts w:eastAsia="Calibri"/>
        </w:rPr>
      </w:pPr>
      <w:r w:rsidRPr="00107821">
        <w:t>Platbou ve prospěch partnera bude splněna platební povinnost Komise.</w:t>
      </w:r>
    </w:p>
    <w:p w:rsidR="00EE7D19" w:rsidRPr="00107821" w:rsidRDefault="00EE7D19" w:rsidP="00A86081">
      <w:pPr>
        <w:pStyle w:val="Nadpis1"/>
        <w:rPr>
          <w:caps/>
        </w:rPr>
      </w:pPr>
    </w:p>
    <w:p w:rsidR="00544FDB" w:rsidRPr="00107821" w:rsidRDefault="007A1E4A" w:rsidP="00A86081">
      <w:pPr>
        <w:pStyle w:val="Nadpis1"/>
        <w:rPr>
          <w:caps/>
        </w:rPr>
      </w:pPr>
      <w:r w:rsidRPr="00107821">
        <w:rPr>
          <w:caps/>
        </w:rPr>
        <w:t xml:space="preserve">ČLÁNEK 6 – BANKOVNÍ SPOJENÍ PRO ÚČELY PLATEB </w:t>
      </w:r>
    </w:p>
    <w:p w:rsidR="00544FDB" w:rsidRPr="00107821" w:rsidRDefault="00544FDB" w:rsidP="00105FFE">
      <w:pPr>
        <w:spacing w:line="276" w:lineRule="auto"/>
        <w:jc w:val="both"/>
        <w:rPr>
          <w:b/>
          <w:caps/>
        </w:rPr>
      </w:pPr>
    </w:p>
    <w:p w:rsidR="00544FDB" w:rsidRPr="00107821" w:rsidRDefault="00544FDB" w:rsidP="00105FFE">
      <w:pPr>
        <w:spacing w:line="276" w:lineRule="auto"/>
        <w:jc w:val="both"/>
      </w:pPr>
      <w:r w:rsidRPr="00107821">
        <w:t>Veškeré platby musí být poukázány na níže uvedený bankovní účet partnera:</w:t>
      </w:r>
    </w:p>
    <w:p w:rsidR="00544FDB" w:rsidRPr="00107821" w:rsidRDefault="00544FDB" w:rsidP="00105FFE">
      <w:pPr>
        <w:spacing w:line="276" w:lineRule="auto"/>
      </w:pPr>
      <w:r w:rsidRPr="00107821">
        <w:tab/>
      </w:r>
    </w:p>
    <w:p w:rsidR="00316267" w:rsidRPr="00E878E7" w:rsidRDefault="00316267" w:rsidP="00316267">
      <w:pPr>
        <w:spacing w:line="276" w:lineRule="auto"/>
      </w:pPr>
      <w:r w:rsidRPr="00690CD9">
        <w:t xml:space="preserve">Název banky: </w:t>
      </w:r>
      <w:r w:rsidRPr="00690CD9">
        <w:rPr>
          <w:noProof/>
        </w:rPr>
        <w:t>Komerční banka, a.s.</w:t>
      </w:r>
      <w:r w:rsidRPr="00690CD9">
        <w:tab/>
      </w:r>
      <w:r w:rsidRPr="00690CD9">
        <w:br/>
        <w:t xml:space="preserve">Adresa pobočky: </w:t>
      </w:r>
      <w:r w:rsidRPr="00690CD9">
        <w:rPr>
          <w:noProof/>
        </w:rPr>
        <w:t>Nám. Osvoboditelů</w:t>
      </w:r>
      <w:r>
        <w:rPr>
          <w:noProof/>
        </w:rPr>
        <w:t xml:space="preserve"> </w:t>
      </w:r>
      <w:r w:rsidRPr="00067710">
        <w:rPr>
          <w:rStyle w:val="Siln"/>
          <w:b w:val="0"/>
        </w:rPr>
        <w:t>798/2</w:t>
      </w:r>
      <w:r w:rsidRPr="00690CD9">
        <w:rPr>
          <w:noProof/>
        </w:rPr>
        <w:t>, 502 16, Hradec Králové</w:t>
      </w:r>
      <w:r w:rsidRPr="00690CD9">
        <w:tab/>
      </w:r>
      <w:r w:rsidRPr="00690CD9">
        <w:br/>
        <w:t xml:space="preserve">Přesný název/jméno majitele účtu: </w:t>
      </w:r>
      <w:r w:rsidRPr="00690CD9">
        <w:rPr>
          <w:noProof/>
        </w:rPr>
        <w:t>Knihovna města Hradce Králové</w:t>
      </w:r>
      <w:r w:rsidRPr="00690CD9">
        <w:tab/>
      </w:r>
      <w:r w:rsidRPr="00690CD9">
        <w:br/>
        <w:t xml:space="preserve">Celé číslo účtu (včetně kódů banky): </w:t>
      </w:r>
      <w:r w:rsidRPr="00690CD9">
        <w:rPr>
          <w:noProof/>
        </w:rPr>
        <w:t>9236511/0100</w:t>
      </w:r>
      <w:r w:rsidRPr="00690CD9">
        <w:tab/>
      </w:r>
      <w:r w:rsidRPr="00690CD9">
        <w:br/>
        <w:t xml:space="preserve">Kód IBAN: </w:t>
      </w:r>
      <w:r w:rsidRPr="00690CD9">
        <w:rPr>
          <w:noProof/>
        </w:rPr>
        <w:t>CZ43</w:t>
      </w:r>
      <w:r>
        <w:rPr>
          <w:noProof/>
        </w:rPr>
        <w:t xml:space="preserve"> </w:t>
      </w:r>
      <w:r w:rsidRPr="00690CD9">
        <w:rPr>
          <w:noProof/>
        </w:rPr>
        <w:t>0100</w:t>
      </w:r>
      <w:r>
        <w:rPr>
          <w:noProof/>
        </w:rPr>
        <w:t xml:space="preserve"> </w:t>
      </w:r>
      <w:r w:rsidRPr="00690CD9">
        <w:rPr>
          <w:noProof/>
        </w:rPr>
        <w:t>0000</w:t>
      </w:r>
      <w:r>
        <w:rPr>
          <w:noProof/>
        </w:rPr>
        <w:t xml:space="preserve"> </w:t>
      </w:r>
      <w:r w:rsidRPr="00690CD9">
        <w:rPr>
          <w:noProof/>
        </w:rPr>
        <w:t>0000</w:t>
      </w:r>
      <w:r>
        <w:rPr>
          <w:noProof/>
        </w:rPr>
        <w:t xml:space="preserve"> </w:t>
      </w:r>
      <w:r w:rsidRPr="00690CD9">
        <w:rPr>
          <w:noProof/>
        </w:rPr>
        <w:t>0923</w:t>
      </w:r>
      <w:r>
        <w:rPr>
          <w:noProof/>
        </w:rPr>
        <w:t xml:space="preserve"> </w:t>
      </w:r>
      <w:r w:rsidRPr="00690CD9">
        <w:rPr>
          <w:noProof/>
        </w:rPr>
        <w:t>6511</w:t>
      </w:r>
    </w:p>
    <w:p w:rsidR="00544FDB" w:rsidRPr="00107821" w:rsidRDefault="00544FDB">
      <w:pPr>
        <w:ind w:left="567" w:hanging="567"/>
        <w:rPr>
          <w:b/>
          <w:bCs/>
          <w:i/>
          <w:iCs/>
          <w:u w:val="single"/>
        </w:rPr>
      </w:pPr>
    </w:p>
    <w:p w:rsidR="00074369" w:rsidRPr="00107821" w:rsidRDefault="00074369" w:rsidP="001114BB">
      <w:pPr>
        <w:pStyle w:val="Nadpis1"/>
        <w:rPr>
          <w:rFonts w:eastAsia="Calibri"/>
          <w:b w:val="0"/>
          <w:i/>
          <w:color w:val="4F81BD"/>
          <w:szCs w:val="22"/>
        </w:rPr>
      </w:pPr>
      <w:r w:rsidRPr="00107821">
        <w:t xml:space="preserve">ČLÁNEK 7 – ÚDAJE PRO KOMUNIKACI </w:t>
      </w:r>
    </w:p>
    <w:p w:rsidR="00074369" w:rsidRPr="00107821" w:rsidRDefault="00074369" w:rsidP="000D0389">
      <w:pPr>
        <w:pStyle w:val="Nadpis2"/>
      </w:pPr>
      <w:r w:rsidRPr="00107821">
        <w:t>7.1 Údaje pro komunikaci – Komise</w:t>
      </w:r>
    </w:p>
    <w:p w:rsidR="00074369" w:rsidRPr="00107821" w:rsidRDefault="00074369" w:rsidP="00074369">
      <w:pPr>
        <w:ind w:left="567" w:hanging="567"/>
        <w:jc w:val="both"/>
        <w:rPr>
          <w:i/>
          <w:iCs/>
        </w:rPr>
      </w:pPr>
    </w:p>
    <w:p w:rsidR="00074369" w:rsidRPr="00107821" w:rsidRDefault="00074369" w:rsidP="00074369">
      <w:pPr>
        <w:spacing w:after="200" w:line="276" w:lineRule="auto"/>
        <w:jc w:val="both"/>
        <w:rPr>
          <w:rFonts w:eastAsia="Calibri"/>
          <w:i/>
          <w:szCs w:val="22"/>
        </w:rPr>
      </w:pPr>
      <w:r w:rsidRPr="00107821">
        <w:t>Veškerá sdělení určená Komisi musí být zaslána na tuto adresu:</w:t>
      </w:r>
    </w:p>
    <w:p w:rsidR="00074369" w:rsidRPr="009A35AE" w:rsidRDefault="00F105D6" w:rsidP="008B7C05">
      <w:pPr>
        <w:spacing w:after="120" w:line="276" w:lineRule="auto"/>
        <w:ind w:left="720"/>
        <w:jc w:val="both"/>
        <w:rPr>
          <w:rFonts w:eastAsia="Calibri"/>
          <w:b/>
          <w:szCs w:val="22"/>
        </w:rPr>
      </w:pPr>
      <w:r w:rsidRPr="009A35AE">
        <w:rPr>
          <w:b/>
        </w:rPr>
        <w:t xml:space="preserve">Zastoupení Evropské komise v </w:t>
      </w:r>
      <w:r w:rsidR="00EB14AD" w:rsidRPr="009A35AE">
        <w:rPr>
          <w:b/>
        </w:rPr>
        <w:t>České republice</w:t>
      </w:r>
    </w:p>
    <w:p w:rsidR="00074369" w:rsidRPr="00107821" w:rsidRDefault="00EB14AD" w:rsidP="008B7C05">
      <w:pPr>
        <w:spacing w:after="120" w:line="276" w:lineRule="auto"/>
        <w:ind w:left="720"/>
        <w:jc w:val="both"/>
        <w:rPr>
          <w:rFonts w:eastAsia="Calibri"/>
          <w:szCs w:val="22"/>
        </w:rPr>
      </w:pPr>
      <w:r w:rsidRPr="00107821">
        <w:t>Jungmannova 24, Praha 1, 111 21</w:t>
      </w:r>
    </w:p>
    <w:p w:rsidR="00074369" w:rsidRPr="00107821" w:rsidRDefault="00074369" w:rsidP="008B7C05">
      <w:pPr>
        <w:spacing w:after="120" w:line="276" w:lineRule="auto"/>
        <w:ind w:left="720"/>
        <w:jc w:val="both"/>
        <w:rPr>
          <w:rFonts w:eastAsia="Calibri"/>
          <w:color w:val="000000"/>
          <w:szCs w:val="22"/>
        </w:rPr>
      </w:pPr>
      <w:r w:rsidRPr="00107821">
        <w:rPr>
          <w:color w:val="000000"/>
        </w:rPr>
        <w:t xml:space="preserve">E-mail: </w:t>
      </w:r>
      <w:r w:rsidR="009A35AE" w:rsidRPr="00E5081F">
        <w:t>comm-rep-cz@ec.europa.eu</w:t>
      </w:r>
    </w:p>
    <w:p w:rsidR="00074369" w:rsidRPr="00107821" w:rsidRDefault="00074369" w:rsidP="000D0389">
      <w:pPr>
        <w:pStyle w:val="Nadpis2"/>
      </w:pPr>
      <w:r w:rsidRPr="00107821">
        <w:t>7.2 Údaje pro komunikaci – partner</w:t>
      </w:r>
    </w:p>
    <w:p w:rsidR="00074369" w:rsidRPr="00107821" w:rsidRDefault="00074369" w:rsidP="00074369">
      <w:pPr>
        <w:ind w:left="567" w:hanging="567"/>
        <w:jc w:val="both"/>
        <w:rPr>
          <w:i/>
          <w:iCs/>
        </w:rPr>
      </w:pPr>
    </w:p>
    <w:p w:rsidR="00074369" w:rsidRPr="00107821" w:rsidRDefault="00074369" w:rsidP="00074369">
      <w:pPr>
        <w:spacing w:after="200" w:line="276" w:lineRule="auto"/>
        <w:jc w:val="both"/>
        <w:rPr>
          <w:rFonts w:eastAsia="Calibri"/>
          <w:szCs w:val="22"/>
        </w:rPr>
      </w:pPr>
      <w:r w:rsidRPr="00107821">
        <w:t>Veškerá sdělení Komise určená partnerovi musí být zaslána na tuto adresu:</w:t>
      </w:r>
    </w:p>
    <w:p w:rsidR="00316267" w:rsidRDefault="00316267" w:rsidP="00316267">
      <w:pPr>
        <w:spacing w:line="360" w:lineRule="auto"/>
        <w:ind w:left="720"/>
      </w:pPr>
      <w:r w:rsidRPr="00CA10BC">
        <w:rPr>
          <w:noProof/>
        </w:rPr>
        <w:t>Mgr. Barbora Čižinská</w:t>
      </w:r>
    </w:p>
    <w:p w:rsidR="00316267" w:rsidRPr="00CA10BC" w:rsidRDefault="00316267" w:rsidP="00316267">
      <w:pPr>
        <w:spacing w:line="360" w:lineRule="auto"/>
        <w:ind w:left="720"/>
      </w:pPr>
      <w:r>
        <w:t>ř</w:t>
      </w:r>
      <w:r w:rsidRPr="00CA10BC">
        <w:t>editelka</w:t>
      </w:r>
      <w:r>
        <w:t xml:space="preserve"> </w:t>
      </w:r>
      <w:r w:rsidRPr="005B5DA6">
        <w:t>K</w:t>
      </w:r>
      <w:r w:rsidRPr="005B5DA6">
        <w:rPr>
          <w:noProof/>
        </w:rPr>
        <w:t>nihovny města Hradce Králové</w:t>
      </w:r>
      <w:r w:rsidRPr="005B5DA6">
        <w:t xml:space="preserve">, </w:t>
      </w:r>
      <w:r w:rsidRPr="005B5DA6">
        <w:rPr>
          <w:noProof/>
        </w:rPr>
        <w:t>KMHK</w:t>
      </w:r>
    </w:p>
    <w:p w:rsidR="00316267" w:rsidRDefault="00316267" w:rsidP="00316267">
      <w:pPr>
        <w:spacing w:line="360" w:lineRule="auto"/>
        <w:ind w:left="720"/>
        <w:rPr>
          <w:noProof/>
        </w:rPr>
      </w:pPr>
      <w:r>
        <w:rPr>
          <w:noProof/>
        </w:rPr>
        <w:t>Wonkova ulice 1262/1a</w:t>
      </w:r>
    </w:p>
    <w:p w:rsidR="00316267" w:rsidRPr="00CA10BC" w:rsidRDefault="00316267" w:rsidP="00316267">
      <w:pPr>
        <w:spacing w:line="360" w:lineRule="auto"/>
        <w:ind w:left="720"/>
      </w:pPr>
      <w:r w:rsidRPr="00CA10BC">
        <w:rPr>
          <w:noProof/>
        </w:rPr>
        <w:t>500 02 Hradec Králové</w:t>
      </w:r>
    </w:p>
    <w:p w:rsidR="00316267" w:rsidRDefault="00316267" w:rsidP="00316267">
      <w:pPr>
        <w:spacing w:line="360" w:lineRule="auto"/>
        <w:ind w:left="720"/>
        <w:rPr>
          <w:szCs w:val="20"/>
          <w:lang w:eastAsia="ko-KR" w:bidi="ar-SA"/>
        </w:rPr>
      </w:pPr>
      <w:r w:rsidRPr="005B5DA6">
        <w:rPr>
          <w:szCs w:val="20"/>
          <w:lang w:eastAsia="ko-KR" w:bidi="ar-SA"/>
        </w:rPr>
        <w:t xml:space="preserve">E-mail: </w:t>
      </w:r>
      <w:r>
        <w:rPr>
          <w:szCs w:val="20"/>
          <w:lang w:eastAsia="ko-KR" w:bidi="ar-SA"/>
        </w:rPr>
        <w:t>cizinska@knihovna.cz</w:t>
      </w:r>
    </w:p>
    <w:p w:rsidR="001E5330" w:rsidRPr="00107821" w:rsidRDefault="001E5330" w:rsidP="001E5330">
      <w:pPr>
        <w:keepNext/>
        <w:spacing w:before="100" w:beforeAutospacing="1" w:after="120"/>
        <w:jc w:val="both"/>
        <w:outlineLvl w:val="0"/>
        <w:rPr>
          <w:rFonts w:ascii="Times New Roman Bold" w:hAnsi="Times New Roman Bold"/>
          <w:b/>
          <w:bCs/>
          <w:iCs/>
          <w:caps/>
          <w:kern w:val="32"/>
          <w:szCs w:val="32"/>
        </w:rPr>
      </w:pPr>
      <w:r w:rsidRPr="00107821">
        <w:rPr>
          <w:rFonts w:ascii="Times New Roman Bold" w:hAnsi="Times New Roman Bold"/>
          <w:b/>
          <w:caps/>
          <w:kern w:val="32"/>
        </w:rPr>
        <w:t>Článek XX – Doplňující ustanovení o využívání výsledků (včetně práv duševního a průmyslového vlastnictví)</w:t>
      </w:r>
    </w:p>
    <w:p w:rsidR="001E5330" w:rsidRPr="00107821" w:rsidRDefault="001E5330" w:rsidP="001E5330">
      <w:pPr>
        <w:spacing w:before="100" w:beforeAutospacing="1" w:after="120"/>
        <w:jc w:val="both"/>
      </w:pPr>
      <w:r w:rsidRPr="00107821">
        <w:t xml:space="preserve">V souladu s článkem II.9.3 rámcové dohody, na jehož základě Unie nabývá práva k využívání výsledků akce, může Unie těchto výsledků využít mimo jiné v některé z těchto oblastí:  </w:t>
      </w:r>
    </w:p>
    <w:p w:rsidR="001E5330" w:rsidRPr="00107821" w:rsidRDefault="001E5330" w:rsidP="001E5330">
      <w:pPr>
        <w:numPr>
          <w:ilvl w:val="0"/>
          <w:numId w:val="39"/>
        </w:numPr>
        <w:spacing w:before="100" w:beforeAutospacing="1" w:after="120"/>
        <w:jc w:val="both"/>
      </w:pPr>
      <w:r w:rsidRPr="00107821">
        <w:t>veřejná distribuce v tištěné podobě, v elektronickém nebo digitálním formátu, na internetu včetně sociálních sítí a ve formě stahovatelných nebo nestahovatelných souborů;</w:t>
      </w:r>
    </w:p>
    <w:p w:rsidR="001E5330" w:rsidRPr="00107821" w:rsidRDefault="001E5330" w:rsidP="001E5330">
      <w:pPr>
        <w:numPr>
          <w:ilvl w:val="0"/>
          <w:numId w:val="39"/>
        </w:numPr>
        <w:shd w:val="clear" w:color="auto" w:fill="FFFFFF" w:themeFill="background1"/>
        <w:spacing w:before="100" w:beforeAutospacing="1" w:after="120"/>
        <w:jc w:val="both"/>
      </w:pPr>
      <w:r w:rsidRPr="00107821">
        <w:t xml:space="preserve">sdělování prostřednictvím tiskových informačních služeb; </w:t>
      </w:r>
    </w:p>
    <w:p w:rsidR="001E5330" w:rsidRPr="00107821" w:rsidRDefault="001E5330" w:rsidP="001E5330">
      <w:pPr>
        <w:numPr>
          <w:ilvl w:val="0"/>
          <w:numId w:val="39"/>
        </w:numPr>
        <w:shd w:val="clear" w:color="auto" w:fill="FFFFFF" w:themeFill="background1"/>
        <w:spacing w:before="100" w:beforeAutospacing="1" w:after="120"/>
        <w:jc w:val="both"/>
      </w:pPr>
      <w:r w:rsidRPr="00107821">
        <w:t xml:space="preserve">zahrnutí do široce přístupných databází nebo indexů, například prostřednictvím otevřeného přístupu („open access“) nebo portálů veřejně přístupných dat („open data“) nebo podobných úložišť, ať už bezplatně přístupných, nebo přístupných pouze předplatitelům; </w:t>
      </w:r>
    </w:p>
    <w:p w:rsidR="001E5330" w:rsidRPr="00107821" w:rsidRDefault="001E5330" w:rsidP="001E5330">
      <w:pPr>
        <w:numPr>
          <w:ilvl w:val="0"/>
          <w:numId w:val="39"/>
        </w:numPr>
        <w:spacing w:before="100" w:beforeAutospacing="1" w:after="120"/>
        <w:jc w:val="both"/>
      </w:pPr>
      <w:r w:rsidRPr="00107821">
        <w:t>editování výsledků akce, včetně krácení, shrnutí, úpravy obsahu, opravy technických chyb v obsahu;</w:t>
      </w:r>
    </w:p>
    <w:p w:rsidR="001E5330" w:rsidRPr="00107821" w:rsidRDefault="001E5330" w:rsidP="001E5330">
      <w:pPr>
        <w:numPr>
          <w:ilvl w:val="0"/>
          <w:numId w:val="39"/>
        </w:numPr>
        <w:spacing w:before="100" w:beforeAutospacing="1" w:after="120"/>
        <w:jc w:val="both"/>
      </w:pPr>
      <w:r w:rsidRPr="00107821">
        <w:t>vystřihávání pasáží, vkládání metadat, grafických prvků, vizuálních, zvukových či slovních prvků do výsledků akce;</w:t>
      </w:r>
    </w:p>
    <w:p w:rsidR="001E5330" w:rsidRPr="00107821" w:rsidRDefault="001E5330" w:rsidP="001E5330">
      <w:pPr>
        <w:numPr>
          <w:ilvl w:val="0"/>
          <w:numId w:val="39"/>
        </w:numPr>
        <w:spacing w:before="100" w:beforeAutospacing="1" w:after="120"/>
        <w:jc w:val="both"/>
      </w:pPr>
      <w:r w:rsidRPr="00107821">
        <w:t>pořizování výtahů z výsledků akce (např. v podobě audio- či videozáznamů), rozdělování výsledků na části nebo jejich kompilace;</w:t>
      </w:r>
    </w:p>
    <w:p w:rsidR="001E5330" w:rsidRPr="00107821" w:rsidRDefault="001E5330" w:rsidP="001E5330">
      <w:pPr>
        <w:numPr>
          <w:ilvl w:val="0"/>
          <w:numId w:val="39"/>
        </w:numPr>
        <w:spacing w:before="100" w:beforeAutospacing="1" w:after="120"/>
        <w:jc w:val="both"/>
      </w:pPr>
      <w:r w:rsidRPr="00107821">
        <w:t>překlad, otitulkování, dabování výsledků akce do všech úředních jazyků EU;</w:t>
      </w:r>
    </w:p>
    <w:p w:rsidR="001E5330" w:rsidRPr="00107821" w:rsidRDefault="001E5330" w:rsidP="001E5330">
      <w:pPr>
        <w:numPr>
          <w:ilvl w:val="0"/>
          <w:numId w:val="39"/>
        </w:numPr>
        <w:spacing w:after="120"/>
        <w:jc w:val="both"/>
      </w:pPr>
      <w:r w:rsidRPr="00107821">
        <w:t xml:space="preserve"> udělení licencí nebo sublicencí jiným příjemcům grantu sítě informačních středisek Europe Direct v rámci programu na období 2018–202</w:t>
      </w:r>
      <w:r w:rsidR="00082B5F">
        <w:t>0</w:t>
      </w:r>
      <w:r w:rsidRPr="00107821">
        <w:t xml:space="preserve">, rovněž pokud se licence vztahují na dříve založená práva a jakákoli práva nebo oblasti využití uvedené v čl. II.9.3 písm. b) až g) rámcové dohody a v písmenech a) až g) výše. </w:t>
      </w:r>
    </w:p>
    <w:p w:rsidR="001E5330" w:rsidRPr="00107821" w:rsidRDefault="001E5330" w:rsidP="001E5330">
      <w:pPr>
        <w:spacing w:before="100" w:beforeAutospacing="1" w:after="120"/>
        <w:jc w:val="both"/>
      </w:pPr>
      <w:r w:rsidRPr="00107821">
        <w:t>Partneři musí zajistit, aby Unie disponovala užívacími právy uvedenými v článku II.9.3 rámcové dohody a v písmenech a) až h) výše, a to po celou dobu trvání příslušných práv duševního a průmyslového vlastnictví.</w:t>
      </w:r>
    </w:p>
    <w:p w:rsidR="00544FDB" w:rsidRPr="00107821" w:rsidRDefault="00544FDB">
      <w:pPr>
        <w:ind w:left="5812" w:hanging="5812"/>
        <w:rPr>
          <w:b/>
          <w:bCs/>
          <w:iCs/>
          <w:u w:val="single"/>
        </w:rPr>
      </w:pPr>
    </w:p>
    <w:p w:rsidR="00544FDB" w:rsidRPr="00107821" w:rsidRDefault="00544FDB">
      <w:pPr>
        <w:ind w:left="5812" w:hanging="5812"/>
        <w:rPr>
          <w:sz w:val="22"/>
          <w:szCs w:val="22"/>
        </w:rPr>
      </w:pPr>
      <w:r w:rsidRPr="00107821">
        <w:rPr>
          <w:sz w:val="22"/>
        </w:rPr>
        <w:t>PODPISY</w:t>
      </w:r>
    </w:p>
    <w:p w:rsidR="00544FDB" w:rsidRPr="00107821" w:rsidRDefault="00544FDB">
      <w:pPr>
        <w:ind w:left="5812" w:hanging="5812"/>
        <w:rPr>
          <w:sz w:val="22"/>
          <w:szCs w:val="22"/>
        </w:rPr>
      </w:pPr>
    </w:p>
    <w:p w:rsidR="00544FDB" w:rsidRPr="00107821" w:rsidRDefault="00544FDB" w:rsidP="007769AD">
      <w:pPr>
        <w:tabs>
          <w:tab w:val="left" w:pos="5940"/>
        </w:tabs>
        <w:rPr>
          <w:sz w:val="22"/>
          <w:szCs w:val="22"/>
        </w:rPr>
      </w:pPr>
      <w:r w:rsidRPr="00107821">
        <w:rPr>
          <w:sz w:val="22"/>
        </w:rPr>
        <w:t>Za partnera</w:t>
      </w:r>
      <w:r w:rsidR="00082B5F">
        <w:t xml:space="preserve">                                                                 </w:t>
      </w:r>
      <w:r w:rsidRPr="00107821">
        <w:rPr>
          <w:sz w:val="22"/>
        </w:rPr>
        <w:t>Za Komisi</w:t>
      </w:r>
    </w:p>
    <w:p w:rsidR="00544FDB" w:rsidRPr="00107821" w:rsidRDefault="00544FDB" w:rsidP="007769AD">
      <w:pPr>
        <w:tabs>
          <w:tab w:val="left" w:pos="5940"/>
        </w:tabs>
        <w:rPr>
          <w:sz w:val="22"/>
          <w:szCs w:val="22"/>
        </w:rPr>
      </w:pPr>
    </w:p>
    <w:p w:rsidR="009A35AE" w:rsidRPr="00114D71" w:rsidRDefault="00A91295" w:rsidP="009A35AE">
      <w:pPr>
        <w:spacing w:after="240"/>
      </w:pPr>
      <w:r w:rsidRPr="00CA10BC">
        <w:rPr>
          <w:noProof/>
        </w:rPr>
        <w:t>Mgr. Barbora Čižinská</w:t>
      </w:r>
      <w:r w:rsidR="009A35AE" w:rsidRPr="00114D71">
        <w:tab/>
      </w:r>
      <w:r w:rsidR="009A35AE">
        <w:t xml:space="preserve">                       </w:t>
      </w:r>
      <w:r w:rsidR="009A35AE">
        <w:tab/>
        <w:t xml:space="preserve">          Dana Kovaříková</w:t>
      </w:r>
    </w:p>
    <w:p w:rsidR="009A35AE" w:rsidRDefault="009A35AE" w:rsidP="009A35AE">
      <w:pPr>
        <w:spacing w:after="240"/>
      </w:pPr>
      <w:r w:rsidRPr="00A91295">
        <w:t xml:space="preserve">ředitelka Knihovny </w:t>
      </w:r>
      <w:r w:rsidR="00A91295">
        <w:t>města Hradce Králové</w:t>
      </w:r>
      <w:r>
        <w:tab/>
        <w:t xml:space="preserve">          vedoucí Zastoupení Evropské </w:t>
      </w:r>
      <w:r w:rsidR="00082B5F">
        <w:t>komise</w:t>
      </w:r>
    </w:p>
    <w:p w:rsidR="009A35AE" w:rsidRDefault="009A35AE" w:rsidP="009A35AE">
      <w:pPr>
        <w:spacing w:after="240"/>
      </w:pPr>
    </w:p>
    <w:p w:rsidR="009A35AE" w:rsidRPr="00C27122" w:rsidRDefault="009A35AE" w:rsidP="009A35AE">
      <w:pPr>
        <w:spacing w:after="240"/>
        <w:rPr>
          <w:szCs w:val="20"/>
        </w:rPr>
      </w:pPr>
    </w:p>
    <w:p w:rsidR="00544FDB" w:rsidRPr="00107821" w:rsidRDefault="00544FDB" w:rsidP="007769AD">
      <w:pPr>
        <w:tabs>
          <w:tab w:val="left" w:pos="5940"/>
        </w:tabs>
        <w:rPr>
          <w:sz w:val="22"/>
          <w:szCs w:val="22"/>
        </w:rPr>
      </w:pPr>
    </w:p>
    <w:p w:rsidR="009A35AE" w:rsidRDefault="009A35AE" w:rsidP="009A35AE">
      <w:pPr>
        <w:tabs>
          <w:tab w:val="left" w:pos="5940"/>
        </w:tabs>
        <w:rPr>
          <w:sz w:val="22"/>
        </w:rPr>
      </w:pPr>
      <w:r>
        <w:rPr>
          <w:sz w:val="22"/>
        </w:rPr>
        <w:t>V</w:t>
      </w:r>
      <w:r w:rsidR="00140CE0">
        <w:rPr>
          <w:sz w:val="22"/>
        </w:rPr>
        <w:t xml:space="preserve"> ………………….</w:t>
      </w:r>
      <w:r>
        <w:rPr>
          <w:sz w:val="22"/>
        </w:rPr>
        <w:t xml:space="preserve">, </w:t>
      </w:r>
      <w:r w:rsidR="00544FDB" w:rsidRPr="00107821">
        <w:rPr>
          <w:sz w:val="22"/>
        </w:rPr>
        <w:t>dne</w:t>
      </w:r>
      <w:r w:rsidR="00544FDB" w:rsidRPr="00107821">
        <w:tab/>
      </w:r>
      <w:r>
        <w:rPr>
          <w:sz w:val="22"/>
        </w:rPr>
        <w:t>V Praze</w:t>
      </w:r>
      <w:r w:rsidR="00544FDB" w:rsidRPr="00107821">
        <w:rPr>
          <w:sz w:val="22"/>
        </w:rPr>
        <w:t>, dne</w:t>
      </w:r>
    </w:p>
    <w:p w:rsidR="009A35AE" w:rsidRDefault="009A35AE" w:rsidP="009A35AE">
      <w:pPr>
        <w:tabs>
          <w:tab w:val="left" w:pos="5940"/>
        </w:tabs>
        <w:rPr>
          <w:sz w:val="22"/>
        </w:rPr>
      </w:pPr>
    </w:p>
    <w:p w:rsidR="00544FDB" w:rsidRPr="00C66475" w:rsidRDefault="00544FDB" w:rsidP="009A35AE">
      <w:pPr>
        <w:tabs>
          <w:tab w:val="left" w:pos="5940"/>
        </w:tabs>
        <w:rPr>
          <w:sz w:val="22"/>
          <w:szCs w:val="22"/>
        </w:rPr>
      </w:pPr>
      <w:r w:rsidRPr="00107821">
        <w:rPr>
          <w:sz w:val="22"/>
        </w:rPr>
        <w:t>Ve dvojím vyhotovení v češtině</w:t>
      </w:r>
    </w:p>
    <w:sectPr w:rsidR="00544FDB" w:rsidRPr="00C66475" w:rsidSect="001C1FC3">
      <w:headerReference w:type="default" r:id="rId17"/>
      <w:footerReference w:type="even" r:id="rId18"/>
      <w:footerReference w:type="default" r:id="rId19"/>
      <w:headerReference w:type="first" r:id="rId20"/>
      <w:footerReference w:type="first" r:id="rId21"/>
      <w:pgSz w:w="12240" w:h="15840"/>
      <w:pgMar w:top="1418" w:right="1260"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F9" w:rsidRDefault="00B71EF9">
      <w:r>
        <w:separator/>
      </w:r>
    </w:p>
  </w:endnote>
  <w:endnote w:type="continuationSeparator" w:id="0">
    <w:p w:rsidR="00B71EF9" w:rsidRDefault="00B71EF9">
      <w:r>
        <w:continuationSeparator/>
      </w:r>
    </w:p>
  </w:endnote>
  <w:endnote w:type="continuationNotice" w:id="1">
    <w:p w:rsidR="00B71EF9" w:rsidRDefault="00B71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F9" w:rsidRDefault="00B71EF9" w:rsidP="004D2E4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71EF9" w:rsidRDefault="00B71E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F9" w:rsidRPr="001917C6" w:rsidRDefault="00B71EF9" w:rsidP="004D2E4A">
    <w:pPr>
      <w:pStyle w:val="Zpat"/>
      <w:framePr w:wrap="around" w:vAnchor="text" w:hAnchor="margin" w:xAlign="center" w:y="1"/>
      <w:rPr>
        <w:rStyle w:val="slostrnky"/>
        <w:rFonts w:ascii="Arial" w:hAnsi="Arial" w:cs="Arial"/>
        <w:sz w:val="16"/>
        <w:szCs w:val="16"/>
      </w:rPr>
    </w:pPr>
    <w:r w:rsidRPr="001917C6">
      <w:rPr>
        <w:rStyle w:val="slostrnky"/>
        <w:rFonts w:ascii="Arial" w:hAnsi="Arial" w:cs="Arial"/>
        <w:sz w:val="16"/>
        <w:szCs w:val="16"/>
      </w:rPr>
      <w:fldChar w:fldCharType="begin"/>
    </w:r>
    <w:r w:rsidRPr="001917C6">
      <w:rPr>
        <w:rStyle w:val="slostrnky"/>
        <w:rFonts w:ascii="Arial" w:hAnsi="Arial" w:cs="Arial"/>
        <w:sz w:val="16"/>
        <w:szCs w:val="16"/>
      </w:rPr>
      <w:instrText xml:space="preserve">PAGE  </w:instrText>
    </w:r>
    <w:r w:rsidRPr="001917C6">
      <w:rPr>
        <w:rStyle w:val="slostrnky"/>
        <w:rFonts w:ascii="Arial" w:hAnsi="Arial" w:cs="Arial"/>
        <w:sz w:val="16"/>
        <w:szCs w:val="16"/>
      </w:rPr>
      <w:fldChar w:fldCharType="separate"/>
    </w:r>
    <w:r w:rsidR="00492844">
      <w:rPr>
        <w:rStyle w:val="slostrnky"/>
        <w:rFonts w:ascii="Arial" w:hAnsi="Arial" w:cs="Arial"/>
        <w:noProof/>
        <w:sz w:val="16"/>
        <w:szCs w:val="16"/>
      </w:rPr>
      <w:t>2</w:t>
    </w:r>
    <w:r w:rsidRPr="001917C6">
      <w:rPr>
        <w:rStyle w:val="slostrnky"/>
        <w:rFonts w:ascii="Arial" w:hAnsi="Arial" w:cs="Arial"/>
        <w:sz w:val="16"/>
        <w:szCs w:val="16"/>
      </w:rPr>
      <w:fldChar w:fldCharType="end"/>
    </w:r>
  </w:p>
  <w:p w:rsidR="00B71EF9" w:rsidRDefault="00B71E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F9" w:rsidRPr="001917C6" w:rsidRDefault="00B71EF9" w:rsidP="001917C6">
    <w:pPr>
      <w:pStyle w:val="Zpat"/>
      <w:jc w:val="center"/>
      <w:rPr>
        <w:rFonts w:ascii="Arial" w:hAnsi="Arial" w:cs="Arial"/>
        <w:sz w:val="16"/>
        <w:szCs w:val="16"/>
      </w:rPr>
    </w:pPr>
    <w:r>
      <w:rPr>
        <w:rFonts w:ascii="Arial" w:hAnsi="Arial"/>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F9" w:rsidRDefault="00B71EF9">
      <w:r>
        <w:separator/>
      </w:r>
    </w:p>
  </w:footnote>
  <w:footnote w:type="continuationSeparator" w:id="0">
    <w:p w:rsidR="00B71EF9" w:rsidRDefault="00B71EF9">
      <w:r>
        <w:continuationSeparator/>
      </w:r>
    </w:p>
  </w:footnote>
  <w:footnote w:type="continuationNotice" w:id="1">
    <w:p w:rsidR="00B71EF9" w:rsidRDefault="00B71E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F9" w:rsidRPr="001917C6" w:rsidRDefault="00B71EF9" w:rsidP="00CE24AE">
    <w:pPr>
      <w:pStyle w:val="Zhlav"/>
      <w:jc w:val="right"/>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F9" w:rsidRPr="004D3DBF" w:rsidRDefault="00082B5F" w:rsidP="004D3DBF">
    <w:pPr>
      <w:tabs>
        <w:tab w:val="center" w:pos="4513"/>
        <w:tab w:val="right" w:pos="9026"/>
      </w:tabs>
      <w:spacing w:after="200" w:line="276" w:lineRule="auto"/>
      <w:rPr>
        <w:rFonts w:ascii="Calibri" w:hAnsi="Calibri"/>
        <w:sz w:val="22"/>
        <w:szCs w:val="22"/>
      </w:rPr>
    </w:pPr>
    <w:r>
      <w:rPr>
        <w:rFonts w:ascii="Calibri" w:hAnsi="Calibri"/>
        <w:sz w:val="18"/>
      </w:rPr>
      <w:t xml:space="preserve">SA/EDIC 2018-2020/CZ/EDIC </w:t>
    </w:r>
    <w:r w:rsidRPr="00E50F60">
      <w:rPr>
        <w:rFonts w:ascii="Calibri" w:hAnsi="Calibri"/>
        <w:sz w:val="18"/>
      </w:rPr>
      <w:t>0</w:t>
    </w:r>
    <w:r w:rsidR="00E50F60">
      <w:rPr>
        <w:rFonts w:ascii="Calibri" w:hAnsi="Calibri"/>
        <w:sz w:val="18"/>
      </w:rPr>
      <w:t>3</w:t>
    </w:r>
    <w:r>
      <w:rPr>
        <w:rFonts w:ascii="Calibri" w:hAnsi="Calibri"/>
        <w:sz w:val="18"/>
      </w:rPr>
      <w:t>/2018</w:t>
    </w:r>
    <w:r w:rsidR="00B71EF9">
      <w:tab/>
    </w:r>
    <w:r w:rsidR="00B71EF9">
      <w:tab/>
    </w:r>
  </w:p>
  <w:p w:rsidR="00B71EF9" w:rsidRPr="00411F2F" w:rsidRDefault="00B71EF9" w:rsidP="00E92C91">
    <w:pPr>
      <w:pStyle w:val="Zhlav"/>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4C6A4"/>
    <w:lvl w:ilvl="0">
      <w:start w:val="1"/>
      <w:numFmt w:val="decimal"/>
      <w:lvlText w:val="%1."/>
      <w:lvlJc w:val="left"/>
      <w:pPr>
        <w:tabs>
          <w:tab w:val="num" w:pos="1492"/>
        </w:tabs>
        <w:ind w:left="1492" w:hanging="360"/>
      </w:pPr>
    </w:lvl>
  </w:abstractNum>
  <w:abstractNum w:abstractNumId="1">
    <w:nsid w:val="FFFFFF7D"/>
    <w:multiLevelType w:val="singleLevel"/>
    <w:tmpl w:val="0FF21146"/>
    <w:lvl w:ilvl="0">
      <w:start w:val="1"/>
      <w:numFmt w:val="decimal"/>
      <w:lvlText w:val="%1."/>
      <w:lvlJc w:val="left"/>
      <w:pPr>
        <w:tabs>
          <w:tab w:val="num" w:pos="1209"/>
        </w:tabs>
        <w:ind w:left="1209" w:hanging="360"/>
      </w:pPr>
    </w:lvl>
  </w:abstractNum>
  <w:abstractNum w:abstractNumId="2">
    <w:nsid w:val="FFFFFF7E"/>
    <w:multiLevelType w:val="singleLevel"/>
    <w:tmpl w:val="87C8A1D0"/>
    <w:lvl w:ilvl="0">
      <w:start w:val="1"/>
      <w:numFmt w:val="decimal"/>
      <w:lvlText w:val="%1."/>
      <w:lvlJc w:val="left"/>
      <w:pPr>
        <w:tabs>
          <w:tab w:val="num" w:pos="926"/>
        </w:tabs>
        <w:ind w:left="926" w:hanging="360"/>
      </w:pPr>
    </w:lvl>
  </w:abstractNum>
  <w:abstractNum w:abstractNumId="3">
    <w:nsid w:val="FFFFFF7F"/>
    <w:multiLevelType w:val="singleLevel"/>
    <w:tmpl w:val="3340981A"/>
    <w:lvl w:ilvl="0">
      <w:start w:val="1"/>
      <w:numFmt w:val="decimal"/>
      <w:lvlText w:val="%1."/>
      <w:lvlJc w:val="left"/>
      <w:pPr>
        <w:tabs>
          <w:tab w:val="num" w:pos="643"/>
        </w:tabs>
        <w:ind w:left="643" w:hanging="360"/>
      </w:pPr>
    </w:lvl>
  </w:abstractNum>
  <w:abstractNum w:abstractNumId="4">
    <w:nsid w:val="FFFFFF80"/>
    <w:multiLevelType w:val="singleLevel"/>
    <w:tmpl w:val="C2F026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B2EF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D618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62A0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60A7B4"/>
    <w:lvl w:ilvl="0">
      <w:start w:val="1"/>
      <w:numFmt w:val="decimal"/>
      <w:lvlText w:val="%1."/>
      <w:lvlJc w:val="left"/>
      <w:pPr>
        <w:tabs>
          <w:tab w:val="num" w:pos="360"/>
        </w:tabs>
        <w:ind w:left="360" w:hanging="360"/>
      </w:pPr>
    </w:lvl>
  </w:abstractNum>
  <w:abstractNum w:abstractNumId="9">
    <w:nsid w:val="FFFFFF89"/>
    <w:multiLevelType w:val="singleLevel"/>
    <w:tmpl w:val="8B52369C"/>
    <w:lvl w:ilvl="0">
      <w:start w:val="1"/>
      <w:numFmt w:val="bullet"/>
      <w:lvlText w:val=""/>
      <w:lvlJc w:val="left"/>
      <w:pPr>
        <w:tabs>
          <w:tab w:val="num" w:pos="360"/>
        </w:tabs>
        <w:ind w:left="360" w:hanging="360"/>
      </w:pPr>
      <w:rPr>
        <w:rFonts w:ascii="Symbol" w:hAnsi="Symbol" w:hint="default"/>
      </w:rPr>
    </w:lvl>
  </w:abstractNum>
  <w:abstractNum w:abstractNumId="1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6B75D1B"/>
    <w:multiLevelType w:val="hybridMultilevel"/>
    <w:tmpl w:val="44584BD2"/>
    <w:lvl w:ilvl="0" w:tplc="373208E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0567067"/>
    <w:multiLevelType w:val="hybridMultilevel"/>
    <w:tmpl w:val="CF3225E4"/>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920ED7"/>
    <w:multiLevelType w:val="hybridMultilevel"/>
    <w:tmpl w:val="FDCC2698"/>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4C34250"/>
    <w:multiLevelType w:val="hybridMultilevel"/>
    <w:tmpl w:val="4852BEAE"/>
    <w:lvl w:ilvl="0" w:tplc="85F44E24">
      <w:start w:val="2"/>
      <w:numFmt w:val="bullet"/>
      <w:lvlText w:val="-"/>
      <w:lvlJc w:val="left"/>
      <w:pPr>
        <w:ind w:left="1572" w:hanging="360"/>
      </w:pPr>
      <w:rPr>
        <w:rFonts w:ascii="Calibri" w:eastAsia="Times New Roman" w:hAnsi="Calibri"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8">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BA37D11"/>
    <w:multiLevelType w:val="hybridMultilevel"/>
    <w:tmpl w:val="9F8E82A8"/>
    <w:lvl w:ilvl="0" w:tplc="01905B22">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1">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C815FC"/>
    <w:multiLevelType w:val="hybridMultilevel"/>
    <w:tmpl w:val="CBC28590"/>
    <w:lvl w:ilvl="0" w:tplc="2938D7D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7">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E21EF5"/>
    <w:multiLevelType w:val="hybridMultilevel"/>
    <w:tmpl w:val="A8708010"/>
    <w:lvl w:ilvl="0" w:tplc="2938D7D0">
      <w:start w:val="1"/>
      <w:numFmt w:val="lowerLetter"/>
      <w:lvlText w:val="%1)"/>
      <w:lvlJc w:val="left"/>
      <w:pPr>
        <w:ind w:left="1080" w:hanging="360"/>
      </w:pPr>
      <w:rPr>
        <w:rFonts w:hint="default"/>
        <w:sz w:val="24"/>
        <w:szCs w:val="24"/>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1">
    <w:nsid w:val="47890D55"/>
    <w:multiLevelType w:val="hybridMultilevel"/>
    <w:tmpl w:val="490EFB56"/>
    <w:lvl w:ilvl="0" w:tplc="2938D7D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9226541"/>
    <w:multiLevelType w:val="multilevel"/>
    <w:tmpl w:val="722676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626D2A"/>
    <w:multiLevelType w:val="hybridMultilevel"/>
    <w:tmpl w:val="8B2E011E"/>
    <w:lvl w:ilvl="0" w:tplc="B4989B1A">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39">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DF387F"/>
    <w:multiLevelType w:val="hybridMultilevel"/>
    <w:tmpl w:val="A1269608"/>
    <w:lvl w:ilvl="0" w:tplc="2938D7D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2C5392"/>
    <w:multiLevelType w:val="hybridMultilevel"/>
    <w:tmpl w:val="B7A0E93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2"/>
  </w:num>
  <w:num w:numId="4">
    <w:abstractNumId w:val="17"/>
  </w:num>
  <w:num w:numId="5">
    <w:abstractNumId w:val="20"/>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7"/>
  </w:num>
  <w:num w:numId="18">
    <w:abstractNumId w:val="14"/>
  </w:num>
  <w:num w:numId="19">
    <w:abstractNumId w:val="10"/>
  </w:num>
  <w:num w:numId="20">
    <w:abstractNumId w:val="22"/>
  </w:num>
  <w:num w:numId="21">
    <w:abstractNumId w:val="28"/>
  </w:num>
  <w:num w:numId="22">
    <w:abstractNumId w:val="11"/>
  </w:num>
  <w:num w:numId="23">
    <w:abstractNumId w:val="19"/>
  </w:num>
  <w:num w:numId="24">
    <w:abstractNumId w:val="33"/>
  </w:num>
  <w:num w:numId="25">
    <w:abstractNumId w:val="39"/>
  </w:num>
  <w:num w:numId="26">
    <w:abstractNumId w:val="12"/>
  </w:num>
  <w:num w:numId="27">
    <w:abstractNumId w:val="13"/>
  </w:num>
  <w:num w:numId="28">
    <w:abstractNumId w:val="34"/>
  </w:num>
  <w:num w:numId="29">
    <w:abstractNumId w:val="36"/>
  </w:num>
  <w:num w:numId="30">
    <w:abstractNumId w:val="18"/>
  </w:num>
  <w:num w:numId="31">
    <w:abstractNumId w:val="43"/>
  </w:num>
  <w:num w:numId="32">
    <w:abstractNumId w:val="26"/>
  </w:num>
  <w:num w:numId="33">
    <w:abstractNumId w:val="24"/>
  </w:num>
  <w:num w:numId="34">
    <w:abstractNumId w:val="40"/>
  </w:num>
  <w:num w:numId="35">
    <w:abstractNumId w:val="23"/>
  </w:num>
  <w:num w:numId="36">
    <w:abstractNumId w:val="27"/>
  </w:num>
  <w:num w:numId="37">
    <w:abstractNumId w:val="41"/>
  </w:num>
  <w:num w:numId="38">
    <w:abstractNumId w:val="31"/>
  </w:num>
  <w:num w:numId="39">
    <w:abstractNumId w:val="25"/>
  </w:num>
  <w:num w:numId="40">
    <w:abstractNumId w:val="29"/>
  </w:num>
  <w:num w:numId="41">
    <w:abstractNumId w:val="42"/>
  </w:num>
  <w:num w:numId="42">
    <w:abstractNumId w:val="15"/>
  </w:num>
  <w:num w:numId="43">
    <w:abstractNumId w:val="3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E81A71"/>
    <w:rsid w:val="00000804"/>
    <w:rsid w:val="000071E8"/>
    <w:rsid w:val="00011FBE"/>
    <w:rsid w:val="000233DA"/>
    <w:rsid w:val="00023A3E"/>
    <w:rsid w:val="00024B2B"/>
    <w:rsid w:val="00026985"/>
    <w:rsid w:val="00030B6F"/>
    <w:rsid w:val="0003501A"/>
    <w:rsid w:val="00040F70"/>
    <w:rsid w:val="00041E0C"/>
    <w:rsid w:val="00041F37"/>
    <w:rsid w:val="00043C5D"/>
    <w:rsid w:val="000466CC"/>
    <w:rsid w:val="00046B97"/>
    <w:rsid w:val="000501DD"/>
    <w:rsid w:val="00050248"/>
    <w:rsid w:val="00051705"/>
    <w:rsid w:val="0005257B"/>
    <w:rsid w:val="0005419C"/>
    <w:rsid w:val="00054D5E"/>
    <w:rsid w:val="0005799C"/>
    <w:rsid w:val="00064CBE"/>
    <w:rsid w:val="0006502C"/>
    <w:rsid w:val="000659D9"/>
    <w:rsid w:val="00074369"/>
    <w:rsid w:val="000756D7"/>
    <w:rsid w:val="000768C3"/>
    <w:rsid w:val="000779FE"/>
    <w:rsid w:val="00082451"/>
    <w:rsid w:val="00082B5F"/>
    <w:rsid w:val="00083872"/>
    <w:rsid w:val="00090DBE"/>
    <w:rsid w:val="00092EB0"/>
    <w:rsid w:val="000939BA"/>
    <w:rsid w:val="000A2DED"/>
    <w:rsid w:val="000A30BE"/>
    <w:rsid w:val="000A5497"/>
    <w:rsid w:val="000A717F"/>
    <w:rsid w:val="000A7C52"/>
    <w:rsid w:val="000B2B13"/>
    <w:rsid w:val="000B4361"/>
    <w:rsid w:val="000B45DF"/>
    <w:rsid w:val="000B4967"/>
    <w:rsid w:val="000B6E29"/>
    <w:rsid w:val="000C3972"/>
    <w:rsid w:val="000C6CAC"/>
    <w:rsid w:val="000C7873"/>
    <w:rsid w:val="000D0389"/>
    <w:rsid w:val="000D03F9"/>
    <w:rsid w:val="000D5BFB"/>
    <w:rsid w:val="000D7C2A"/>
    <w:rsid w:val="000E1FFD"/>
    <w:rsid w:val="000E2749"/>
    <w:rsid w:val="000E5B66"/>
    <w:rsid w:val="000F0B66"/>
    <w:rsid w:val="000F42D1"/>
    <w:rsid w:val="000F75DA"/>
    <w:rsid w:val="00100C88"/>
    <w:rsid w:val="00101A47"/>
    <w:rsid w:val="00102C60"/>
    <w:rsid w:val="0010341C"/>
    <w:rsid w:val="00105FFE"/>
    <w:rsid w:val="00107821"/>
    <w:rsid w:val="0011122C"/>
    <w:rsid w:val="001114BB"/>
    <w:rsid w:val="001138A4"/>
    <w:rsid w:val="00113D57"/>
    <w:rsid w:val="00117C00"/>
    <w:rsid w:val="0012311A"/>
    <w:rsid w:val="00131086"/>
    <w:rsid w:val="00133544"/>
    <w:rsid w:val="00133B09"/>
    <w:rsid w:val="00135723"/>
    <w:rsid w:val="00136277"/>
    <w:rsid w:val="00140CE0"/>
    <w:rsid w:val="00143423"/>
    <w:rsid w:val="00144894"/>
    <w:rsid w:val="00147F0C"/>
    <w:rsid w:val="0015296E"/>
    <w:rsid w:val="001564BC"/>
    <w:rsid w:val="00157F04"/>
    <w:rsid w:val="001614AB"/>
    <w:rsid w:val="00163B34"/>
    <w:rsid w:val="0016542E"/>
    <w:rsid w:val="0016607F"/>
    <w:rsid w:val="00171704"/>
    <w:rsid w:val="00173D87"/>
    <w:rsid w:val="00176983"/>
    <w:rsid w:val="00180AE5"/>
    <w:rsid w:val="00180CE1"/>
    <w:rsid w:val="00181659"/>
    <w:rsid w:val="00182A86"/>
    <w:rsid w:val="00183DCA"/>
    <w:rsid w:val="00184CFC"/>
    <w:rsid w:val="001917C6"/>
    <w:rsid w:val="00194400"/>
    <w:rsid w:val="00196729"/>
    <w:rsid w:val="001A4A29"/>
    <w:rsid w:val="001A4B8C"/>
    <w:rsid w:val="001A4F97"/>
    <w:rsid w:val="001B442D"/>
    <w:rsid w:val="001B504A"/>
    <w:rsid w:val="001C0E6D"/>
    <w:rsid w:val="001C1FC3"/>
    <w:rsid w:val="001C478A"/>
    <w:rsid w:val="001C689D"/>
    <w:rsid w:val="001D0A4B"/>
    <w:rsid w:val="001D0DDB"/>
    <w:rsid w:val="001D2308"/>
    <w:rsid w:val="001D26BC"/>
    <w:rsid w:val="001D3E8C"/>
    <w:rsid w:val="001D46D1"/>
    <w:rsid w:val="001D4FBE"/>
    <w:rsid w:val="001D61D0"/>
    <w:rsid w:val="001D689C"/>
    <w:rsid w:val="001E09D7"/>
    <w:rsid w:val="001E2EC3"/>
    <w:rsid w:val="001E5330"/>
    <w:rsid w:val="001E7D9B"/>
    <w:rsid w:val="001F01E9"/>
    <w:rsid w:val="001F2F96"/>
    <w:rsid w:val="001F3765"/>
    <w:rsid w:val="001F384F"/>
    <w:rsid w:val="001F478B"/>
    <w:rsid w:val="001F6B49"/>
    <w:rsid w:val="002000BA"/>
    <w:rsid w:val="00201791"/>
    <w:rsid w:val="002025AD"/>
    <w:rsid w:val="002028B6"/>
    <w:rsid w:val="002033BF"/>
    <w:rsid w:val="00203743"/>
    <w:rsid w:val="002052BF"/>
    <w:rsid w:val="00205E18"/>
    <w:rsid w:val="0020623C"/>
    <w:rsid w:val="00210887"/>
    <w:rsid w:val="00213343"/>
    <w:rsid w:val="0021517F"/>
    <w:rsid w:val="0021735E"/>
    <w:rsid w:val="002175C1"/>
    <w:rsid w:val="00227457"/>
    <w:rsid w:val="002317F6"/>
    <w:rsid w:val="00232822"/>
    <w:rsid w:val="002336CC"/>
    <w:rsid w:val="00233D52"/>
    <w:rsid w:val="00234259"/>
    <w:rsid w:val="002376BA"/>
    <w:rsid w:val="00241A28"/>
    <w:rsid w:val="00241C8F"/>
    <w:rsid w:val="00242651"/>
    <w:rsid w:val="002430EF"/>
    <w:rsid w:val="00243101"/>
    <w:rsid w:val="00245921"/>
    <w:rsid w:val="002469F6"/>
    <w:rsid w:val="00252BEC"/>
    <w:rsid w:val="00254F2A"/>
    <w:rsid w:val="00261DCF"/>
    <w:rsid w:val="00262CE9"/>
    <w:rsid w:val="0026366B"/>
    <w:rsid w:val="002654E7"/>
    <w:rsid w:val="00271596"/>
    <w:rsid w:val="0027683C"/>
    <w:rsid w:val="00277F1C"/>
    <w:rsid w:val="00280AC1"/>
    <w:rsid w:val="00284DC7"/>
    <w:rsid w:val="0028545D"/>
    <w:rsid w:val="0028705D"/>
    <w:rsid w:val="00290AFC"/>
    <w:rsid w:val="0029233E"/>
    <w:rsid w:val="00296AF1"/>
    <w:rsid w:val="002A0C4C"/>
    <w:rsid w:val="002A0C8A"/>
    <w:rsid w:val="002A27F0"/>
    <w:rsid w:val="002A2B0B"/>
    <w:rsid w:val="002A3608"/>
    <w:rsid w:val="002A5E3B"/>
    <w:rsid w:val="002A6BAB"/>
    <w:rsid w:val="002B0688"/>
    <w:rsid w:val="002B7134"/>
    <w:rsid w:val="002C7087"/>
    <w:rsid w:val="002C7887"/>
    <w:rsid w:val="002D70DB"/>
    <w:rsid w:val="002E6123"/>
    <w:rsid w:val="002E68EE"/>
    <w:rsid w:val="002E6FB7"/>
    <w:rsid w:val="002F4B12"/>
    <w:rsid w:val="002F5560"/>
    <w:rsid w:val="002F6E57"/>
    <w:rsid w:val="003075AF"/>
    <w:rsid w:val="00307CA6"/>
    <w:rsid w:val="003116BB"/>
    <w:rsid w:val="00316267"/>
    <w:rsid w:val="00316AFF"/>
    <w:rsid w:val="00316F3F"/>
    <w:rsid w:val="00317EFB"/>
    <w:rsid w:val="00321046"/>
    <w:rsid w:val="003210C4"/>
    <w:rsid w:val="003231A8"/>
    <w:rsid w:val="0033305E"/>
    <w:rsid w:val="00334EB9"/>
    <w:rsid w:val="003359EB"/>
    <w:rsid w:val="00336C9C"/>
    <w:rsid w:val="00340CA0"/>
    <w:rsid w:val="003417E2"/>
    <w:rsid w:val="00341968"/>
    <w:rsid w:val="00344F97"/>
    <w:rsid w:val="0034656A"/>
    <w:rsid w:val="003549DC"/>
    <w:rsid w:val="003601A4"/>
    <w:rsid w:val="00365D78"/>
    <w:rsid w:val="003667EF"/>
    <w:rsid w:val="00366C2E"/>
    <w:rsid w:val="003714CC"/>
    <w:rsid w:val="003775E1"/>
    <w:rsid w:val="00383287"/>
    <w:rsid w:val="00385C0A"/>
    <w:rsid w:val="003864D4"/>
    <w:rsid w:val="003904F0"/>
    <w:rsid w:val="00392AB6"/>
    <w:rsid w:val="0039758F"/>
    <w:rsid w:val="003A0C7B"/>
    <w:rsid w:val="003A21F8"/>
    <w:rsid w:val="003A3806"/>
    <w:rsid w:val="003B5E1D"/>
    <w:rsid w:val="003B738B"/>
    <w:rsid w:val="003D6E07"/>
    <w:rsid w:val="003E49DA"/>
    <w:rsid w:val="003F3579"/>
    <w:rsid w:val="003F618C"/>
    <w:rsid w:val="0040041A"/>
    <w:rsid w:val="004021F4"/>
    <w:rsid w:val="004052DA"/>
    <w:rsid w:val="00410D18"/>
    <w:rsid w:val="00411F2F"/>
    <w:rsid w:val="0041529F"/>
    <w:rsid w:val="00416936"/>
    <w:rsid w:val="00417BA8"/>
    <w:rsid w:val="00421F17"/>
    <w:rsid w:val="00423537"/>
    <w:rsid w:val="004267B7"/>
    <w:rsid w:val="00426F47"/>
    <w:rsid w:val="004277D7"/>
    <w:rsid w:val="00446757"/>
    <w:rsid w:val="00450CB1"/>
    <w:rsid w:val="00451FE2"/>
    <w:rsid w:val="00453133"/>
    <w:rsid w:val="00456FA9"/>
    <w:rsid w:val="00462847"/>
    <w:rsid w:val="00465116"/>
    <w:rsid w:val="00465781"/>
    <w:rsid w:val="00472639"/>
    <w:rsid w:val="004757E5"/>
    <w:rsid w:val="00481858"/>
    <w:rsid w:val="00486F3A"/>
    <w:rsid w:val="00492844"/>
    <w:rsid w:val="004A0637"/>
    <w:rsid w:val="004A0817"/>
    <w:rsid w:val="004A1593"/>
    <w:rsid w:val="004A1CC0"/>
    <w:rsid w:val="004A36FF"/>
    <w:rsid w:val="004A5744"/>
    <w:rsid w:val="004B12A9"/>
    <w:rsid w:val="004B2544"/>
    <w:rsid w:val="004B2CF6"/>
    <w:rsid w:val="004C0364"/>
    <w:rsid w:val="004C2268"/>
    <w:rsid w:val="004C3B19"/>
    <w:rsid w:val="004C5077"/>
    <w:rsid w:val="004C5439"/>
    <w:rsid w:val="004C6B27"/>
    <w:rsid w:val="004D0734"/>
    <w:rsid w:val="004D21C9"/>
    <w:rsid w:val="004D2E4A"/>
    <w:rsid w:val="004D3722"/>
    <w:rsid w:val="004D38D8"/>
    <w:rsid w:val="004D3C29"/>
    <w:rsid w:val="004D3DBF"/>
    <w:rsid w:val="004D4261"/>
    <w:rsid w:val="004E115F"/>
    <w:rsid w:val="004E3FC2"/>
    <w:rsid w:val="004E7F0D"/>
    <w:rsid w:val="004F6F14"/>
    <w:rsid w:val="00500B85"/>
    <w:rsid w:val="0050187C"/>
    <w:rsid w:val="005030F2"/>
    <w:rsid w:val="00503AB3"/>
    <w:rsid w:val="00505555"/>
    <w:rsid w:val="00506BD8"/>
    <w:rsid w:val="00506F2F"/>
    <w:rsid w:val="00510121"/>
    <w:rsid w:val="005102F7"/>
    <w:rsid w:val="005104A4"/>
    <w:rsid w:val="0051386F"/>
    <w:rsid w:val="005243CC"/>
    <w:rsid w:val="005243EF"/>
    <w:rsid w:val="00530DF9"/>
    <w:rsid w:val="00533DBE"/>
    <w:rsid w:val="005354FB"/>
    <w:rsid w:val="00535660"/>
    <w:rsid w:val="00537C45"/>
    <w:rsid w:val="00543300"/>
    <w:rsid w:val="00544FDB"/>
    <w:rsid w:val="005533F4"/>
    <w:rsid w:val="00555030"/>
    <w:rsid w:val="00555486"/>
    <w:rsid w:val="005561F9"/>
    <w:rsid w:val="00565C97"/>
    <w:rsid w:val="0056613B"/>
    <w:rsid w:val="005740D1"/>
    <w:rsid w:val="005756E7"/>
    <w:rsid w:val="00580A3F"/>
    <w:rsid w:val="00585CFE"/>
    <w:rsid w:val="00590335"/>
    <w:rsid w:val="00592606"/>
    <w:rsid w:val="00594ADB"/>
    <w:rsid w:val="005953B0"/>
    <w:rsid w:val="005A3FFA"/>
    <w:rsid w:val="005A4D53"/>
    <w:rsid w:val="005A5AF9"/>
    <w:rsid w:val="005B0D95"/>
    <w:rsid w:val="005B5D3A"/>
    <w:rsid w:val="005C17E6"/>
    <w:rsid w:val="005D2CB0"/>
    <w:rsid w:val="005D393C"/>
    <w:rsid w:val="005D59E1"/>
    <w:rsid w:val="005D7607"/>
    <w:rsid w:val="005E4029"/>
    <w:rsid w:val="005F5E14"/>
    <w:rsid w:val="005F6FAC"/>
    <w:rsid w:val="005F7ECD"/>
    <w:rsid w:val="0060234A"/>
    <w:rsid w:val="006033C4"/>
    <w:rsid w:val="006035C0"/>
    <w:rsid w:val="00603851"/>
    <w:rsid w:val="00606E93"/>
    <w:rsid w:val="00606F2C"/>
    <w:rsid w:val="00610229"/>
    <w:rsid w:val="00620C90"/>
    <w:rsid w:val="006212D9"/>
    <w:rsid w:val="006261F9"/>
    <w:rsid w:val="00633892"/>
    <w:rsid w:val="00637943"/>
    <w:rsid w:val="00637EE0"/>
    <w:rsid w:val="00641AFA"/>
    <w:rsid w:val="00641CB2"/>
    <w:rsid w:val="006420CF"/>
    <w:rsid w:val="00647131"/>
    <w:rsid w:val="0065284E"/>
    <w:rsid w:val="00655E7B"/>
    <w:rsid w:val="006570D5"/>
    <w:rsid w:val="00662672"/>
    <w:rsid w:val="006634DE"/>
    <w:rsid w:val="00670928"/>
    <w:rsid w:val="00673D19"/>
    <w:rsid w:val="006833E8"/>
    <w:rsid w:val="0068453E"/>
    <w:rsid w:val="00690FD0"/>
    <w:rsid w:val="006930C6"/>
    <w:rsid w:val="00696E62"/>
    <w:rsid w:val="0069753A"/>
    <w:rsid w:val="006A164D"/>
    <w:rsid w:val="006A3D16"/>
    <w:rsid w:val="006B20E1"/>
    <w:rsid w:val="006B33A0"/>
    <w:rsid w:val="006B6363"/>
    <w:rsid w:val="006B6CCE"/>
    <w:rsid w:val="006B7A34"/>
    <w:rsid w:val="006C0E89"/>
    <w:rsid w:val="006C477C"/>
    <w:rsid w:val="006C70D6"/>
    <w:rsid w:val="006C7AFB"/>
    <w:rsid w:val="006D1D06"/>
    <w:rsid w:val="006D27B5"/>
    <w:rsid w:val="006D491F"/>
    <w:rsid w:val="006E0514"/>
    <w:rsid w:val="006E2A86"/>
    <w:rsid w:val="006E38CC"/>
    <w:rsid w:val="006E6C35"/>
    <w:rsid w:val="006F23A9"/>
    <w:rsid w:val="006F615D"/>
    <w:rsid w:val="006F7C81"/>
    <w:rsid w:val="00700E50"/>
    <w:rsid w:val="00701C7C"/>
    <w:rsid w:val="00702AC8"/>
    <w:rsid w:val="00705189"/>
    <w:rsid w:val="00705B86"/>
    <w:rsid w:val="00707F7A"/>
    <w:rsid w:val="007239FE"/>
    <w:rsid w:val="0073090A"/>
    <w:rsid w:val="0073399B"/>
    <w:rsid w:val="007341FA"/>
    <w:rsid w:val="0074025D"/>
    <w:rsid w:val="00743561"/>
    <w:rsid w:val="00746F2C"/>
    <w:rsid w:val="007511B4"/>
    <w:rsid w:val="00751CAC"/>
    <w:rsid w:val="007526C1"/>
    <w:rsid w:val="007532DC"/>
    <w:rsid w:val="007535F0"/>
    <w:rsid w:val="00755D91"/>
    <w:rsid w:val="00761246"/>
    <w:rsid w:val="007654DD"/>
    <w:rsid w:val="0077259B"/>
    <w:rsid w:val="00773F6B"/>
    <w:rsid w:val="0077506F"/>
    <w:rsid w:val="007769AD"/>
    <w:rsid w:val="00777BF5"/>
    <w:rsid w:val="0078032D"/>
    <w:rsid w:val="00781AF0"/>
    <w:rsid w:val="00784893"/>
    <w:rsid w:val="0078511A"/>
    <w:rsid w:val="007858E1"/>
    <w:rsid w:val="00786005"/>
    <w:rsid w:val="00786D68"/>
    <w:rsid w:val="00790005"/>
    <w:rsid w:val="00791464"/>
    <w:rsid w:val="00791DD2"/>
    <w:rsid w:val="00794BB4"/>
    <w:rsid w:val="007A1E4A"/>
    <w:rsid w:val="007A399D"/>
    <w:rsid w:val="007A6DDC"/>
    <w:rsid w:val="007B3A8C"/>
    <w:rsid w:val="007B4A8A"/>
    <w:rsid w:val="007B6D9F"/>
    <w:rsid w:val="007C2690"/>
    <w:rsid w:val="007C4DC3"/>
    <w:rsid w:val="007D57F6"/>
    <w:rsid w:val="007D5AF8"/>
    <w:rsid w:val="007E1ECE"/>
    <w:rsid w:val="007E30D7"/>
    <w:rsid w:val="007E345C"/>
    <w:rsid w:val="007E7080"/>
    <w:rsid w:val="007E75F7"/>
    <w:rsid w:val="007E7F22"/>
    <w:rsid w:val="007F1505"/>
    <w:rsid w:val="007F1B28"/>
    <w:rsid w:val="007F3A84"/>
    <w:rsid w:val="007F3CF1"/>
    <w:rsid w:val="007F790E"/>
    <w:rsid w:val="00802EE8"/>
    <w:rsid w:val="00806C36"/>
    <w:rsid w:val="00806DDC"/>
    <w:rsid w:val="00811747"/>
    <w:rsid w:val="00811CD1"/>
    <w:rsid w:val="008160DB"/>
    <w:rsid w:val="00817B59"/>
    <w:rsid w:val="00820BDF"/>
    <w:rsid w:val="00821995"/>
    <w:rsid w:val="008278E4"/>
    <w:rsid w:val="00830651"/>
    <w:rsid w:val="0083101C"/>
    <w:rsid w:val="00831ABA"/>
    <w:rsid w:val="008352DB"/>
    <w:rsid w:val="00837305"/>
    <w:rsid w:val="00837DD7"/>
    <w:rsid w:val="0084295F"/>
    <w:rsid w:val="008466CB"/>
    <w:rsid w:val="008473D4"/>
    <w:rsid w:val="008509F7"/>
    <w:rsid w:val="00851B22"/>
    <w:rsid w:val="00853692"/>
    <w:rsid w:val="0086425D"/>
    <w:rsid w:val="00866C13"/>
    <w:rsid w:val="00870D4D"/>
    <w:rsid w:val="0087388B"/>
    <w:rsid w:val="00874485"/>
    <w:rsid w:val="00877A2F"/>
    <w:rsid w:val="0088085B"/>
    <w:rsid w:val="00880DF1"/>
    <w:rsid w:val="00885D9F"/>
    <w:rsid w:val="00886B36"/>
    <w:rsid w:val="00891DC0"/>
    <w:rsid w:val="00897162"/>
    <w:rsid w:val="008A09C9"/>
    <w:rsid w:val="008A4172"/>
    <w:rsid w:val="008A4789"/>
    <w:rsid w:val="008B369C"/>
    <w:rsid w:val="008B487D"/>
    <w:rsid w:val="008B72D7"/>
    <w:rsid w:val="008B7C05"/>
    <w:rsid w:val="008C0E74"/>
    <w:rsid w:val="008C14C3"/>
    <w:rsid w:val="008C32C4"/>
    <w:rsid w:val="008C5F46"/>
    <w:rsid w:val="008C7596"/>
    <w:rsid w:val="008D0CF3"/>
    <w:rsid w:val="008D2536"/>
    <w:rsid w:val="008D61A6"/>
    <w:rsid w:val="008E1061"/>
    <w:rsid w:val="008E44C8"/>
    <w:rsid w:val="008E6AD0"/>
    <w:rsid w:val="008E7BA2"/>
    <w:rsid w:val="008F1B00"/>
    <w:rsid w:val="008F35E1"/>
    <w:rsid w:val="008F4078"/>
    <w:rsid w:val="008F4245"/>
    <w:rsid w:val="008F5387"/>
    <w:rsid w:val="008F5E20"/>
    <w:rsid w:val="009020F5"/>
    <w:rsid w:val="00904F9F"/>
    <w:rsid w:val="00906AD3"/>
    <w:rsid w:val="00917589"/>
    <w:rsid w:val="009201A8"/>
    <w:rsid w:val="00921E41"/>
    <w:rsid w:val="00922BE5"/>
    <w:rsid w:val="0092378A"/>
    <w:rsid w:val="00923F1D"/>
    <w:rsid w:val="00930FDB"/>
    <w:rsid w:val="00932D3B"/>
    <w:rsid w:val="009352F5"/>
    <w:rsid w:val="009377B6"/>
    <w:rsid w:val="00941208"/>
    <w:rsid w:val="00942303"/>
    <w:rsid w:val="00946325"/>
    <w:rsid w:val="009533DC"/>
    <w:rsid w:val="009542E9"/>
    <w:rsid w:val="0095625A"/>
    <w:rsid w:val="00964540"/>
    <w:rsid w:val="00966DC8"/>
    <w:rsid w:val="00970468"/>
    <w:rsid w:val="009706C4"/>
    <w:rsid w:val="009744BC"/>
    <w:rsid w:val="00976836"/>
    <w:rsid w:val="00977525"/>
    <w:rsid w:val="009831AE"/>
    <w:rsid w:val="00983F05"/>
    <w:rsid w:val="0098472D"/>
    <w:rsid w:val="0098692E"/>
    <w:rsid w:val="009869FB"/>
    <w:rsid w:val="00987F49"/>
    <w:rsid w:val="0099047A"/>
    <w:rsid w:val="00992914"/>
    <w:rsid w:val="009A192C"/>
    <w:rsid w:val="009A35AE"/>
    <w:rsid w:val="009A5985"/>
    <w:rsid w:val="009A7F55"/>
    <w:rsid w:val="009D0478"/>
    <w:rsid w:val="009D36DD"/>
    <w:rsid w:val="009D3870"/>
    <w:rsid w:val="009D4939"/>
    <w:rsid w:val="009D4D13"/>
    <w:rsid w:val="009D5F6B"/>
    <w:rsid w:val="009E2128"/>
    <w:rsid w:val="009E2E0E"/>
    <w:rsid w:val="009E3EDE"/>
    <w:rsid w:val="009E54C9"/>
    <w:rsid w:val="009E6229"/>
    <w:rsid w:val="009F5C8F"/>
    <w:rsid w:val="00A02DD9"/>
    <w:rsid w:val="00A04CA4"/>
    <w:rsid w:val="00A10B63"/>
    <w:rsid w:val="00A15107"/>
    <w:rsid w:val="00A16962"/>
    <w:rsid w:val="00A17575"/>
    <w:rsid w:val="00A23712"/>
    <w:rsid w:val="00A23A64"/>
    <w:rsid w:val="00A24AD4"/>
    <w:rsid w:val="00A259FC"/>
    <w:rsid w:val="00A269F8"/>
    <w:rsid w:val="00A2711E"/>
    <w:rsid w:val="00A306F7"/>
    <w:rsid w:val="00A32A63"/>
    <w:rsid w:val="00A33596"/>
    <w:rsid w:val="00A35358"/>
    <w:rsid w:val="00A36937"/>
    <w:rsid w:val="00A3740E"/>
    <w:rsid w:val="00A436BF"/>
    <w:rsid w:val="00A43E1E"/>
    <w:rsid w:val="00A43E5A"/>
    <w:rsid w:val="00A4419C"/>
    <w:rsid w:val="00A516CD"/>
    <w:rsid w:val="00A536ED"/>
    <w:rsid w:val="00A55689"/>
    <w:rsid w:val="00A56342"/>
    <w:rsid w:val="00A57EB1"/>
    <w:rsid w:val="00A6000D"/>
    <w:rsid w:val="00A61880"/>
    <w:rsid w:val="00A62775"/>
    <w:rsid w:val="00A63BD0"/>
    <w:rsid w:val="00A74AA3"/>
    <w:rsid w:val="00A7628F"/>
    <w:rsid w:val="00A77A45"/>
    <w:rsid w:val="00A81DE6"/>
    <w:rsid w:val="00A821CE"/>
    <w:rsid w:val="00A8484C"/>
    <w:rsid w:val="00A855AA"/>
    <w:rsid w:val="00A86081"/>
    <w:rsid w:val="00A86C0F"/>
    <w:rsid w:val="00A905CB"/>
    <w:rsid w:val="00A91295"/>
    <w:rsid w:val="00A91A1D"/>
    <w:rsid w:val="00A92332"/>
    <w:rsid w:val="00A92F70"/>
    <w:rsid w:val="00A939AE"/>
    <w:rsid w:val="00AA21AA"/>
    <w:rsid w:val="00AA22A9"/>
    <w:rsid w:val="00AA4EAC"/>
    <w:rsid w:val="00AA5FDD"/>
    <w:rsid w:val="00AA7326"/>
    <w:rsid w:val="00AB2A41"/>
    <w:rsid w:val="00AC0A04"/>
    <w:rsid w:val="00AC2B7C"/>
    <w:rsid w:val="00AC34C8"/>
    <w:rsid w:val="00AC3C3B"/>
    <w:rsid w:val="00AC5876"/>
    <w:rsid w:val="00AC5AEE"/>
    <w:rsid w:val="00AD2B33"/>
    <w:rsid w:val="00AD3C40"/>
    <w:rsid w:val="00AD54A8"/>
    <w:rsid w:val="00AE2FED"/>
    <w:rsid w:val="00AE56CB"/>
    <w:rsid w:val="00AE6B7A"/>
    <w:rsid w:val="00AE6DE3"/>
    <w:rsid w:val="00AF1C7E"/>
    <w:rsid w:val="00AF230E"/>
    <w:rsid w:val="00AF40B7"/>
    <w:rsid w:val="00B0214F"/>
    <w:rsid w:val="00B06872"/>
    <w:rsid w:val="00B06C72"/>
    <w:rsid w:val="00B15FA7"/>
    <w:rsid w:val="00B23A3F"/>
    <w:rsid w:val="00B23CA3"/>
    <w:rsid w:val="00B260F1"/>
    <w:rsid w:val="00B27750"/>
    <w:rsid w:val="00B31C75"/>
    <w:rsid w:val="00B3212A"/>
    <w:rsid w:val="00B3250D"/>
    <w:rsid w:val="00B32D96"/>
    <w:rsid w:val="00B41DE6"/>
    <w:rsid w:val="00B42257"/>
    <w:rsid w:val="00B436A4"/>
    <w:rsid w:val="00B43F5D"/>
    <w:rsid w:val="00B46F04"/>
    <w:rsid w:val="00B47CC8"/>
    <w:rsid w:val="00B51DE7"/>
    <w:rsid w:val="00B53620"/>
    <w:rsid w:val="00B5488F"/>
    <w:rsid w:val="00B577A8"/>
    <w:rsid w:val="00B60B12"/>
    <w:rsid w:val="00B67E59"/>
    <w:rsid w:val="00B70DDE"/>
    <w:rsid w:val="00B71EF9"/>
    <w:rsid w:val="00B7309B"/>
    <w:rsid w:val="00B759C8"/>
    <w:rsid w:val="00B80428"/>
    <w:rsid w:val="00B80D9C"/>
    <w:rsid w:val="00B818B9"/>
    <w:rsid w:val="00B832DB"/>
    <w:rsid w:val="00B87DA7"/>
    <w:rsid w:val="00B9175E"/>
    <w:rsid w:val="00B93C84"/>
    <w:rsid w:val="00BA27A1"/>
    <w:rsid w:val="00BA3439"/>
    <w:rsid w:val="00BA3B15"/>
    <w:rsid w:val="00BB16AF"/>
    <w:rsid w:val="00BB1755"/>
    <w:rsid w:val="00BB44CC"/>
    <w:rsid w:val="00BB6DBB"/>
    <w:rsid w:val="00BC2722"/>
    <w:rsid w:val="00BC2D30"/>
    <w:rsid w:val="00BC5669"/>
    <w:rsid w:val="00BD13CA"/>
    <w:rsid w:val="00BD2A9D"/>
    <w:rsid w:val="00BE1EAB"/>
    <w:rsid w:val="00BE26D9"/>
    <w:rsid w:val="00BE2EE0"/>
    <w:rsid w:val="00BE46E9"/>
    <w:rsid w:val="00BF2C11"/>
    <w:rsid w:val="00BF4EAB"/>
    <w:rsid w:val="00BF5B53"/>
    <w:rsid w:val="00BF631A"/>
    <w:rsid w:val="00BF6E36"/>
    <w:rsid w:val="00C04749"/>
    <w:rsid w:val="00C07EE3"/>
    <w:rsid w:val="00C124EB"/>
    <w:rsid w:val="00C140BE"/>
    <w:rsid w:val="00C14D92"/>
    <w:rsid w:val="00C1603E"/>
    <w:rsid w:val="00C248D4"/>
    <w:rsid w:val="00C3268E"/>
    <w:rsid w:val="00C34ECE"/>
    <w:rsid w:val="00C37CC5"/>
    <w:rsid w:val="00C40480"/>
    <w:rsid w:val="00C4536D"/>
    <w:rsid w:val="00C4657C"/>
    <w:rsid w:val="00C47851"/>
    <w:rsid w:val="00C55628"/>
    <w:rsid w:val="00C61403"/>
    <w:rsid w:val="00C626D3"/>
    <w:rsid w:val="00C64DD2"/>
    <w:rsid w:val="00C66475"/>
    <w:rsid w:val="00C72221"/>
    <w:rsid w:val="00C72B2B"/>
    <w:rsid w:val="00C768C8"/>
    <w:rsid w:val="00C77DE4"/>
    <w:rsid w:val="00C82724"/>
    <w:rsid w:val="00C82AB6"/>
    <w:rsid w:val="00C83736"/>
    <w:rsid w:val="00C85811"/>
    <w:rsid w:val="00C91805"/>
    <w:rsid w:val="00C91D43"/>
    <w:rsid w:val="00C92059"/>
    <w:rsid w:val="00C93E18"/>
    <w:rsid w:val="00C95687"/>
    <w:rsid w:val="00CA3ECF"/>
    <w:rsid w:val="00CA4E4F"/>
    <w:rsid w:val="00CA6D12"/>
    <w:rsid w:val="00CA7E1C"/>
    <w:rsid w:val="00CB3A16"/>
    <w:rsid w:val="00CB4610"/>
    <w:rsid w:val="00CB5423"/>
    <w:rsid w:val="00CB6278"/>
    <w:rsid w:val="00CC04C6"/>
    <w:rsid w:val="00CC17D8"/>
    <w:rsid w:val="00CC67E3"/>
    <w:rsid w:val="00CD1852"/>
    <w:rsid w:val="00CD2A71"/>
    <w:rsid w:val="00CD319A"/>
    <w:rsid w:val="00CD461C"/>
    <w:rsid w:val="00CD7026"/>
    <w:rsid w:val="00CE0B44"/>
    <w:rsid w:val="00CE24AE"/>
    <w:rsid w:val="00CE2E30"/>
    <w:rsid w:val="00CE3E9F"/>
    <w:rsid w:val="00CE79CD"/>
    <w:rsid w:val="00CF2AA8"/>
    <w:rsid w:val="00CF6A27"/>
    <w:rsid w:val="00CF78DA"/>
    <w:rsid w:val="00CF7E13"/>
    <w:rsid w:val="00D10260"/>
    <w:rsid w:val="00D17711"/>
    <w:rsid w:val="00D313C1"/>
    <w:rsid w:val="00D31502"/>
    <w:rsid w:val="00D31936"/>
    <w:rsid w:val="00D3343B"/>
    <w:rsid w:val="00D36E02"/>
    <w:rsid w:val="00D40956"/>
    <w:rsid w:val="00D41B4C"/>
    <w:rsid w:val="00D4304B"/>
    <w:rsid w:val="00D43BA5"/>
    <w:rsid w:val="00D472B4"/>
    <w:rsid w:val="00D50021"/>
    <w:rsid w:val="00D501B9"/>
    <w:rsid w:val="00D526A4"/>
    <w:rsid w:val="00D536D7"/>
    <w:rsid w:val="00D54AB1"/>
    <w:rsid w:val="00D60932"/>
    <w:rsid w:val="00D6388F"/>
    <w:rsid w:val="00D65ACE"/>
    <w:rsid w:val="00D675FE"/>
    <w:rsid w:val="00D71A57"/>
    <w:rsid w:val="00D82A7B"/>
    <w:rsid w:val="00D90EB0"/>
    <w:rsid w:val="00D91607"/>
    <w:rsid w:val="00D919EC"/>
    <w:rsid w:val="00D93DAA"/>
    <w:rsid w:val="00D93ECB"/>
    <w:rsid w:val="00D93F5B"/>
    <w:rsid w:val="00D968C2"/>
    <w:rsid w:val="00DA116A"/>
    <w:rsid w:val="00DA3D26"/>
    <w:rsid w:val="00DA794F"/>
    <w:rsid w:val="00DB045A"/>
    <w:rsid w:val="00DB2C9D"/>
    <w:rsid w:val="00DB5035"/>
    <w:rsid w:val="00DC5F79"/>
    <w:rsid w:val="00DC5FAF"/>
    <w:rsid w:val="00DD14AD"/>
    <w:rsid w:val="00DD1643"/>
    <w:rsid w:val="00DD66D2"/>
    <w:rsid w:val="00DE178F"/>
    <w:rsid w:val="00DE1977"/>
    <w:rsid w:val="00DE2837"/>
    <w:rsid w:val="00DE59D9"/>
    <w:rsid w:val="00DF04D7"/>
    <w:rsid w:val="00DF2891"/>
    <w:rsid w:val="00DF341A"/>
    <w:rsid w:val="00DF494C"/>
    <w:rsid w:val="00DF59E9"/>
    <w:rsid w:val="00E02E75"/>
    <w:rsid w:val="00E02FCA"/>
    <w:rsid w:val="00E06407"/>
    <w:rsid w:val="00E07917"/>
    <w:rsid w:val="00E1173F"/>
    <w:rsid w:val="00E12134"/>
    <w:rsid w:val="00E155E3"/>
    <w:rsid w:val="00E20498"/>
    <w:rsid w:val="00E23485"/>
    <w:rsid w:val="00E2747E"/>
    <w:rsid w:val="00E422EC"/>
    <w:rsid w:val="00E46969"/>
    <w:rsid w:val="00E501C2"/>
    <w:rsid w:val="00E50F60"/>
    <w:rsid w:val="00E52466"/>
    <w:rsid w:val="00E53FF4"/>
    <w:rsid w:val="00E541D0"/>
    <w:rsid w:val="00E5633E"/>
    <w:rsid w:val="00E603FE"/>
    <w:rsid w:val="00E6154E"/>
    <w:rsid w:val="00E6533A"/>
    <w:rsid w:val="00E70041"/>
    <w:rsid w:val="00E81A71"/>
    <w:rsid w:val="00E83381"/>
    <w:rsid w:val="00E83B18"/>
    <w:rsid w:val="00E92C91"/>
    <w:rsid w:val="00E93C86"/>
    <w:rsid w:val="00EA29D6"/>
    <w:rsid w:val="00EA4745"/>
    <w:rsid w:val="00EA7F9A"/>
    <w:rsid w:val="00EB04AD"/>
    <w:rsid w:val="00EB0CE1"/>
    <w:rsid w:val="00EB13EA"/>
    <w:rsid w:val="00EB14AD"/>
    <w:rsid w:val="00EB1569"/>
    <w:rsid w:val="00EB3C72"/>
    <w:rsid w:val="00EB4DD5"/>
    <w:rsid w:val="00EB5285"/>
    <w:rsid w:val="00EB5477"/>
    <w:rsid w:val="00ED0758"/>
    <w:rsid w:val="00ED0C33"/>
    <w:rsid w:val="00ED2E1F"/>
    <w:rsid w:val="00ED7958"/>
    <w:rsid w:val="00EE01AD"/>
    <w:rsid w:val="00EE4530"/>
    <w:rsid w:val="00EE7D19"/>
    <w:rsid w:val="00EF0EC2"/>
    <w:rsid w:val="00EF1004"/>
    <w:rsid w:val="00EF4843"/>
    <w:rsid w:val="00EF7A3A"/>
    <w:rsid w:val="00F0024E"/>
    <w:rsid w:val="00F020CC"/>
    <w:rsid w:val="00F03DEE"/>
    <w:rsid w:val="00F06595"/>
    <w:rsid w:val="00F0670E"/>
    <w:rsid w:val="00F06F39"/>
    <w:rsid w:val="00F07D7B"/>
    <w:rsid w:val="00F103A8"/>
    <w:rsid w:val="00F105D6"/>
    <w:rsid w:val="00F14D19"/>
    <w:rsid w:val="00F15BFD"/>
    <w:rsid w:val="00F164CC"/>
    <w:rsid w:val="00F165C7"/>
    <w:rsid w:val="00F2487C"/>
    <w:rsid w:val="00F24E38"/>
    <w:rsid w:val="00F26ED3"/>
    <w:rsid w:val="00F32BEF"/>
    <w:rsid w:val="00F36C22"/>
    <w:rsid w:val="00F40EE1"/>
    <w:rsid w:val="00F43E7F"/>
    <w:rsid w:val="00F5004C"/>
    <w:rsid w:val="00F556CF"/>
    <w:rsid w:val="00F55C8A"/>
    <w:rsid w:val="00F61763"/>
    <w:rsid w:val="00F61D69"/>
    <w:rsid w:val="00F70C94"/>
    <w:rsid w:val="00F711DD"/>
    <w:rsid w:val="00F73AEC"/>
    <w:rsid w:val="00F73BBF"/>
    <w:rsid w:val="00F77825"/>
    <w:rsid w:val="00F8048A"/>
    <w:rsid w:val="00F8084E"/>
    <w:rsid w:val="00F90D0E"/>
    <w:rsid w:val="00F926D1"/>
    <w:rsid w:val="00F92DBC"/>
    <w:rsid w:val="00F9482A"/>
    <w:rsid w:val="00F97D70"/>
    <w:rsid w:val="00FA0421"/>
    <w:rsid w:val="00FA1095"/>
    <w:rsid w:val="00FA73F8"/>
    <w:rsid w:val="00FB15C8"/>
    <w:rsid w:val="00FB1C70"/>
    <w:rsid w:val="00FB1EE6"/>
    <w:rsid w:val="00FB3F03"/>
    <w:rsid w:val="00FC62C4"/>
    <w:rsid w:val="00FC7394"/>
    <w:rsid w:val="00FC77C0"/>
    <w:rsid w:val="00FD5DEA"/>
    <w:rsid w:val="00FD696A"/>
    <w:rsid w:val="00FE0C37"/>
    <w:rsid w:val="00FE1468"/>
    <w:rsid w:val="00FE3642"/>
    <w:rsid w:val="00FE4894"/>
    <w:rsid w:val="00FE7D7C"/>
    <w:rsid w:val="00FF20F0"/>
    <w:rsid w:val="00FF3F05"/>
    <w:rsid w:val="00FF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086"/>
    <w:rPr>
      <w:sz w:val="24"/>
      <w:szCs w:val="24"/>
    </w:rPr>
  </w:style>
  <w:style w:type="paragraph" w:styleId="Nadpis1">
    <w:name w:val="heading 1"/>
    <w:basedOn w:val="Normln"/>
    <w:next w:val="Normln"/>
    <w:link w:val="Nadpis1Char"/>
    <w:qFormat/>
    <w:locked/>
    <w:rsid w:val="00830651"/>
    <w:pPr>
      <w:keepNext/>
      <w:spacing w:before="240" w:after="60"/>
      <w:outlineLvl w:val="0"/>
    </w:pPr>
    <w:rPr>
      <w:b/>
      <w:bCs/>
      <w:kern w:val="32"/>
      <w:szCs w:val="32"/>
    </w:rPr>
  </w:style>
  <w:style w:type="paragraph" w:styleId="Nadpis2">
    <w:name w:val="heading 2"/>
    <w:basedOn w:val="Normln"/>
    <w:next w:val="Normln"/>
    <w:link w:val="Nadpis2Char"/>
    <w:autoRedefine/>
    <w:qFormat/>
    <w:locked/>
    <w:rsid w:val="00830651"/>
    <w:pPr>
      <w:keepNext/>
      <w:spacing w:before="240" w:after="60"/>
      <w:jc w:val="both"/>
      <w:outlineLvl w:val="1"/>
    </w:pPr>
    <w:rPr>
      <w:b/>
      <w:bCs/>
      <w:iCs/>
      <w:sz w:val="28"/>
      <w:szCs w:val="28"/>
    </w:rPr>
  </w:style>
  <w:style w:type="paragraph" w:styleId="Nadpis3">
    <w:name w:val="heading 3"/>
    <w:basedOn w:val="Normln"/>
    <w:next w:val="Normln"/>
    <w:link w:val="Nadpis3Char"/>
    <w:semiHidden/>
    <w:unhideWhenUsed/>
    <w:qFormat/>
    <w:locked/>
    <w:rsid w:val="00131086"/>
    <w:pPr>
      <w:keepNext/>
      <w:spacing w:before="240" w:after="60"/>
      <w:outlineLvl w:val="2"/>
    </w:pPr>
    <w:rPr>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54D5E"/>
    <w:rPr>
      <w:b/>
      <w:bCs/>
      <w:kern w:val="32"/>
      <w:sz w:val="24"/>
      <w:szCs w:val="32"/>
      <w:lang w:eastAsia="cs-CZ"/>
    </w:rPr>
  </w:style>
  <w:style w:type="character" w:customStyle="1" w:styleId="Nadpis2Char">
    <w:name w:val="Nadpis 2 Char"/>
    <w:link w:val="Nadpis2"/>
    <w:rsid w:val="00620C90"/>
    <w:rPr>
      <w:b/>
      <w:bCs/>
      <w:iCs/>
      <w:sz w:val="28"/>
      <w:szCs w:val="28"/>
      <w:lang w:eastAsia="cs-CZ"/>
    </w:rPr>
  </w:style>
  <w:style w:type="character" w:customStyle="1" w:styleId="Nadpis3Char">
    <w:name w:val="Nadpis 3 Char"/>
    <w:link w:val="Nadpis3"/>
    <w:semiHidden/>
    <w:rsid w:val="00131086"/>
    <w:rPr>
      <w:rFonts w:eastAsia="Times New Roman" w:cs="Times New Roman"/>
      <w:b/>
      <w:bCs/>
      <w:sz w:val="24"/>
      <w:szCs w:val="26"/>
    </w:rPr>
  </w:style>
  <w:style w:type="paragraph" w:customStyle="1" w:styleId="Text1">
    <w:name w:val="Text 1"/>
    <w:basedOn w:val="Normln"/>
    <w:rsid w:val="00410D18"/>
    <w:pPr>
      <w:spacing w:after="240"/>
      <w:ind w:left="483"/>
      <w:jc w:val="both"/>
    </w:pPr>
  </w:style>
  <w:style w:type="character" w:styleId="Znakapoznpodarou">
    <w:name w:val="footnote reference"/>
    <w:aliases w:val="Footnote symbol,Times 10 Point,Exposant 3 Point, Exposant 3 Point,Footnote number,Footnote Reference Number,Footnote reference number,Footnote Reference Superscript,EN Footnote Reference,note TESI,Voetnootverwijzing,fr,o,FR,FR1"/>
    <w:link w:val="1"/>
    <w:rsid w:val="00410D18"/>
    <w:rPr>
      <w:rFonts w:ascii="TimesNewRomanPS" w:hAnsi="TimesNewRomanPS" w:cs="Times New Roman"/>
      <w:position w:val="6"/>
      <w:sz w:val="16"/>
    </w:rPr>
  </w:style>
  <w:style w:type="paragraph" w:styleId="Zkladntext">
    <w:name w:val="Body Text"/>
    <w:basedOn w:val="Normln"/>
    <w:link w:val="ZkladntextChar"/>
    <w:rsid w:val="00410D18"/>
    <w:pPr>
      <w:jc w:val="both"/>
    </w:pPr>
  </w:style>
  <w:style w:type="character" w:customStyle="1" w:styleId="ZkladntextChar">
    <w:name w:val="Základní text Char"/>
    <w:link w:val="Zkladntext"/>
    <w:rsid w:val="0083101C"/>
    <w:rPr>
      <w:sz w:val="24"/>
      <w:szCs w:val="24"/>
      <w:lang w:val="cs-CZ"/>
    </w:rPr>
  </w:style>
  <w:style w:type="paragraph" w:styleId="Textpoznpodarou">
    <w:name w:val="footnote text"/>
    <w:aliases w:val="Schriftart: 9 pt,Schriftart: 10 pt,Schriftart: 8 pt,WB-Fußnotentext,FoodNote,ft,Footnote,Footnote Text Char Char,Footnote Text Char1 Char Char,Footnote Text Char Char Char Char,fn,f,Voetnoottekst Char,Footnote Text Char1 Cha"/>
    <w:basedOn w:val="Normln"/>
    <w:link w:val="TextpoznpodarouChar"/>
    <w:rsid w:val="00410D18"/>
    <w:pPr>
      <w:spacing w:after="240"/>
      <w:ind w:left="357" w:hanging="357"/>
      <w:jc w:val="both"/>
    </w:pPr>
    <w:rPr>
      <w:sz w:val="20"/>
      <w:szCs w:val="20"/>
    </w:rPr>
  </w:style>
  <w:style w:type="character" w:customStyle="1" w:styleId="TextpoznpodarouChar">
    <w:name w:val="Text pozn. pod čarou Char"/>
    <w:aliases w:val="Schriftart: 9 pt Char,Schriftart: 10 pt Char,Schriftart: 8 pt Char,WB-Fußnotentext Char,FoodNote Char,ft Char,Footnote Char,Footnote Text Char Char Char,Footnote Text Char1 Char Char Char,Footnote Text Char Char Char Char Char"/>
    <w:link w:val="Textpoznpodarou"/>
    <w:locked/>
    <w:rsid w:val="006E2A86"/>
    <w:rPr>
      <w:snapToGrid w:val="0"/>
      <w:lang w:val="cs-CZ" w:eastAsia="cs-CZ"/>
    </w:rPr>
  </w:style>
  <w:style w:type="paragraph" w:styleId="Textbubliny">
    <w:name w:val="Balloon Text"/>
    <w:basedOn w:val="Normln"/>
    <w:semiHidden/>
    <w:rsid w:val="00410D18"/>
    <w:rPr>
      <w:sz w:val="16"/>
      <w:szCs w:val="16"/>
    </w:rPr>
  </w:style>
  <w:style w:type="paragraph" w:styleId="Zhlav">
    <w:name w:val="header"/>
    <w:basedOn w:val="Normln"/>
    <w:rsid w:val="00410D18"/>
    <w:pPr>
      <w:tabs>
        <w:tab w:val="center" w:pos="4703"/>
        <w:tab w:val="right" w:pos="9406"/>
      </w:tabs>
    </w:pPr>
  </w:style>
  <w:style w:type="paragraph" w:styleId="Zpat">
    <w:name w:val="footer"/>
    <w:basedOn w:val="Normln"/>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slostrnky">
    <w:name w:val="page number"/>
    <w:rsid w:val="001917C6"/>
    <w:rPr>
      <w:rFonts w:cs="Times New Roman"/>
    </w:rPr>
  </w:style>
  <w:style w:type="paragraph" w:styleId="Odstavecseseznamem">
    <w:name w:val="List Paragraph"/>
    <w:basedOn w:val="Normln"/>
    <w:uiPriority w:val="34"/>
    <w:qFormat/>
    <w:rsid w:val="00DF494C"/>
    <w:pPr>
      <w:ind w:left="720"/>
      <w:contextualSpacing/>
    </w:pPr>
  </w:style>
  <w:style w:type="character" w:styleId="Odkaznakoment">
    <w:name w:val="annotation reference"/>
    <w:uiPriority w:val="99"/>
    <w:rsid w:val="00917589"/>
    <w:rPr>
      <w:rFonts w:cs="Times New Roman"/>
      <w:sz w:val="16"/>
      <w:szCs w:val="16"/>
    </w:rPr>
  </w:style>
  <w:style w:type="paragraph" w:styleId="Textkomente">
    <w:name w:val="annotation text"/>
    <w:basedOn w:val="Normln"/>
    <w:link w:val="TextkomenteChar"/>
    <w:uiPriority w:val="99"/>
    <w:rsid w:val="00917589"/>
    <w:rPr>
      <w:sz w:val="20"/>
      <w:szCs w:val="20"/>
    </w:rPr>
  </w:style>
  <w:style w:type="character" w:customStyle="1" w:styleId="TextkomenteChar">
    <w:name w:val="Text komentáře Char"/>
    <w:link w:val="Textkomente"/>
    <w:uiPriority w:val="99"/>
    <w:locked/>
    <w:rsid w:val="00917589"/>
    <w:rPr>
      <w:rFonts w:cs="Times New Roman"/>
      <w:snapToGrid w:val="0"/>
    </w:rPr>
  </w:style>
  <w:style w:type="paragraph" w:styleId="Pedmtkomente">
    <w:name w:val="annotation subject"/>
    <w:basedOn w:val="Textkomente"/>
    <w:next w:val="Textkomente"/>
    <w:link w:val="PedmtkomenteChar"/>
    <w:rsid w:val="00917589"/>
    <w:rPr>
      <w:b/>
      <w:bCs/>
    </w:rPr>
  </w:style>
  <w:style w:type="character" w:customStyle="1" w:styleId="PedmtkomenteChar">
    <w:name w:val="Předmět komentáře Char"/>
    <w:link w:val="Pedmtkomente"/>
    <w:locked/>
    <w:rsid w:val="00917589"/>
    <w:rPr>
      <w:rFonts w:cs="Times New Roman"/>
      <w:b/>
      <w:bCs/>
      <w:snapToGrid w:val="0"/>
    </w:rPr>
  </w:style>
  <w:style w:type="character" w:styleId="Siln">
    <w:name w:val="Strong"/>
    <w:uiPriority w:val="22"/>
    <w:qFormat/>
    <w:locked/>
    <w:rsid w:val="002A0C4C"/>
    <w:rPr>
      <w:b/>
      <w:bCs/>
    </w:rPr>
  </w:style>
  <w:style w:type="character" w:styleId="Nzevknihy">
    <w:name w:val="Book Title"/>
    <w:uiPriority w:val="33"/>
    <w:qFormat/>
    <w:rsid w:val="002A0C4C"/>
    <w:rPr>
      <w:b/>
      <w:bCs/>
      <w:smallCaps/>
      <w:spacing w:val="5"/>
    </w:rPr>
  </w:style>
  <w:style w:type="paragraph" w:customStyle="1" w:styleId="Style1">
    <w:name w:val="Style1"/>
    <w:basedOn w:val="Normln"/>
    <w:link w:val="Style1Char"/>
    <w:autoRedefine/>
    <w:qFormat/>
    <w:rsid w:val="00131086"/>
    <w:pPr>
      <w:tabs>
        <w:tab w:val="left" w:pos="851"/>
      </w:tabs>
      <w:ind w:left="851" w:hanging="425"/>
      <w:jc w:val="both"/>
    </w:pPr>
    <w:rPr>
      <w:i/>
    </w:rPr>
  </w:style>
  <w:style w:type="character" w:customStyle="1" w:styleId="Style1Char">
    <w:name w:val="Style1 Char"/>
    <w:link w:val="Style1"/>
    <w:rsid w:val="00131086"/>
    <w:rPr>
      <w:i/>
      <w:sz w:val="24"/>
      <w:szCs w:val="24"/>
      <w:lang w:val="cs-CZ" w:eastAsia="cs-CZ"/>
    </w:rPr>
  </w:style>
  <w:style w:type="paragraph" w:styleId="Revize">
    <w:name w:val="Revision"/>
    <w:hidden/>
    <w:uiPriority w:val="99"/>
    <w:semiHidden/>
    <w:rsid w:val="000D03F9"/>
    <w:rPr>
      <w:sz w:val="24"/>
      <w:szCs w:val="24"/>
    </w:rPr>
  </w:style>
  <w:style w:type="character" w:styleId="Hypertextovodkaz">
    <w:name w:val="Hyperlink"/>
    <w:rsid w:val="00535660"/>
    <w:rPr>
      <w:color w:val="0000FF"/>
      <w:u w:val="single"/>
    </w:rPr>
  </w:style>
  <w:style w:type="character" w:styleId="Sledovanodkaz">
    <w:name w:val="FollowedHyperlink"/>
    <w:rsid w:val="002A2B0B"/>
    <w:rPr>
      <w:color w:val="800080"/>
      <w:u w:val="single"/>
    </w:rPr>
  </w:style>
  <w:style w:type="paragraph" w:customStyle="1" w:styleId="1">
    <w:name w:val="1"/>
    <w:basedOn w:val="Normln"/>
    <w:link w:val="Znakapoznpodarou"/>
    <w:uiPriority w:val="99"/>
    <w:qFormat/>
    <w:rsid w:val="001138A4"/>
    <w:pPr>
      <w:spacing w:after="160" w:line="240" w:lineRule="exact"/>
    </w:pPr>
    <w:rPr>
      <w:rFonts w:ascii="TimesNewRomanPS" w:hAnsi="TimesNewRomanPS"/>
      <w:position w:val="6"/>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086"/>
    <w:rPr>
      <w:sz w:val="24"/>
      <w:szCs w:val="24"/>
    </w:rPr>
  </w:style>
  <w:style w:type="paragraph" w:styleId="Nadpis1">
    <w:name w:val="heading 1"/>
    <w:basedOn w:val="Normln"/>
    <w:next w:val="Normln"/>
    <w:link w:val="Nadpis1Char"/>
    <w:qFormat/>
    <w:locked/>
    <w:rsid w:val="00830651"/>
    <w:pPr>
      <w:keepNext/>
      <w:spacing w:before="240" w:after="60"/>
      <w:outlineLvl w:val="0"/>
    </w:pPr>
    <w:rPr>
      <w:b/>
      <w:bCs/>
      <w:kern w:val="32"/>
      <w:szCs w:val="32"/>
    </w:rPr>
  </w:style>
  <w:style w:type="paragraph" w:styleId="Nadpis2">
    <w:name w:val="heading 2"/>
    <w:basedOn w:val="Normln"/>
    <w:next w:val="Normln"/>
    <w:link w:val="Nadpis2Char"/>
    <w:autoRedefine/>
    <w:qFormat/>
    <w:locked/>
    <w:rsid w:val="00830651"/>
    <w:pPr>
      <w:keepNext/>
      <w:spacing w:before="240" w:after="60"/>
      <w:jc w:val="both"/>
      <w:outlineLvl w:val="1"/>
    </w:pPr>
    <w:rPr>
      <w:b/>
      <w:bCs/>
      <w:iCs/>
      <w:sz w:val="28"/>
      <w:szCs w:val="28"/>
    </w:rPr>
  </w:style>
  <w:style w:type="paragraph" w:styleId="Nadpis3">
    <w:name w:val="heading 3"/>
    <w:basedOn w:val="Normln"/>
    <w:next w:val="Normln"/>
    <w:link w:val="Nadpis3Char"/>
    <w:semiHidden/>
    <w:unhideWhenUsed/>
    <w:qFormat/>
    <w:locked/>
    <w:rsid w:val="00131086"/>
    <w:pPr>
      <w:keepNext/>
      <w:spacing w:before="240" w:after="60"/>
      <w:outlineLvl w:val="2"/>
    </w:pPr>
    <w:rPr>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54D5E"/>
    <w:rPr>
      <w:b/>
      <w:bCs/>
      <w:kern w:val="32"/>
      <w:sz w:val="24"/>
      <w:szCs w:val="32"/>
      <w:lang w:eastAsia="cs-CZ"/>
    </w:rPr>
  </w:style>
  <w:style w:type="character" w:customStyle="1" w:styleId="Nadpis2Char">
    <w:name w:val="Nadpis 2 Char"/>
    <w:link w:val="Nadpis2"/>
    <w:rsid w:val="00620C90"/>
    <w:rPr>
      <w:b/>
      <w:bCs/>
      <w:iCs/>
      <w:sz w:val="28"/>
      <w:szCs w:val="28"/>
      <w:lang w:eastAsia="cs-CZ"/>
    </w:rPr>
  </w:style>
  <w:style w:type="character" w:customStyle="1" w:styleId="Nadpis3Char">
    <w:name w:val="Nadpis 3 Char"/>
    <w:link w:val="Nadpis3"/>
    <w:semiHidden/>
    <w:rsid w:val="00131086"/>
    <w:rPr>
      <w:rFonts w:eastAsia="Times New Roman" w:cs="Times New Roman"/>
      <w:b/>
      <w:bCs/>
      <w:sz w:val="24"/>
      <w:szCs w:val="26"/>
    </w:rPr>
  </w:style>
  <w:style w:type="paragraph" w:customStyle="1" w:styleId="Text1">
    <w:name w:val="Text 1"/>
    <w:basedOn w:val="Normln"/>
    <w:rsid w:val="00410D18"/>
    <w:pPr>
      <w:spacing w:after="240"/>
      <w:ind w:left="483"/>
      <w:jc w:val="both"/>
    </w:pPr>
  </w:style>
  <w:style w:type="character" w:styleId="Znakapoznpodarou">
    <w:name w:val="footnote reference"/>
    <w:aliases w:val="Footnote symbol,Times 10 Point,Exposant 3 Point, Exposant 3 Point,Footnote number,Footnote Reference Number,Footnote reference number,Footnote Reference Superscript,EN Footnote Reference,note TESI,Voetnootverwijzing,fr,o,FR,FR1"/>
    <w:link w:val="1"/>
    <w:rsid w:val="00410D18"/>
    <w:rPr>
      <w:rFonts w:ascii="TimesNewRomanPS" w:hAnsi="TimesNewRomanPS" w:cs="Times New Roman"/>
      <w:position w:val="6"/>
      <w:sz w:val="16"/>
    </w:rPr>
  </w:style>
  <w:style w:type="paragraph" w:styleId="Zkladntext">
    <w:name w:val="Body Text"/>
    <w:basedOn w:val="Normln"/>
    <w:link w:val="ZkladntextChar"/>
    <w:rsid w:val="00410D18"/>
    <w:pPr>
      <w:jc w:val="both"/>
    </w:pPr>
  </w:style>
  <w:style w:type="character" w:customStyle="1" w:styleId="ZkladntextChar">
    <w:name w:val="Základní text Char"/>
    <w:link w:val="Zkladntext"/>
    <w:rsid w:val="0083101C"/>
    <w:rPr>
      <w:sz w:val="24"/>
      <w:szCs w:val="24"/>
      <w:lang w:val="cs-CZ"/>
    </w:rPr>
  </w:style>
  <w:style w:type="paragraph" w:styleId="Textpoznpodarou">
    <w:name w:val="footnote text"/>
    <w:aliases w:val="Schriftart: 9 pt,Schriftart: 10 pt,Schriftart: 8 pt,WB-Fußnotentext,FoodNote,ft,Footnote,Footnote Text Char Char,Footnote Text Char1 Char Char,Footnote Text Char Char Char Char,fn,f,Voetnoottekst Char,Footnote Text Char1 Cha"/>
    <w:basedOn w:val="Normln"/>
    <w:link w:val="TextpoznpodarouChar"/>
    <w:rsid w:val="00410D18"/>
    <w:pPr>
      <w:spacing w:after="240"/>
      <w:ind w:left="357" w:hanging="357"/>
      <w:jc w:val="both"/>
    </w:pPr>
    <w:rPr>
      <w:sz w:val="20"/>
      <w:szCs w:val="20"/>
    </w:rPr>
  </w:style>
  <w:style w:type="character" w:customStyle="1" w:styleId="TextpoznpodarouChar">
    <w:name w:val="Text pozn. pod čarou Char"/>
    <w:aliases w:val="Schriftart: 9 pt Char,Schriftart: 10 pt Char,Schriftart: 8 pt Char,WB-Fußnotentext Char,FoodNote Char,ft Char,Footnote Char,Footnote Text Char Char Char,Footnote Text Char1 Char Char Char,Footnote Text Char Char Char Char Char"/>
    <w:link w:val="Textpoznpodarou"/>
    <w:locked/>
    <w:rsid w:val="006E2A86"/>
    <w:rPr>
      <w:snapToGrid w:val="0"/>
      <w:lang w:val="cs-CZ" w:eastAsia="cs-CZ"/>
    </w:rPr>
  </w:style>
  <w:style w:type="paragraph" w:styleId="Textbubliny">
    <w:name w:val="Balloon Text"/>
    <w:basedOn w:val="Normln"/>
    <w:semiHidden/>
    <w:rsid w:val="00410D18"/>
    <w:rPr>
      <w:sz w:val="16"/>
      <w:szCs w:val="16"/>
    </w:rPr>
  </w:style>
  <w:style w:type="paragraph" w:styleId="Zhlav">
    <w:name w:val="header"/>
    <w:basedOn w:val="Normln"/>
    <w:rsid w:val="00410D18"/>
    <w:pPr>
      <w:tabs>
        <w:tab w:val="center" w:pos="4703"/>
        <w:tab w:val="right" w:pos="9406"/>
      </w:tabs>
    </w:pPr>
  </w:style>
  <w:style w:type="paragraph" w:styleId="Zpat">
    <w:name w:val="footer"/>
    <w:basedOn w:val="Normln"/>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slostrnky">
    <w:name w:val="page number"/>
    <w:rsid w:val="001917C6"/>
    <w:rPr>
      <w:rFonts w:cs="Times New Roman"/>
    </w:rPr>
  </w:style>
  <w:style w:type="paragraph" w:styleId="Odstavecseseznamem">
    <w:name w:val="List Paragraph"/>
    <w:basedOn w:val="Normln"/>
    <w:uiPriority w:val="34"/>
    <w:qFormat/>
    <w:rsid w:val="00DF494C"/>
    <w:pPr>
      <w:ind w:left="720"/>
      <w:contextualSpacing/>
    </w:pPr>
  </w:style>
  <w:style w:type="character" w:styleId="Odkaznakoment">
    <w:name w:val="annotation reference"/>
    <w:uiPriority w:val="99"/>
    <w:rsid w:val="00917589"/>
    <w:rPr>
      <w:rFonts w:cs="Times New Roman"/>
      <w:sz w:val="16"/>
      <w:szCs w:val="16"/>
    </w:rPr>
  </w:style>
  <w:style w:type="paragraph" w:styleId="Textkomente">
    <w:name w:val="annotation text"/>
    <w:basedOn w:val="Normln"/>
    <w:link w:val="TextkomenteChar"/>
    <w:uiPriority w:val="99"/>
    <w:rsid w:val="00917589"/>
    <w:rPr>
      <w:sz w:val="20"/>
      <w:szCs w:val="20"/>
    </w:rPr>
  </w:style>
  <w:style w:type="character" w:customStyle="1" w:styleId="TextkomenteChar">
    <w:name w:val="Text komentáře Char"/>
    <w:link w:val="Textkomente"/>
    <w:uiPriority w:val="99"/>
    <w:locked/>
    <w:rsid w:val="00917589"/>
    <w:rPr>
      <w:rFonts w:cs="Times New Roman"/>
      <w:snapToGrid w:val="0"/>
    </w:rPr>
  </w:style>
  <w:style w:type="paragraph" w:styleId="Pedmtkomente">
    <w:name w:val="annotation subject"/>
    <w:basedOn w:val="Textkomente"/>
    <w:next w:val="Textkomente"/>
    <w:link w:val="PedmtkomenteChar"/>
    <w:rsid w:val="00917589"/>
    <w:rPr>
      <w:b/>
      <w:bCs/>
    </w:rPr>
  </w:style>
  <w:style w:type="character" w:customStyle="1" w:styleId="PedmtkomenteChar">
    <w:name w:val="Předmět komentáře Char"/>
    <w:link w:val="Pedmtkomente"/>
    <w:locked/>
    <w:rsid w:val="00917589"/>
    <w:rPr>
      <w:rFonts w:cs="Times New Roman"/>
      <w:b/>
      <w:bCs/>
      <w:snapToGrid w:val="0"/>
    </w:rPr>
  </w:style>
  <w:style w:type="character" w:styleId="Siln">
    <w:name w:val="Strong"/>
    <w:uiPriority w:val="22"/>
    <w:qFormat/>
    <w:locked/>
    <w:rsid w:val="002A0C4C"/>
    <w:rPr>
      <w:b/>
      <w:bCs/>
    </w:rPr>
  </w:style>
  <w:style w:type="character" w:styleId="Nzevknihy">
    <w:name w:val="Book Title"/>
    <w:uiPriority w:val="33"/>
    <w:qFormat/>
    <w:rsid w:val="002A0C4C"/>
    <w:rPr>
      <w:b/>
      <w:bCs/>
      <w:smallCaps/>
      <w:spacing w:val="5"/>
    </w:rPr>
  </w:style>
  <w:style w:type="paragraph" w:customStyle="1" w:styleId="Style1">
    <w:name w:val="Style1"/>
    <w:basedOn w:val="Normln"/>
    <w:link w:val="Style1Char"/>
    <w:autoRedefine/>
    <w:qFormat/>
    <w:rsid w:val="00131086"/>
    <w:pPr>
      <w:tabs>
        <w:tab w:val="left" w:pos="851"/>
      </w:tabs>
      <w:ind w:left="851" w:hanging="425"/>
      <w:jc w:val="both"/>
    </w:pPr>
    <w:rPr>
      <w:i/>
    </w:rPr>
  </w:style>
  <w:style w:type="character" w:customStyle="1" w:styleId="Style1Char">
    <w:name w:val="Style1 Char"/>
    <w:link w:val="Style1"/>
    <w:rsid w:val="00131086"/>
    <w:rPr>
      <w:i/>
      <w:sz w:val="24"/>
      <w:szCs w:val="24"/>
      <w:lang w:val="cs-CZ" w:eastAsia="cs-CZ"/>
    </w:rPr>
  </w:style>
  <w:style w:type="paragraph" w:styleId="Revize">
    <w:name w:val="Revision"/>
    <w:hidden/>
    <w:uiPriority w:val="99"/>
    <w:semiHidden/>
    <w:rsid w:val="000D03F9"/>
    <w:rPr>
      <w:sz w:val="24"/>
      <w:szCs w:val="24"/>
    </w:rPr>
  </w:style>
  <w:style w:type="character" w:styleId="Hypertextovodkaz">
    <w:name w:val="Hyperlink"/>
    <w:rsid w:val="00535660"/>
    <w:rPr>
      <w:color w:val="0000FF"/>
      <w:u w:val="single"/>
    </w:rPr>
  </w:style>
  <w:style w:type="character" w:styleId="Sledovanodkaz">
    <w:name w:val="FollowedHyperlink"/>
    <w:rsid w:val="002A2B0B"/>
    <w:rPr>
      <w:color w:val="800080"/>
      <w:u w:val="single"/>
    </w:rPr>
  </w:style>
  <w:style w:type="paragraph" w:customStyle="1" w:styleId="1">
    <w:name w:val="1"/>
    <w:basedOn w:val="Normln"/>
    <w:link w:val="Znakapoznpodarou"/>
    <w:uiPriority w:val="99"/>
    <w:qFormat/>
    <w:rsid w:val="001138A4"/>
    <w:pPr>
      <w:spacing w:after="160" w:line="240" w:lineRule="exact"/>
    </w:pPr>
    <w:rPr>
      <w:rFonts w:ascii="TimesNewRomanPS" w:hAnsi="TimesNewRomanPS"/>
      <w:position w:val="6"/>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cb.europa.eu/stats/exchange/eurofxref/html/index.en.html"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e469741cf3c5e5ae516180e3f46fd26c">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f046cf4319326e4b19a4d3d0076ccef4"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9c8edfa-0c89-4db5-84aa-c604a671fbfe">Grant agreements</Category>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BB2B-68DB-45A8-9F13-C1BC669FAA2D}">
  <ds:schemaRefs>
    <ds:schemaRef ds:uri="http://schemas.microsoft.com/sharepoint/v3/contenttype/forms"/>
  </ds:schemaRefs>
</ds:datastoreItem>
</file>

<file path=customXml/itemProps2.xml><?xml version="1.0" encoding="utf-8"?>
<ds:datastoreItem xmlns:ds="http://schemas.openxmlformats.org/officeDocument/2006/customXml" ds:itemID="{0FE7FC04-FC80-48AC-92BE-3223D14A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80BDB-64C6-4CE1-B1A9-0368CC2B2DFC}">
  <ds:schemaRefs>
    <ds:schemaRef ds:uri="http://schemas.microsoft.com/sharepoint/v3/contenttype/forms"/>
  </ds:schemaRefs>
</ds:datastoreItem>
</file>

<file path=customXml/itemProps4.xml><?xml version="1.0" encoding="utf-8"?>
<ds:datastoreItem xmlns:ds="http://schemas.openxmlformats.org/officeDocument/2006/customXml" ds:itemID="{8D579BEC-21DB-4CFE-8BF1-917E991BED0C}">
  <ds:schemaRefs>
    <ds:schemaRef ds:uri="http://schemas.microsoft.com/office/2006/metadata/properties"/>
    <ds:schemaRef ds:uri="http://purl.org/dc/terms/"/>
    <ds:schemaRef ds:uri="09c8edfa-0c89-4db5-84aa-c604a671fbfe"/>
    <ds:schemaRef ds:uri="http://schemas.microsoft.com/office/2006/documentManagement/types"/>
    <ds:schemaRef ds:uri="http://purl.org/dc/elements/1.1/"/>
    <ds:schemaRef ds:uri="http://schemas.microsoft.com/office/infopath/2007/PartnerControls"/>
    <ds:schemaRef ds:uri="http://schemas.microsoft.com/sharepoint/v3"/>
    <ds:schemaRef ds:uri="http://www.w3.org/XML/1998/namespace"/>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6A9C91D0-6FC3-4FF0-86F2-E0BDC28CD83A}">
  <ds:schemaRefs>
    <ds:schemaRef ds:uri="http://schemas.microsoft.com/office/2006/metadata/longProperties"/>
  </ds:schemaRefs>
</ds:datastoreItem>
</file>

<file path=customXml/itemProps6.xml><?xml version="1.0" encoding="utf-8"?>
<ds:datastoreItem xmlns:ds="http://schemas.openxmlformats.org/officeDocument/2006/customXml" ds:itemID="{07F712B8-0ADA-41E5-9A83-D12C6B91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1770</Words>
  <Characters>10445</Characters>
  <Application>Microsoft Office Word</Application>
  <DocSecurity>4</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ANNEXE II - MODELE DE CONVENTION SPECIFIQUE DE SUBVENTION A L'ACTION</vt:lpstr>
      <vt:lpstr>ANNEXE II - MODELE DE CONVENTION SPECIFIQUE DE SUBVENTION A L'ACTION</vt:lpstr>
    </vt:vector>
  </TitlesOfParts>
  <Company>European Commission</Company>
  <LinksUpToDate>false</LinksUpToDate>
  <CharactersWithSpaces>12191</CharactersWithSpaces>
  <SharedDoc>false</SharedDoc>
  <HLinks>
    <vt:vector size="36" baseType="variant">
      <vt:variant>
        <vt:i4>4587560</vt:i4>
      </vt:variant>
      <vt:variant>
        <vt:i4>15</vt:i4>
      </vt:variant>
      <vt:variant>
        <vt:i4>0</vt:i4>
      </vt:variant>
      <vt:variant>
        <vt:i4>5</vt:i4>
      </vt:variant>
      <vt:variant>
        <vt:lpwstr>http://ec.europa.eu/budget/contracts_grants/info_contracts/inforeuro/inforeuro_en.cfm</vt:lpwstr>
      </vt:variant>
      <vt:variant>
        <vt:lpwstr/>
      </vt:variant>
      <vt:variant>
        <vt:i4>4718617</vt:i4>
      </vt:variant>
      <vt:variant>
        <vt:i4>12</vt:i4>
      </vt:variant>
      <vt:variant>
        <vt:i4>0</vt:i4>
      </vt:variant>
      <vt:variant>
        <vt:i4>5</vt:i4>
      </vt:variant>
      <vt:variant>
        <vt:lpwstr>http://www.ecb.europa.eu/stats/exchange/eurofxref/html/index.en.html</vt:lpwstr>
      </vt:variant>
      <vt:variant>
        <vt:lpwstr/>
      </vt:variant>
      <vt:variant>
        <vt:i4>4587560</vt:i4>
      </vt:variant>
      <vt:variant>
        <vt:i4>9</vt:i4>
      </vt:variant>
      <vt:variant>
        <vt:i4>0</vt:i4>
      </vt:variant>
      <vt:variant>
        <vt:i4>5</vt:i4>
      </vt:variant>
      <vt:variant>
        <vt:lpwstr>http://ec.europa.eu/budget/contracts_grants/info_contracts/inforeuro/inforeuro_en.cfm</vt:lpwstr>
      </vt:variant>
      <vt:variant>
        <vt:lpwstr/>
      </vt:variant>
      <vt:variant>
        <vt:i4>4718617</vt:i4>
      </vt:variant>
      <vt:variant>
        <vt:i4>6</vt:i4>
      </vt:variant>
      <vt:variant>
        <vt:i4>0</vt:i4>
      </vt:variant>
      <vt:variant>
        <vt:i4>5</vt:i4>
      </vt:variant>
      <vt:variant>
        <vt:lpwstr>http://www.ecb.europa.eu/stats/exchange/eurofxref/html/index.en.html</vt:lpwstr>
      </vt:variant>
      <vt:variant>
        <vt:lpwstr/>
      </vt: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4718617</vt:i4>
      </vt:variant>
      <vt:variant>
        <vt:i4>0</vt:i4>
      </vt:variant>
      <vt:variant>
        <vt:i4>0</vt:i4>
      </vt:variant>
      <vt:variant>
        <vt:i4>5</vt:i4>
      </vt:variant>
      <vt:variant>
        <vt:lpwstr>http://www.ecb.europa.eu/stats/exchange/eurofxref/html/index.en.html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 MODELE DE CONVENTION SPECIFIQUE DE SUBVENTION A L'ACTION</dc:title>
  <dc:creator>guerycl</dc:creator>
  <cp:lastModifiedBy>Mgr. Barbora Čižinská</cp:lastModifiedBy>
  <cp:revision>2</cp:revision>
  <cp:lastPrinted>2017-04-04T08:45:00Z</cp:lastPrinted>
  <dcterms:created xsi:type="dcterms:W3CDTF">2019-02-04T17:18:00Z</dcterms:created>
  <dcterms:modified xsi:type="dcterms:W3CDTF">2019-02-04T17:18:00Z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ategory">
    <vt:lpwstr>Grant agreements</vt:lpwstr>
  </property>
  <property fmtid="{D5CDD505-2E9C-101B-9397-08002B2CF9AE}" pid="5" name="ContentTypeId">
    <vt:lpwstr>0x010100D0966A0EB06BCE41920AE7F09F889088</vt:lpwstr>
  </property>
</Properties>
</file>