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1E5CAEAA" w:rsidR="00923483" w:rsidRDefault="00425163">
      <w:bookmarkStart w:id="0" w:name="_GoBack"/>
      <w:bookmarkEnd w:id="0"/>
    </w:p>
    <w:p w14:paraId="166B1127" w14:textId="490B04EA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4C6F4B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  <w:r w:rsidR="004C6F4B">
        <w:rPr>
          <w:b/>
          <w:sz w:val="40"/>
          <w:szCs w:val="40"/>
        </w:rPr>
        <w:t xml:space="preserve"> </w:t>
      </w:r>
      <w:r w:rsidR="001A2FBE">
        <w:rPr>
          <w:b/>
          <w:sz w:val="40"/>
          <w:szCs w:val="40"/>
        </w:rPr>
        <w:t xml:space="preserve"> (</w:t>
      </w:r>
      <w:r w:rsidR="004C6F4B">
        <w:rPr>
          <w:b/>
          <w:sz w:val="40"/>
          <w:szCs w:val="40"/>
        </w:rPr>
        <w:t>S M L O U V</w:t>
      </w:r>
      <w:r w:rsidR="001A2FBE">
        <w:rPr>
          <w:b/>
          <w:sz w:val="40"/>
          <w:szCs w:val="40"/>
        </w:rPr>
        <w:t> </w:t>
      </w:r>
      <w:r w:rsidR="004C6F4B">
        <w:rPr>
          <w:b/>
          <w:sz w:val="40"/>
          <w:szCs w:val="40"/>
        </w:rPr>
        <w:t>A</w:t>
      </w:r>
      <w:r w:rsidR="001A2FBE">
        <w:rPr>
          <w:b/>
          <w:sz w:val="40"/>
          <w:szCs w:val="40"/>
        </w:rPr>
        <w:t>)</w:t>
      </w:r>
    </w:p>
    <w:p w14:paraId="4F6DC967" w14:textId="1421336A" w:rsidR="00EF028F" w:rsidRPr="00EB5A69" w:rsidRDefault="00A75721" w:rsidP="00CB3AB0">
      <w:pPr>
        <w:tabs>
          <w:tab w:val="left" w:pos="2268"/>
        </w:tabs>
        <w:spacing w:after="0"/>
        <w:jc w:val="center"/>
        <w:rPr>
          <w:bCs/>
          <w:sz w:val="20"/>
          <w:szCs w:val="20"/>
        </w:rPr>
      </w:pPr>
      <w:r w:rsidRPr="00200665">
        <w:rPr>
          <w:sz w:val="24"/>
          <w:szCs w:val="24"/>
        </w:rPr>
        <w:t xml:space="preserve">Číslo </w:t>
      </w:r>
      <w:r w:rsidR="004C6F4B">
        <w:rPr>
          <w:sz w:val="24"/>
          <w:szCs w:val="24"/>
        </w:rPr>
        <w:t>objednatele:</w:t>
      </w:r>
      <w:r w:rsidR="00CB0E4D">
        <w:rPr>
          <w:sz w:val="24"/>
          <w:szCs w:val="24"/>
        </w:rPr>
        <w:t xml:space="preserve"> </w:t>
      </w:r>
      <w:r w:rsidR="009F3BF8" w:rsidRPr="009F3BF8">
        <w:rPr>
          <w:b/>
          <w:sz w:val="24"/>
          <w:szCs w:val="24"/>
        </w:rPr>
        <w:t>06EU-004263</w:t>
      </w:r>
      <w:r w:rsidR="009F3BF8" w:rsidRPr="009F3BF8">
        <w:rPr>
          <w:sz w:val="24"/>
          <w:szCs w:val="24"/>
        </w:rPr>
        <w:t xml:space="preserve"> </w:t>
      </w:r>
      <w:r w:rsidR="00EB5A69" w:rsidRPr="00EB5A69">
        <w:rPr>
          <w:sz w:val="20"/>
          <w:szCs w:val="20"/>
        </w:rPr>
        <w:t>(uvádějte při fakturaci)</w:t>
      </w:r>
    </w:p>
    <w:p w14:paraId="64D4853D" w14:textId="5ED669F7" w:rsidR="004C6F4B" w:rsidRPr="00CB4DE8" w:rsidRDefault="004C6F4B" w:rsidP="00CB3AB0">
      <w:pPr>
        <w:tabs>
          <w:tab w:val="left" w:pos="2268"/>
        </w:tabs>
        <w:spacing w:after="0"/>
        <w:jc w:val="center"/>
        <w:rPr>
          <w:bCs/>
          <w:color w:val="000000" w:themeColor="text1"/>
          <w:sz w:val="24"/>
          <w:szCs w:val="24"/>
        </w:rPr>
      </w:pPr>
      <w:r w:rsidRPr="00CB4DE8">
        <w:rPr>
          <w:bCs/>
          <w:sz w:val="24"/>
          <w:szCs w:val="24"/>
        </w:rPr>
        <w:t xml:space="preserve">Číslo </w:t>
      </w:r>
      <w:r w:rsidR="00B075D5" w:rsidRPr="00CB4DE8">
        <w:rPr>
          <w:bCs/>
          <w:sz w:val="24"/>
          <w:szCs w:val="24"/>
        </w:rPr>
        <w:t>dodavatele</w:t>
      </w:r>
      <w:r w:rsidRPr="00CB4DE8">
        <w:rPr>
          <w:bCs/>
          <w:sz w:val="24"/>
          <w:szCs w:val="24"/>
        </w:rPr>
        <w:t xml:space="preserve">: </w:t>
      </w:r>
      <w:proofErr w:type="spellStart"/>
      <w:r w:rsidR="00CB4DE8" w:rsidRPr="00CB4DE8">
        <w:rPr>
          <w:bCs/>
          <w:color w:val="000000" w:themeColor="text1"/>
          <w:sz w:val="24"/>
          <w:szCs w:val="24"/>
          <w:highlight w:val="black"/>
        </w:rPr>
        <w:t>xxxxxxxxxx</w:t>
      </w:r>
      <w:proofErr w:type="spellEnd"/>
    </w:p>
    <w:p w14:paraId="23A07B0C" w14:textId="769EE137" w:rsidR="00171F33" w:rsidRPr="00CB4DE8" w:rsidRDefault="005A7536" w:rsidP="00171F33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171F33" w:rsidRPr="00CB4DE8" w:rsidSect="00EF02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B4DE8">
        <w:rPr>
          <w:bCs/>
          <w:sz w:val="24"/>
          <w:szCs w:val="24"/>
        </w:rPr>
        <w:t>ISPROFIN/</w:t>
      </w:r>
      <w:r w:rsidR="00F80779" w:rsidRPr="00CB4DE8">
        <w:rPr>
          <w:bCs/>
          <w:sz w:val="24"/>
          <w:szCs w:val="24"/>
        </w:rPr>
        <w:t xml:space="preserve">ISPROFOND: </w:t>
      </w:r>
      <w:r w:rsidR="009F3BF8" w:rsidRPr="00CB4DE8">
        <w:rPr>
          <w:color w:val="000000" w:themeColor="text1"/>
          <w:sz w:val="24"/>
          <w:szCs w:val="24"/>
          <w:highlight w:val="black"/>
        </w:rPr>
        <w:t>3271110901 NIV protihluky</w:t>
      </w:r>
      <w:r w:rsidR="009F3BF8" w:rsidRPr="00CB4DE8">
        <w:rPr>
          <w:color w:val="000000" w:themeColor="text1"/>
          <w:sz w:val="24"/>
          <w:szCs w:val="24"/>
        </w:rPr>
        <w:t xml:space="preserve"> </w:t>
      </w:r>
      <w:r w:rsidR="00EB5A69" w:rsidRPr="00CB4DE8">
        <w:rPr>
          <w:sz w:val="20"/>
          <w:szCs w:val="20"/>
        </w:rPr>
        <w:t>(uvádějte při fakturaci)</w:t>
      </w:r>
    </w:p>
    <w:p w14:paraId="34B12470" w14:textId="77777777" w:rsidR="00171F33" w:rsidRPr="00CB4DE8" w:rsidRDefault="00171F33" w:rsidP="00171F33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B7B9B5F" w14:textId="004A0A8F" w:rsidR="004C6F4B" w:rsidRPr="00CB4DE8" w:rsidRDefault="009F3BF8" w:rsidP="00CB3AB0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CB4DE8">
        <w:rPr>
          <w:b/>
          <w:bCs/>
          <w:szCs w:val="28"/>
          <w:u w:val="single"/>
        </w:rPr>
        <w:t>I/20 Prádlo, Klášter, Nepomuk – III. etapa řešení SHZ</w:t>
      </w:r>
    </w:p>
    <w:p w14:paraId="046B9896" w14:textId="24EE8C20" w:rsidR="008C4A45" w:rsidRPr="00CB4DE8" w:rsidRDefault="008C4A45" w:rsidP="00CB3AB0">
      <w:pPr>
        <w:tabs>
          <w:tab w:val="left" w:pos="2268"/>
        </w:tabs>
        <w:spacing w:after="0"/>
        <w:jc w:val="center"/>
        <w:rPr>
          <w:b/>
        </w:rPr>
      </w:pPr>
    </w:p>
    <w:p w14:paraId="41D44F15" w14:textId="77777777" w:rsidR="009D35A1" w:rsidRPr="00CB4DE8" w:rsidRDefault="009D35A1" w:rsidP="002E029E">
      <w:pPr>
        <w:spacing w:after="0"/>
        <w:rPr>
          <w:b/>
        </w:rPr>
      </w:pPr>
    </w:p>
    <w:p w14:paraId="4463750E" w14:textId="77777777" w:rsidR="00CB3AB0" w:rsidRPr="00CB4DE8" w:rsidRDefault="00CB3AB0" w:rsidP="002E029E">
      <w:pPr>
        <w:spacing w:after="0"/>
        <w:rPr>
          <w:b/>
        </w:rPr>
        <w:sectPr w:rsidR="00CB3AB0" w:rsidRPr="00CB4DE8" w:rsidSect="00EF028F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21FBD" w14:textId="0EA2E630" w:rsidR="008C4A45" w:rsidRPr="00CB4DE8" w:rsidRDefault="008C4A45" w:rsidP="008C4A45">
      <w:pPr>
        <w:spacing w:after="0" w:line="240" w:lineRule="auto"/>
        <w:rPr>
          <w:b/>
          <w:sz w:val="24"/>
          <w:szCs w:val="24"/>
        </w:rPr>
      </w:pPr>
      <w:r w:rsidRPr="00CB4DE8">
        <w:rPr>
          <w:b/>
          <w:sz w:val="24"/>
          <w:szCs w:val="24"/>
        </w:rPr>
        <w:t>Objednatel:</w:t>
      </w:r>
    </w:p>
    <w:p w14:paraId="2D91457E" w14:textId="77777777" w:rsidR="00604890" w:rsidRPr="00CB4DE8" w:rsidRDefault="00604890" w:rsidP="008C4A45">
      <w:pPr>
        <w:spacing w:after="0" w:line="240" w:lineRule="auto"/>
        <w:rPr>
          <w:sz w:val="24"/>
          <w:szCs w:val="24"/>
        </w:rPr>
      </w:pPr>
      <w:r w:rsidRPr="00CB4DE8">
        <w:rPr>
          <w:sz w:val="24"/>
          <w:szCs w:val="24"/>
        </w:rPr>
        <w:t>Ředitelství silnic a dálnic ČR</w:t>
      </w:r>
    </w:p>
    <w:p w14:paraId="3923C51F" w14:textId="2D1063B3" w:rsidR="002B7ABB" w:rsidRPr="00CB4DE8" w:rsidRDefault="00B075D5" w:rsidP="00153D94">
      <w:pPr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>Sprá</w:t>
      </w:r>
      <w:r w:rsidR="00F80779" w:rsidRPr="00CB4DE8">
        <w:rPr>
          <w:sz w:val="24"/>
          <w:szCs w:val="24"/>
        </w:rPr>
        <w:t xml:space="preserve">va Plzeň, Hřímalého 37, 301 00 </w:t>
      </w:r>
      <w:r w:rsidRPr="00CB4DE8">
        <w:rPr>
          <w:sz w:val="24"/>
          <w:szCs w:val="24"/>
        </w:rPr>
        <w:t>Plzeň</w:t>
      </w:r>
    </w:p>
    <w:p w14:paraId="2C4E01A4" w14:textId="77777777" w:rsidR="00604890" w:rsidRPr="00CB4DE8" w:rsidRDefault="00604890" w:rsidP="00153D94">
      <w:pPr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 xml:space="preserve">Bankovní spojení: </w:t>
      </w:r>
      <w:r w:rsidRPr="00CB4DE8">
        <w:rPr>
          <w:sz w:val="24"/>
          <w:szCs w:val="24"/>
          <w:highlight w:val="black"/>
        </w:rPr>
        <w:t>ČNB</w:t>
      </w:r>
    </w:p>
    <w:p w14:paraId="47A1C014" w14:textId="77777777" w:rsidR="00604890" w:rsidRPr="00CB4DE8" w:rsidRDefault="00604890" w:rsidP="00153D94">
      <w:pPr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 xml:space="preserve">Číslo účtu: </w:t>
      </w:r>
      <w:r w:rsidRPr="00CB4DE8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CB4DE8" w:rsidRDefault="00604890" w:rsidP="00153D94">
      <w:pPr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>IČO: 65993390</w:t>
      </w:r>
    </w:p>
    <w:p w14:paraId="312D64FA" w14:textId="7F98D14B" w:rsidR="00604890" w:rsidRPr="00CB4DE8" w:rsidRDefault="00604890" w:rsidP="00153D94">
      <w:pPr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 xml:space="preserve">DIČ: </w:t>
      </w:r>
      <w:r w:rsidR="00105E6A" w:rsidRPr="00CB4DE8">
        <w:rPr>
          <w:sz w:val="24"/>
          <w:szCs w:val="24"/>
        </w:rPr>
        <w:t>CZ65993390</w:t>
      </w:r>
    </w:p>
    <w:p w14:paraId="3764DCFA" w14:textId="41C7F61A" w:rsidR="00A75721" w:rsidRPr="00CB4DE8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ab/>
      </w:r>
    </w:p>
    <w:p w14:paraId="4634236F" w14:textId="77777777" w:rsidR="008C4A45" w:rsidRPr="00CB4DE8" w:rsidRDefault="008C4A45" w:rsidP="008C4A45">
      <w:pPr>
        <w:tabs>
          <w:tab w:val="left" w:pos="2268"/>
        </w:tabs>
        <w:spacing w:after="0"/>
        <w:rPr>
          <w:sz w:val="24"/>
          <w:szCs w:val="24"/>
        </w:rPr>
      </w:pPr>
    </w:p>
    <w:p w14:paraId="5940418C" w14:textId="77777777" w:rsidR="008C4A45" w:rsidRPr="00CB4DE8" w:rsidRDefault="008C4A45" w:rsidP="008C4A45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792F8EC6" w14:textId="254ACBFB" w:rsidR="008C4A45" w:rsidRPr="00CB4DE8" w:rsidRDefault="008C4A45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19D768F9" w14:textId="549F0B82" w:rsidR="00171F33" w:rsidRPr="00CB4DE8" w:rsidRDefault="00171F33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CB4DE8">
        <w:rPr>
          <w:b/>
          <w:sz w:val="24"/>
          <w:szCs w:val="24"/>
        </w:rPr>
        <w:t>Dodavatel:</w:t>
      </w:r>
    </w:p>
    <w:p w14:paraId="77E2D8AB" w14:textId="072BC243" w:rsidR="00171F33" w:rsidRPr="00CB4DE8" w:rsidRDefault="00CB4DE8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EKOLA group, spol. s r.o.</w:t>
      </w:r>
    </w:p>
    <w:p w14:paraId="246E7C8D" w14:textId="4B026F6B" w:rsidR="008C4A45" w:rsidRPr="00CB4DE8" w:rsidRDefault="00CB4DE8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Mistrovská 4, 108 00  Praha 10</w:t>
      </w:r>
    </w:p>
    <w:p w14:paraId="4F4445D0" w14:textId="5213B268" w:rsidR="008647CD" w:rsidRPr="00CB4DE8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>Bankovní spojení:</w:t>
      </w:r>
      <w:r w:rsidR="00B96155" w:rsidRPr="00CB4DE8">
        <w:rPr>
          <w:sz w:val="24"/>
          <w:szCs w:val="24"/>
        </w:rPr>
        <w:t xml:space="preserve"> </w:t>
      </w:r>
      <w:proofErr w:type="spellStart"/>
      <w:r w:rsidR="00CB4DE8" w:rsidRPr="00CB4DE8">
        <w:rPr>
          <w:sz w:val="24"/>
          <w:szCs w:val="24"/>
          <w:highlight w:val="black"/>
        </w:rPr>
        <w:t>xxxxxxxxxxxxx</w:t>
      </w:r>
      <w:proofErr w:type="spellEnd"/>
    </w:p>
    <w:p w14:paraId="7EE8E65E" w14:textId="66DD15AF" w:rsidR="008C4A45" w:rsidRPr="00CB4DE8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>Číslo účtu:</w:t>
      </w:r>
      <w:r w:rsidR="00B96155" w:rsidRPr="00CB4DE8">
        <w:rPr>
          <w:sz w:val="24"/>
          <w:szCs w:val="24"/>
        </w:rPr>
        <w:t xml:space="preserve"> </w:t>
      </w:r>
      <w:proofErr w:type="spellStart"/>
      <w:r w:rsidR="00CB4DE8" w:rsidRPr="00CB4DE8">
        <w:rPr>
          <w:sz w:val="24"/>
          <w:szCs w:val="24"/>
          <w:highlight w:val="black"/>
        </w:rPr>
        <w:t>xxxxxxxxxxxxx</w:t>
      </w:r>
      <w:proofErr w:type="spellEnd"/>
    </w:p>
    <w:p w14:paraId="09B995CC" w14:textId="1A22C146" w:rsidR="00A75721" w:rsidRPr="00CB4DE8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>IČO:</w:t>
      </w:r>
      <w:r w:rsidR="00453955" w:rsidRPr="00CB4DE8">
        <w:rPr>
          <w:sz w:val="24"/>
          <w:szCs w:val="24"/>
        </w:rPr>
        <w:t xml:space="preserve"> </w:t>
      </w:r>
      <w:r w:rsidR="00CB4DE8">
        <w:rPr>
          <w:sz w:val="24"/>
          <w:szCs w:val="24"/>
        </w:rPr>
        <w:t>63981378</w:t>
      </w:r>
    </w:p>
    <w:p w14:paraId="2FB4799E" w14:textId="13EE576A" w:rsidR="00A75721" w:rsidRPr="00CB4DE8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CB4DE8">
        <w:rPr>
          <w:sz w:val="24"/>
          <w:szCs w:val="24"/>
        </w:rPr>
        <w:t>DIČ:</w:t>
      </w:r>
      <w:r w:rsidR="00453955" w:rsidRPr="00CB4DE8">
        <w:rPr>
          <w:sz w:val="24"/>
          <w:szCs w:val="24"/>
        </w:rPr>
        <w:t xml:space="preserve"> </w:t>
      </w:r>
      <w:r w:rsidR="00CB4DE8">
        <w:rPr>
          <w:sz w:val="24"/>
          <w:szCs w:val="24"/>
        </w:rPr>
        <w:t>CZ63981378</w:t>
      </w:r>
    </w:p>
    <w:p w14:paraId="39AA7951" w14:textId="254F97FD" w:rsidR="00EF028F" w:rsidRPr="00200665" w:rsidRDefault="00282421" w:rsidP="00CB4DE8">
      <w:pPr>
        <w:tabs>
          <w:tab w:val="left" w:pos="2268"/>
        </w:tabs>
        <w:spacing w:after="0"/>
        <w:ind w:right="-354"/>
        <w:rPr>
          <w:sz w:val="24"/>
          <w:szCs w:val="24"/>
        </w:rPr>
      </w:pPr>
      <w:r w:rsidRPr="00CB4DE8">
        <w:rPr>
          <w:sz w:val="24"/>
          <w:szCs w:val="24"/>
        </w:rPr>
        <w:t xml:space="preserve">Kontaktní osoba: </w:t>
      </w:r>
      <w:proofErr w:type="spellStart"/>
      <w:r w:rsidR="00CB4DE8" w:rsidRPr="00CB4DE8">
        <w:rPr>
          <w:sz w:val="24"/>
          <w:szCs w:val="24"/>
          <w:highlight w:val="black"/>
        </w:rPr>
        <w:t>xxxxxxxxxxxxxxxxxxxxxx</w:t>
      </w:r>
      <w:proofErr w:type="spellEnd"/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DE15145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>Tato objednávka</w:t>
      </w:r>
      <w:r w:rsidR="00B075D5">
        <w:rPr>
          <w:rFonts w:cs="Times New Roman"/>
          <w:sz w:val="24"/>
          <w:szCs w:val="24"/>
        </w:rPr>
        <w:t xml:space="preserve"> - smlouva</w:t>
      </w:r>
      <w:r w:rsidRPr="006D696C">
        <w:rPr>
          <w:rFonts w:cs="Times New Roman"/>
          <w:sz w:val="24"/>
          <w:szCs w:val="24"/>
        </w:rPr>
        <w:t xml:space="preserve">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</w:t>
      </w:r>
      <w:r w:rsidRPr="001A2FBE">
        <w:rPr>
          <w:rFonts w:cs="Times New Roman"/>
          <w:sz w:val="24"/>
          <w:szCs w:val="24"/>
        </w:rPr>
        <w:t xml:space="preserve">nahrazuje smlouvu. </w:t>
      </w:r>
      <w:r w:rsidR="00DE7F99" w:rsidRPr="001A2FBE">
        <w:rPr>
          <w:rFonts w:cs="Times New Roman"/>
          <w:sz w:val="24"/>
          <w:szCs w:val="24"/>
        </w:rPr>
        <w:t xml:space="preserve">Dodavatel </w:t>
      </w:r>
      <w:r w:rsidRPr="001A2FBE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1A2FBE">
        <w:rPr>
          <w:rFonts w:cs="Times New Roman"/>
          <w:sz w:val="24"/>
          <w:szCs w:val="24"/>
        </w:rPr>
        <w:t>O</w:t>
      </w:r>
      <w:r w:rsidRPr="001A2FBE">
        <w:rPr>
          <w:rFonts w:cs="Times New Roman"/>
          <w:sz w:val="24"/>
          <w:szCs w:val="24"/>
        </w:rPr>
        <w:t>bjednatele</w:t>
      </w:r>
      <w:r w:rsidR="001A2FBE" w:rsidRPr="001A2FBE">
        <w:rPr>
          <w:rFonts w:cs="Times New Roman"/>
          <w:sz w:val="24"/>
          <w:szCs w:val="24"/>
        </w:rPr>
        <w:t xml:space="preserve"> s</w:t>
      </w:r>
      <w:r w:rsidRPr="001A2FBE">
        <w:rPr>
          <w:rFonts w:cs="Times New Roman"/>
          <w:sz w:val="24"/>
          <w:szCs w:val="24"/>
        </w:rPr>
        <w:t>lužby specifikované níže. Objednatel se zavazuje zaplatit za služby poskytnuté v souladu</w:t>
      </w:r>
      <w:r w:rsidRPr="006D696C">
        <w:rPr>
          <w:rFonts w:cs="Times New Roman"/>
          <w:sz w:val="24"/>
          <w:szCs w:val="24"/>
        </w:rPr>
        <w:t xml:space="preserve"> s touto </w:t>
      </w:r>
      <w:r w:rsidR="00FD1FB4">
        <w:rPr>
          <w:rFonts w:cs="Times New Roman"/>
          <w:sz w:val="24"/>
          <w:szCs w:val="24"/>
        </w:rPr>
        <w:t>objednávkou</w:t>
      </w:r>
      <w:r w:rsidRPr="006D696C">
        <w:rPr>
          <w:rFonts w:cs="Times New Roman"/>
          <w:sz w:val="24"/>
          <w:szCs w:val="24"/>
        </w:rPr>
        <w:t xml:space="preserve"> cenu uvedenou níže.</w:t>
      </w:r>
    </w:p>
    <w:p w14:paraId="6DDA1705" w14:textId="3C189D69" w:rsidR="00F80779" w:rsidRPr="009F3BF8" w:rsidRDefault="009F3BF8" w:rsidP="009F3B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Místo plnění</w:t>
      </w:r>
      <w:r w:rsidR="00604890"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sil. I/20 v km 109,498 – 114,915</w:t>
      </w:r>
    </w:p>
    <w:p w14:paraId="39F2742E" w14:textId="751D6D7D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r w:rsidR="00F54766" w:rsidRPr="00CB4DE8">
        <w:rPr>
          <w:b/>
          <w:sz w:val="24"/>
          <w:szCs w:val="24"/>
          <w:highlight w:val="black"/>
        </w:rPr>
        <w:t>Ladislava Martínková, tel. 377 333 761</w:t>
      </w:r>
    </w:p>
    <w:p w14:paraId="255FD969" w14:textId="431778CD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F54766"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 w:rsidR="00F54766">
        <w:rPr>
          <w:sz w:val="24"/>
          <w:szCs w:val="24"/>
        </w:rPr>
        <w:t>Plzeň</w:t>
      </w:r>
    </w:p>
    <w:p w14:paraId="42C0E761" w14:textId="3D98F83F" w:rsidR="004D5C72" w:rsidRPr="00FF13FF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</w:t>
      </w:r>
      <w:r w:rsidR="00153D94" w:rsidRPr="001A2FBE">
        <w:rPr>
          <w:sz w:val="24"/>
          <w:szCs w:val="24"/>
        </w:rPr>
        <w:t xml:space="preserve">bankovním převodem na účet </w:t>
      </w:r>
      <w:r w:rsidR="00DB2E94" w:rsidRPr="001A2FBE">
        <w:rPr>
          <w:sz w:val="24"/>
          <w:szCs w:val="24"/>
        </w:rPr>
        <w:t>D</w:t>
      </w:r>
      <w:r w:rsidR="00153D94" w:rsidRPr="001A2FBE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1A2FBE">
        <w:rPr>
          <w:sz w:val="24"/>
          <w:szCs w:val="24"/>
        </w:rPr>
        <w:t>O</w:t>
      </w:r>
      <w:r w:rsidR="00153D94" w:rsidRPr="001A2FBE">
        <w:rPr>
          <w:sz w:val="24"/>
          <w:szCs w:val="24"/>
        </w:rPr>
        <w:t>bjednateli. Fakturu lze předložit nejdříve po protokolárním převzetí služeb</w:t>
      </w:r>
      <w:r w:rsidR="00FD1FB4" w:rsidRPr="001A2FBE">
        <w:rPr>
          <w:sz w:val="24"/>
          <w:szCs w:val="24"/>
        </w:rPr>
        <w:t xml:space="preserve"> O</w:t>
      </w:r>
      <w:r w:rsidR="00153D94" w:rsidRPr="001A2FBE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</w:t>
      </w:r>
      <w:r w:rsidR="00153D94" w:rsidRPr="00FF13FF">
        <w:rPr>
          <w:sz w:val="24"/>
          <w:szCs w:val="24"/>
        </w:rPr>
        <w:t xml:space="preserve">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Objednávka je účinná okamžik</w:t>
      </w:r>
      <w:r w:rsidR="00B6178D">
        <w:rPr>
          <w:sz w:val="24"/>
          <w:szCs w:val="24"/>
        </w:rPr>
        <w:t xml:space="preserve">em zveřejnění v registru smluv, přičemž </w:t>
      </w:r>
      <w:r w:rsidR="000C7C8D">
        <w:rPr>
          <w:sz w:val="24"/>
          <w:szCs w:val="24"/>
        </w:rPr>
        <w:t>Objednatel</w:t>
      </w:r>
      <w:r w:rsidR="00FD1FB4">
        <w:rPr>
          <w:sz w:val="24"/>
          <w:szCs w:val="24"/>
        </w:rPr>
        <w:t xml:space="preserve"> o této skutečnosti D</w:t>
      </w:r>
      <w:r w:rsidR="003A609B">
        <w:rPr>
          <w:sz w:val="24"/>
          <w:szCs w:val="24"/>
        </w:rPr>
        <w:t>odavatele</w:t>
      </w:r>
      <w:r w:rsidR="000D69FD">
        <w:rPr>
          <w:sz w:val="24"/>
          <w:szCs w:val="24"/>
        </w:rPr>
        <w:t xml:space="preserve"> informuje</w:t>
      </w:r>
      <w:r w:rsidR="003A609B">
        <w:rPr>
          <w:sz w:val="24"/>
          <w:szCs w:val="24"/>
        </w:rPr>
        <w:t>.</w:t>
      </w:r>
      <w:r w:rsidR="00105E6A">
        <w:rPr>
          <w:sz w:val="24"/>
          <w:szCs w:val="24"/>
        </w:rPr>
        <w:t xml:space="preserve"> Objednatel je oprávněn kdykoliv po uzavření objednávky tuto objednávku vypovědět s účinky od doručení písemné výpovědi Dodavateli, a to i bez </w:t>
      </w:r>
      <w:r w:rsidR="00105E6A">
        <w:rPr>
          <w:sz w:val="24"/>
          <w:szCs w:val="24"/>
        </w:rPr>
        <w:lastRenderedPageBreak/>
        <w:t>uvedení důvodu. Výpověď objednávky dle předcházející věty nemá vliv na již řádně poskytnuté plnění včetně práv a povinností z něj vyplývajících.</w:t>
      </w:r>
    </w:p>
    <w:p w14:paraId="23525D9F" w14:textId="32644571" w:rsidR="001A2FBE" w:rsidRDefault="001A2FBE" w:rsidP="00153D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Záruční lhůta:</w:t>
      </w:r>
      <w:r w:rsidR="00F54766">
        <w:rPr>
          <w:b/>
          <w:sz w:val="24"/>
          <w:szCs w:val="24"/>
        </w:rPr>
        <w:t xml:space="preserve"> </w:t>
      </w:r>
      <w:r w:rsidR="009F3BF8" w:rsidRPr="009F3BF8">
        <w:rPr>
          <w:sz w:val="24"/>
          <w:szCs w:val="24"/>
        </w:rPr>
        <w:t>dle Občanského zákoníku</w:t>
      </w:r>
    </w:p>
    <w:p w14:paraId="3DE3979E" w14:textId="7067D383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  <w:r w:rsidR="009F3BF8">
        <w:rPr>
          <w:sz w:val="24"/>
          <w:szCs w:val="24"/>
        </w:rPr>
        <w:t>III. etapu řešení SHZ</w:t>
      </w:r>
    </w:p>
    <w:p w14:paraId="299A5AF5" w14:textId="2E56F918" w:rsidR="00A75721" w:rsidRPr="00200665" w:rsidRDefault="009F3BF8" w:rsidP="00D829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Termín plnění: </w:t>
      </w:r>
      <w:r w:rsidRPr="009F3BF8">
        <w:rPr>
          <w:b/>
          <w:sz w:val="24"/>
          <w:szCs w:val="24"/>
          <w:u w:val="single"/>
        </w:rPr>
        <w:t>do 31.</w:t>
      </w:r>
      <w:r>
        <w:rPr>
          <w:b/>
          <w:sz w:val="24"/>
          <w:szCs w:val="24"/>
          <w:u w:val="single"/>
        </w:rPr>
        <w:t xml:space="preserve"> </w:t>
      </w:r>
      <w:r w:rsidRPr="009F3BF8">
        <w:rPr>
          <w:b/>
          <w:sz w:val="24"/>
          <w:szCs w:val="24"/>
          <w:u w:val="single"/>
        </w:rPr>
        <w:t>10.</w:t>
      </w:r>
      <w:r>
        <w:rPr>
          <w:b/>
          <w:sz w:val="24"/>
          <w:szCs w:val="24"/>
          <w:u w:val="single"/>
        </w:rPr>
        <w:t xml:space="preserve"> </w:t>
      </w:r>
      <w:r w:rsidRPr="009F3BF8">
        <w:rPr>
          <w:b/>
          <w:sz w:val="24"/>
          <w:szCs w:val="24"/>
          <w:u w:val="single"/>
        </w:rPr>
        <w:t>2019</w:t>
      </w:r>
    </w:p>
    <w:p w14:paraId="43B09CE6" w14:textId="77777777" w:rsidR="00D8296D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 w:rsidR="0033757F">
        <w:rPr>
          <w:b/>
          <w:sz w:val="24"/>
          <w:szCs w:val="24"/>
        </w:rPr>
        <w:t>á hodnota objednávky v</w:t>
      </w:r>
      <w:r w:rsidR="00D8296D">
        <w:rPr>
          <w:b/>
          <w:sz w:val="24"/>
          <w:szCs w:val="24"/>
        </w:rPr>
        <w:t> </w:t>
      </w:r>
      <w:r w:rsidR="0033757F">
        <w:rPr>
          <w:b/>
          <w:sz w:val="24"/>
          <w:szCs w:val="24"/>
        </w:rPr>
        <w:t>Kč</w:t>
      </w:r>
      <w:r w:rsidR="00D8296D">
        <w:rPr>
          <w:b/>
          <w:sz w:val="24"/>
          <w:szCs w:val="24"/>
        </w:rPr>
        <w:t>:</w:t>
      </w:r>
    </w:p>
    <w:p w14:paraId="6EFAB3EB" w14:textId="021478F5" w:rsidR="00D8296D" w:rsidRPr="00CB4DE8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33757F">
        <w:rPr>
          <w:b/>
          <w:sz w:val="24"/>
          <w:szCs w:val="24"/>
        </w:rPr>
        <w:t>bez</w:t>
      </w:r>
      <w:r w:rsidR="00604890" w:rsidRPr="00200665">
        <w:rPr>
          <w:b/>
          <w:sz w:val="24"/>
          <w:szCs w:val="24"/>
        </w:rPr>
        <w:t xml:space="preserve"> DPH</w:t>
      </w:r>
      <w:r w:rsidR="00D829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 w:rsidR="00AA7F78">
        <w:rPr>
          <w:b/>
          <w:sz w:val="24"/>
          <w:szCs w:val="24"/>
        </w:rPr>
        <w:t xml:space="preserve">      </w:t>
      </w:r>
      <w:r w:rsidR="00CB4DE8" w:rsidRPr="00CB4DE8">
        <w:rPr>
          <w:b/>
          <w:sz w:val="24"/>
          <w:szCs w:val="24"/>
        </w:rPr>
        <w:t>241 300,00</w:t>
      </w:r>
    </w:p>
    <w:p w14:paraId="529784F8" w14:textId="77777777" w:rsidR="006C39DB" w:rsidRPr="00CB4DE8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684B9F75" w14:textId="6292E569" w:rsidR="00D8296D" w:rsidRPr="00CB4DE8" w:rsidRDefault="00D8296D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CB4DE8">
        <w:rPr>
          <w:b/>
          <w:sz w:val="24"/>
          <w:szCs w:val="24"/>
        </w:rPr>
        <w:t>DPH 21%:</w:t>
      </w:r>
      <w:r w:rsidR="006C39DB" w:rsidRPr="00CB4DE8">
        <w:rPr>
          <w:b/>
          <w:sz w:val="24"/>
          <w:szCs w:val="24"/>
        </w:rPr>
        <w:t xml:space="preserve">  </w:t>
      </w:r>
      <w:r w:rsidR="00AA7F78" w:rsidRPr="00CB4DE8">
        <w:rPr>
          <w:b/>
          <w:sz w:val="24"/>
          <w:szCs w:val="24"/>
        </w:rPr>
        <w:t xml:space="preserve">                 </w:t>
      </w:r>
      <w:r w:rsidR="00CB4DE8" w:rsidRPr="00CB4DE8">
        <w:rPr>
          <w:b/>
          <w:sz w:val="24"/>
          <w:szCs w:val="24"/>
        </w:rPr>
        <w:t xml:space="preserve"> 50 673,00</w:t>
      </w:r>
    </w:p>
    <w:p w14:paraId="14ECE052" w14:textId="77777777" w:rsidR="006C39DB" w:rsidRPr="00CB4DE8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5E6673E4" w14:textId="495F0017" w:rsidR="006C39DB" w:rsidRPr="00CB4DE8" w:rsidRDefault="00D8296D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CB4DE8">
        <w:rPr>
          <w:b/>
          <w:sz w:val="24"/>
          <w:szCs w:val="24"/>
        </w:rPr>
        <w:t>Cena celkem</w:t>
      </w:r>
      <w:r w:rsidR="003854F7" w:rsidRPr="00CB4DE8">
        <w:rPr>
          <w:b/>
          <w:sz w:val="24"/>
          <w:szCs w:val="24"/>
        </w:rPr>
        <w:t xml:space="preserve"> s DPH</w:t>
      </w:r>
      <w:r w:rsidR="00604890" w:rsidRPr="00CB4DE8">
        <w:rPr>
          <w:b/>
          <w:sz w:val="24"/>
          <w:szCs w:val="24"/>
        </w:rPr>
        <w:t>:</w:t>
      </w:r>
      <w:r w:rsidR="00453955" w:rsidRPr="00CB4DE8">
        <w:rPr>
          <w:b/>
          <w:sz w:val="24"/>
          <w:szCs w:val="24"/>
        </w:rPr>
        <w:t xml:space="preserve"> </w:t>
      </w:r>
      <w:r w:rsidR="00AA7F78" w:rsidRPr="00CB4DE8">
        <w:rPr>
          <w:b/>
          <w:sz w:val="24"/>
          <w:szCs w:val="24"/>
        </w:rPr>
        <w:t xml:space="preserve"> </w:t>
      </w:r>
      <w:r w:rsidR="00CB4DE8" w:rsidRPr="00CB4DE8">
        <w:rPr>
          <w:b/>
          <w:sz w:val="24"/>
          <w:szCs w:val="24"/>
        </w:rPr>
        <w:t>291 973,00</w:t>
      </w:r>
    </w:p>
    <w:p w14:paraId="21A0252C" w14:textId="681258B2" w:rsidR="00604890" w:rsidRPr="00200665" w:rsidRDefault="00604890" w:rsidP="00153D94">
      <w:pPr>
        <w:jc w:val="both"/>
        <w:rPr>
          <w:b/>
          <w:sz w:val="24"/>
          <w:szCs w:val="24"/>
        </w:rPr>
      </w:pPr>
    </w:p>
    <w:p w14:paraId="3832F879" w14:textId="3A7182A8" w:rsidR="0069013D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0" w:history="1">
        <w:r w:rsidR="00D8296D" w:rsidRPr="00CB4DE8">
          <w:rPr>
            <w:rStyle w:val="Hypertextovodkaz"/>
            <w:rFonts w:cs="Times New Roman"/>
            <w:color w:val="000000" w:themeColor="text1"/>
            <w:sz w:val="24"/>
            <w:szCs w:val="24"/>
            <w:highlight w:val="black"/>
          </w:rPr>
          <w:t>ladislava.martinkova@rsd.cz</w:t>
        </w:r>
      </w:hyperlink>
      <w:r w:rsidR="00D8296D" w:rsidRPr="00CB4DE8">
        <w:rPr>
          <w:rFonts w:cs="Times New Roman"/>
          <w:color w:val="000000" w:themeColor="text1"/>
          <w:sz w:val="24"/>
          <w:szCs w:val="24"/>
          <w:highlight w:val="black"/>
        </w:rPr>
        <w:t xml:space="preserve"> </w:t>
      </w:r>
      <w:r w:rsidRPr="00CB4DE8">
        <w:rPr>
          <w:rFonts w:cs="Times New Roman"/>
          <w:color w:val="000000" w:themeColor="text1"/>
          <w:sz w:val="24"/>
          <w:szCs w:val="24"/>
          <w:highlight w:val="black"/>
        </w:rPr>
        <w:t>.</w:t>
      </w:r>
      <w:r w:rsidR="006024F2">
        <w:rPr>
          <w:rFonts w:cs="Times New Roman"/>
          <w:sz w:val="24"/>
          <w:szCs w:val="24"/>
        </w:rPr>
        <w:t xml:space="preserve"> </w:t>
      </w:r>
      <w:r w:rsidR="006024F2" w:rsidRPr="000C7C8D">
        <w:rPr>
          <w:rFonts w:cs="Times New Roman"/>
          <w:sz w:val="24"/>
          <w:szCs w:val="24"/>
        </w:rPr>
        <w:t>V případě nepotvrzení akceptace objednávky Objednatele Dodavatelem platí, že Dodavatel objednávku neakceptoval</w:t>
      </w:r>
      <w:r w:rsidR="000F3C5A" w:rsidRPr="000C7C8D">
        <w:rPr>
          <w:rFonts w:cs="Times New Roman"/>
          <w:sz w:val="24"/>
          <w:szCs w:val="24"/>
        </w:rPr>
        <w:t xml:space="preserve"> a </w:t>
      </w:r>
      <w:r w:rsidR="00DB2E94">
        <w:rPr>
          <w:rFonts w:cs="Times New Roman"/>
          <w:sz w:val="24"/>
          <w:szCs w:val="24"/>
        </w:rPr>
        <w:t>o</w:t>
      </w:r>
      <w:r w:rsidR="000F3C5A" w:rsidRPr="000C7C8D">
        <w:rPr>
          <w:rFonts w:cs="Times New Roman"/>
          <w:sz w:val="24"/>
          <w:szCs w:val="24"/>
        </w:rPr>
        <w:t>bjednávka je bez dalšího zneplatněna</w:t>
      </w:r>
      <w:r w:rsidR="006024F2" w:rsidRPr="000C7C8D">
        <w:rPr>
          <w:rFonts w:cs="Times New Roman"/>
          <w:sz w:val="24"/>
          <w:szCs w:val="24"/>
        </w:rPr>
        <w:t>.</w:t>
      </w:r>
    </w:p>
    <w:p w14:paraId="416FFFC6" w14:textId="599EDFFD" w:rsidR="00B96155" w:rsidRPr="00A87460" w:rsidRDefault="00B96155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370F5D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 xml:space="preserve">Nedílnou součástí této </w:t>
      </w:r>
      <w:r w:rsidR="00765848" w:rsidRPr="00D8296D">
        <w:rPr>
          <w:rFonts w:cs="Times New Roman"/>
          <w:sz w:val="24"/>
          <w:szCs w:val="24"/>
        </w:rPr>
        <w:t>objednávky</w:t>
      </w:r>
      <w:r w:rsidRPr="00D8296D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F356D31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1 – Specifikace služeb</w:t>
      </w:r>
    </w:p>
    <w:p w14:paraId="222292B1" w14:textId="3F03D7AF" w:rsidR="00F54766" w:rsidRDefault="00282421" w:rsidP="009F3BF8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2 – Položkový rozpis ceny</w:t>
      </w:r>
      <w:r w:rsidRPr="00282421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F54766" w:rsidRPr="00782411" w14:paraId="4B270AAA" w14:textId="77777777" w:rsidTr="00685C18">
        <w:tc>
          <w:tcPr>
            <w:tcW w:w="4605" w:type="dxa"/>
          </w:tcPr>
          <w:p w14:paraId="22BE6E70" w14:textId="719957F5" w:rsidR="00F54766" w:rsidRPr="00CB4DE8" w:rsidRDefault="00F54766" w:rsidP="009F3BF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CB4DE8">
              <w:rPr>
                <w:rFonts w:cs="Times New Roman"/>
                <w:sz w:val="24"/>
                <w:szCs w:val="24"/>
              </w:rPr>
              <w:t xml:space="preserve">V Plzni dne </w:t>
            </w:r>
            <w:r w:rsidR="00CB4DE8">
              <w:rPr>
                <w:rFonts w:cs="Times New Roman"/>
                <w:sz w:val="24"/>
                <w:szCs w:val="24"/>
              </w:rPr>
              <w:t>14-05-2019</w:t>
            </w:r>
          </w:p>
        </w:tc>
        <w:tc>
          <w:tcPr>
            <w:tcW w:w="4605" w:type="dxa"/>
          </w:tcPr>
          <w:p w14:paraId="7E9F9514" w14:textId="26461278" w:rsidR="00F54766" w:rsidRPr="00CB4DE8" w:rsidRDefault="00F54766" w:rsidP="00CB4DE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CB4DE8">
              <w:rPr>
                <w:rFonts w:cs="Times New Roman"/>
                <w:sz w:val="24"/>
                <w:szCs w:val="24"/>
              </w:rPr>
              <w:t xml:space="preserve">V </w:t>
            </w:r>
            <w:r w:rsidR="00CB4DE8">
              <w:rPr>
                <w:rFonts w:cs="Times New Roman"/>
                <w:sz w:val="24"/>
                <w:szCs w:val="24"/>
              </w:rPr>
              <w:t>Praze</w:t>
            </w:r>
            <w:r w:rsidRPr="00CB4DE8">
              <w:rPr>
                <w:rFonts w:cs="Times New Roman"/>
                <w:sz w:val="24"/>
                <w:szCs w:val="24"/>
              </w:rPr>
              <w:t xml:space="preserve"> dne </w:t>
            </w:r>
            <w:proofErr w:type="gramStart"/>
            <w:r w:rsidR="00CB4DE8">
              <w:rPr>
                <w:rFonts w:cs="Times New Roman"/>
                <w:sz w:val="24"/>
                <w:szCs w:val="24"/>
              </w:rPr>
              <w:t>14.5.2019</w:t>
            </w:r>
            <w:proofErr w:type="gramEnd"/>
          </w:p>
        </w:tc>
      </w:tr>
      <w:tr w:rsidR="00F54766" w:rsidRPr="00782411" w14:paraId="027772F1" w14:textId="77777777" w:rsidTr="00685C18">
        <w:tc>
          <w:tcPr>
            <w:tcW w:w="4605" w:type="dxa"/>
          </w:tcPr>
          <w:p w14:paraId="1A04042F" w14:textId="27215039" w:rsidR="009F3BF8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>Za Objednatele:</w:t>
            </w:r>
          </w:p>
          <w:p w14:paraId="3E24EB2D" w14:textId="77777777" w:rsidR="009F3BF8" w:rsidRDefault="009F3BF8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3D0F2E7" w14:textId="440F69AE" w:rsidR="009F3BF8" w:rsidRPr="00782411" w:rsidRDefault="009F3BF8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605" w:type="dxa"/>
          </w:tcPr>
          <w:p w14:paraId="1E562349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Za </w:t>
            </w:r>
            <w:r w:rsidR="008A699E">
              <w:rPr>
                <w:rFonts w:cs="Times New Roman"/>
                <w:sz w:val="24"/>
                <w:szCs w:val="24"/>
              </w:rPr>
              <w:t>Dodavatele</w:t>
            </w:r>
            <w:r w:rsidRPr="00782411">
              <w:rPr>
                <w:rFonts w:cs="Times New Roman"/>
                <w:sz w:val="24"/>
                <w:szCs w:val="24"/>
              </w:rPr>
              <w:t>:</w:t>
            </w:r>
          </w:p>
          <w:p w14:paraId="699470A6" w14:textId="77777777" w:rsidR="009F3BF8" w:rsidRDefault="009F3BF8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20344E8" w14:textId="7EB274EE" w:rsidR="009F3BF8" w:rsidRPr="00782411" w:rsidRDefault="009F3BF8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</w:t>
            </w:r>
          </w:p>
        </w:tc>
      </w:tr>
      <w:tr w:rsidR="00F54766" w:rsidRPr="00782411" w14:paraId="3F181720" w14:textId="77777777" w:rsidTr="00685C18">
        <w:tc>
          <w:tcPr>
            <w:tcW w:w="4605" w:type="dxa"/>
          </w:tcPr>
          <w:p w14:paraId="798B5F2E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6FDA43B" w14:textId="77777777" w:rsidR="00CB4DE8" w:rsidRDefault="00CB4DE8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49E2370F" w14:textId="77777777" w:rsidR="00CB4DE8" w:rsidRDefault="00CB4DE8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69C1F632" w14:textId="738ED730" w:rsidR="00CB4DE8" w:rsidRPr="00782411" w:rsidRDefault="00CB4DE8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0EC7E9" w14:textId="07B73A19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782411" w14:paraId="75EF9CBB" w14:textId="77777777" w:rsidTr="00685C18">
        <w:tc>
          <w:tcPr>
            <w:tcW w:w="4605" w:type="dxa"/>
          </w:tcPr>
          <w:p w14:paraId="415A5DB4" w14:textId="3A9CC55A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771DB1C" w14:textId="295EF2FE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317A1D7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p w14:paraId="59475E87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13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533"/>
      </w:tblGrid>
      <w:tr w:rsidR="006808EE" w:rsidRPr="00023AFB" w14:paraId="625848A6" w14:textId="77777777" w:rsidTr="00093374">
        <w:tc>
          <w:tcPr>
            <w:tcW w:w="8505" w:type="dxa"/>
          </w:tcPr>
          <w:p w14:paraId="31A33F06" w14:textId="5CC621CB" w:rsidR="00093374" w:rsidRDefault="006808EE" w:rsidP="00381755">
            <w:pPr>
              <w:spacing w:before="120" w:after="120" w:line="276" w:lineRule="auto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lastRenderedPageBreak/>
              <w:t xml:space="preserve">Příloha č. 1 </w:t>
            </w: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- </w:t>
            </w: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t>Specifikace služeb</w:t>
            </w:r>
          </w:p>
          <w:p w14:paraId="15D057AE" w14:textId="74C05DCA" w:rsidR="00093374" w:rsidRDefault="00093374" w:rsidP="00093374">
            <w:pPr>
              <w:rPr>
                <w:rFonts w:cs="Times New Roman"/>
                <w:sz w:val="36"/>
                <w:szCs w:val="36"/>
              </w:rPr>
            </w:pPr>
          </w:p>
          <w:p w14:paraId="46284122" w14:textId="77777777" w:rsidR="00B4639E" w:rsidRPr="00B4639E" w:rsidRDefault="00093374" w:rsidP="0009337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B4639E">
              <w:rPr>
                <w:rFonts w:cs="Times New Roman"/>
                <w:b/>
                <w:sz w:val="24"/>
                <w:szCs w:val="24"/>
              </w:rPr>
              <w:t xml:space="preserve">Předmětem zakázky je:  </w:t>
            </w:r>
          </w:p>
          <w:p w14:paraId="7502ADE5" w14:textId="1157944A" w:rsidR="00093374" w:rsidRPr="00093374" w:rsidRDefault="00093374" w:rsidP="0009337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93374">
              <w:rPr>
                <w:rFonts w:cs="Times New Roman"/>
                <w:sz w:val="24"/>
                <w:szCs w:val="24"/>
              </w:rPr>
              <w:t>III. etapa řešení staré hlukové zátěže v úseku Silnice I/20 Prádlo, Klášter, Nepomuk dle Příkazu ředitele provozního úseku č. 2/2013</w:t>
            </w:r>
          </w:p>
          <w:p w14:paraId="6294B7D9" w14:textId="2D8E47EA" w:rsidR="00B4639E" w:rsidRPr="00B4639E" w:rsidRDefault="00B4639E" w:rsidP="00B4639E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Zdůvodnění předmětu</w:t>
            </w:r>
            <w:r w:rsidRPr="00B4639E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7E5DF76A" w14:textId="77777777" w:rsidR="00B4639E" w:rsidRDefault="00B4639E" w:rsidP="00B4639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B4639E">
              <w:rPr>
                <w:rFonts w:cs="Times New Roman"/>
                <w:sz w:val="24"/>
                <w:szCs w:val="24"/>
              </w:rPr>
              <w:t>Postupné odstraňování Staré hlukové zátěže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46699D58" w14:textId="77777777" w:rsidR="00B4639E" w:rsidRDefault="00B4639E" w:rsidP="00B4639E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14:paraId="02D6193D" w14:textId="2CF8FA33" w:rsidR="00093374" w:rsidRPr="00093374" w:rsidRDefault="00B4639E" w:rsidP="0009337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B4639E">
              <w:rPr>
                <w:rFonts w:cs="Times New Roman"/>
                <w:b/>
                <w:sz w:val="24"/>
                <w:szCs w:val="24"/>
              </w:rPr>
              <w:t>Počet vyhotovení</w:t>
            </w:r>
            <w:r>
              <w:rPr>
                <w:rFonts w:cs="Times New Roman"/>
                <w:sz w:val="24"/>
                <w:szCs w:val="24"/>
              </w:rPr>
              <w:t xml:space="preserve">: 2x tisk, 1x CD USB </w:t>
            </w:r>
            <w:proofErr w:type="spellStart"/>
            <w:r>
              <w:rPr>
                <w:rFonts w:cs="Times New Roman"/>
                <w:sz w:val="24"/>
                <w:szCs w:val="24"/>
              </w:rPr>
              <w:t>Flash</w:t>
            </w:r>
            <w:proofErr w:type="spellEnd"/>
          </w:p>
          <w:p w14:paraId="6A92F420" w14:textId="0160382D" w:rsidR="00093374" w:rsidRPr="00093374" w:rsidRDefault="00093374" w:rsidP="00093374">
            <w:pPr>
              <w:rPr>
                <w:rFonts w:cs="Times New Roman"/>
                <w:sz w:val="24"/>
                <w:szCs w:val="24"/>
              </w:rPr>
            </w:pPr>
            <w:r w:rsidRPr="00093374">
              <w:rPr>
                <w:rFonts w:cs="Times New Roman"/>
                <w:sz w:val="24"/>
                <w:szCs w:val="24"/>
              </w:rPr>
              <w:t>Předání podkladů požadujeme v písemné podobě v počtu 2 výtisků a v digitální podobě na CD a USB</w:t>
            </w:r>
            <w:r w:rsidR="00B4639E">
              <w:rPr>
                <w:rFonts w:cs="Times New Roman"/>
                <w:sz w:val="24"/>
                <w:szCs w:val="24"/>
              </w:rPr>
              <w:t>.</w:t>
            </w:r>
          </w:p>
          <w:p w14:paraId="7C0E87A5" w14:textId="77777777" w:rsidR="006808EE" w:rsidRDefault="006808EE" w:rsidP="00093374">
            <w:pPr>
              <w:rPr>
                <w:rFonts w:cs="Times New Roman"/>
                <w:sz w:val="36"/>
                <w:szCs w:val="36"/>
              </w:rPr>
            </w:pPr>
          </w:p>
          <w:p w14:paraId="12DAF556" w14:textId="5476B88E" w:rsidR="00702513" w:rsidRPr="00093374" w:rsidRDefault="00702513" w:rsidP="00093374">
            <w:pPr>
              <w:rPr>
                <w:rFonts w:cs="Times New Roman"/>
                <w:sz w:val="36"/>
                <w:szCs w:val="36"/>
              </w:rPr>
            </w:pPr>
            <w:r w:rsidRPr="00702513">
              <w:rPr>
                <w:rFonts w:cs="Times New Roman"/>
                <w:b/>
                <w:sz w:val="24"/>
                <w:szCs w:val="24"/>
              </w:rPr>
              <w:t>Soupis prací:</w:t>
            </w:r>
          </w:p>
        </w:tc>
        <w:tc>
          <w:tcPr>
            <w:tcW w:w="4533" w:type="dxa"/>
          </w:tcPr>
          <w:p w14:paraId="5EB5A304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93BC87C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5873CCE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03452C6" w14:textId="77777777" w:rsidR="006808EE" w:rsidRPr="00023AFB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709"/>
        <w:gridCol w:w="195"/>
        <w:gridCol w:w="1176"/>
        <w:gridCol w:w="1197"/>
        <w:gridCol w:w="195"/>
        <w:gridCol w:w="1399"/>
      </w:tblGrid>
      <w:tr w:rsidR="00702513" w:rsidRPr="00702513" w14:paraId="09903B5E" w14:textId="77777777" w:rsidTr="00702513">
        <w:trPr>
          <w:trHeight w:val="1020"/>
        </w:trPr>
        <w:tc>
          <w:tcPr>
            <w:tcW w:w="897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599AB0" w14:textId="0960931F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cs-CZ"/>
              </w:rPr>
            </w:pPr>
            <w:r w:rsidRPr="00702513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cs-CZ"/>
              </w:rPr>
              <w:t>I/20 Prádlo, Klášter, Nepomuk - III.</w:t>
            </w:r>
            <w:r w:rsidR="00CB4DE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702513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cs-CZ"/>
              </w:rPr>
              <w:t>etapa řešení SHZ</w:t>
            </w:r>
          </w:p>
        </w:tc>
      </w:tr>
      <w:tr w:rsidR="00702513" w:rsidRPr="00702513" w14:paraId="4EFD6C02" w14:textId="77777777" w:rsidTr="00702513">
        <w:trPr>
          <w:trHeight w:val="55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22823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  <w:t>Popis činnosti - nákladů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C03F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22B4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29EE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  <w:t>Sazba / jed.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387CC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cs-CZ"/>
              </w:rPr>
              <w:t>Celkem Kč bez DPH</w:t>
            </w:r>
          </w:p>
        </w:tc>
      </w:tr>
      <w:tr w:rsidR="00702513" w:rsidRPr="00702513" w14:paraId="15CCF4A2" w14:textId="77777777" w:rsidTr="00702513">
        <w:trPr>
          <w:trHeight w:val="402"/>
        </w:trPr>
        <w:tc>
          <w:tcPr>
            <w:tcW w:w="897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56CD4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III. etapa SHZ dle Příkazu ředitele provozního úseku č. 2/2013</w:t>
            </w:r>
          </w:p>
        </w:tc>
      </w:tr>
      <w:tr w:rsidR="00702513" w:rsidRPr="00702513" w14:paraId="1794D9F9" w14:textId="77777777" w:rsidTr="00CB4DE8">
        <w:trPr>
          <w:trHeight w:val="57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A8D1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Přípravné práce na projektu, terénní průzkum, příprava podkladů, vytipování, zajištění míst měření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63C14" w14:textId="7FAC0790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BC9AB" w14:textId="5560DA85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48F73" w14:textId="6917E95F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2FD897" w14:textId="755F6E50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702513" w:rsidRPr="00702513" w14:paraId="4449A8A8" w14:textId="77777777" w:rsidTr="00CB4DE8">
        <w:trPr>
          <w:trHeight w:val="39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D303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Stavebněakustický pasport objektů včetně fotodokumentace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E04B7" w14:textId="371EA24C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7A62A" w14:textId="0D4F528D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E7040" w14:textId="129F88C9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A51CAB" w14:textId="05AB2B0F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702513" w:rsidRPr="00702513" w14:paraId="3D9802B3" w14:textId="77777777" w:rsidTr="00CB4DE8">
        <w:trPr>
          <w:trHeight w:val="39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1B62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Měření neprůzvučnosti vybraných charakteristických stávajících oken (fasád)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F5D15" w14:textId="2836458C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2F0B3" w14:textId="259A36D5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90FD1" w14:textId="4BCA292B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00AA75" w14:textId="2D45047E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702513" w:rsidRPr="00702513" w14:paraId="5DCF7987" w14:textId="77777777" w:rsidTr="00CB4DE8">
        <w:trPr>
          <w:trHeight w:val="39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C6FB6" w14:textId="354B321D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Analýza získaných dat - návrhy IPHO ve smyslu požadavku normy, zpráva III.</w:t>
            </w:r>
            <w:r w:rsidR="00CB4DE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etapy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6550F" w14:textId="58D9B14B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A0647" w14:textId="69DCDB65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FA5EF" w14:textId="19A4FF25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5DC15B" w14:textId="4516E03B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702513" w:rsidRPr="00702513" w14:paraId="7D3346F1" w14:textId="77777777" w:rsidTr="00CB4DE8">
        <w:trPr>
          <w:trHeight w:val="39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1618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Další náklady (rozmnožení, vazba, vybavení, CD apod.)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A7FB1" w14:textId="32BAF2B4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19592" w14:textId="66C51B73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3EE03" w14:textId="11BEFB8D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9EB930" w14:textId="327370E6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702513" w:rsidRPr="00702513" w14:paraId="4E91BD3D" w14:textId="77777777" w:rsidTr="00CB4DE8">
        <w:trPr>
          <w:trHeight w:val="40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89F5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C E L K E M Kč bez DPH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A3FF7" w14:textId="0B26D8B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4B6E7" w14:textId="40C2C5B0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9A366" w14:textId="4DC2AF10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E2D9C" w14:textId="18B408CF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8A44B" w14:textId="48F2765F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53BD4B" w14:textId="48FDBAC2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02513" w:rsidRPr="00702513" w14:paraId="5FE51D07" w14:textId="77777777" w:rsidTr="00702513">
        <w:trPr>
          <w:trHeight w:val="402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5A294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AE44E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54454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B02A4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10E6F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360AC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08C59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702513" w:rsidRPr="00702513" w14:paraId="0E846B74" w14:textId="77777777" w:rsidTr="00702513">
        <w:trPr>
          <w:trHeight w:val="402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7888E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 E L K E M Kč bez DPH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EA8D3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F563C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BFC63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2B78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67BB4" w14:textId="103C1994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0,00</w:t>
            </w: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</w:t>
            </w:r>
          </w:p>
        </w:tc>
      </w:tr>
      <w:tr w:rsidR="00702513" w:rsidRPr="00702513" w14:paraId="5CE1B89F" w14:textId="77777777" w:rsidTr="00702513">
        <w:trPr>
          <w:trHeight w:val="402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B0A6D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B9D6F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3A11C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89DB1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6612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6810D" w14:textId="6817625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0,00</w:t>
            </w: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</w:t>
            </w:r>
          </w:p>
        </w:tc>
      </w:tr>
      <w:tr w:rsidR="00702513" w:rsidRPr="00702513" w14:paraId="63182BA2" w14:textId="77777777" w:rsidTr="00702513">
        <w:trPr>
          <w:trHeight w:val="402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490FD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 E L K E M Kč s DPH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B22F6" w14:textId="77777777" w:rsidR="00702513" w:rsidRPr="00702513" w:rsidRDefault="00702513" w:rsidP="007025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9042C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1C66D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3783" w14:textId="77777777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C766F" w14:textId="6B489DE8" w:rsidR="00702513" w:rsidRPr="00702513" w:rsidRDefault="00702513" w:rsidP="007025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0,00</w:t>
            </w:r>
            <w:r w:rsidRPr="00702513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</w:t>
            </w:r>
          </w:p>
        </w:tc>
      </w:tr>
    </w:tbl>
    <w:p w14:paraId="7F327A0D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D43CB0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028EF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277A54" w14:textId="77777777" w:rsidR="006808EE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highlight w:val="cyan"/>
          <w:u w:val="single"/>
        </w:rPr>
      </w:pPr>
    </w:p>
    <w:p w14:paraId="0A8CD3E4" w14:textId="0E2AB0F5" w:rsidR="006808EE" w:rsidRPr="00CB4DE8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  <w:r w:rsidRPr="00CB4DE8">
        <w:rPr>
          <w:rFonts w:cs="Times New Roman"/>
          <w:b/>
          <w:sz w:val="36"/>
          <w:szCs w:val="36"/>
          <w:u w:val="single"/>
        </w:rPr>
        <w:lastRenderedPageBreak/>
        <w:t xml:space="preserve">Příloha č. 2 </w:t>
      </w:r>
      <w:r w:rsidR="00F3641E" w:rsidRPr="00CB4DE8">
        <w:rPr>
          <w:rFonts w:cs="Times New Roman"/>
          <w:b/>
          <w:sz w:val="36"/>
          <w:szCs w:val="36"/>
          <w:u w:val="single"/>
        </w:rPr>
        <w:t>–</w:t>
      </w:r>
      <w:r w:rsidRPr="00CB4DE8">
        <w:rPr>
          <w:rFonts w:cs="Times New Roman"/>
          <w:b/>
          <w:sz w:val="36"/>
          <w:szCs w:val="36"/>
          <w:u w:val="single"/>
        </w:rPr>
        <w:t xml:space="preserve"> </w:t>
      </w:r>
      <w:r w:rsidR="00F3641E" w:rsidRPr="00CB4DE8">
        <w:rPr>
          <w:rFonts w:cs="Times New Roman"/>
          <w:b/>
          <w:sz w:val="36"/>
          <w:szCs w:val="36"/>
          <w:u w:val="single"/>
        </w:rPr>
        <w:t>Položkový rozpis ceny</w:t>
      </w:r>
    </w:p>
    <w:p w14:paraId="57A9907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4"/>
        <w:gridCol w:w="979"/>
        <w:gridCol w:w="1126"/>
        <w:gridCol w:w="1044"/>
        <w:gridCol w:w="1389"/>
      </w:tblGrid>
      <w:tr w:rsidR="00CB4DE8" w14:paraId="0FFEFB2A" w14:textId="77777777" w:rsidTr="0093216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58AEF97" w14:textId="77777777" w:rsidR="00CB4DE8" w:rsidRDefault="00CB4DE8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Řešení staré hlukové zátěže – ochrana venkovního a vnitřního prostředí III. etapa</w:t>
            </w:r>
          </w:p>
          <w:p w14:paraId="2C95F5AF" w14:textId="46D86DEB" w:rsidR="00CB4DE8" w:rsidRPr="00CB4DE8" w:rsidRDefault="00CB4DE8" w:rsidP="00CB4DE8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Silnice I/20 Prádlo, Klášter, Nepomuk</w:t>
            </w:r>
          </w:p>
        </w:tc>
      </w:tr>
      <w:tr w:rsidR="0093216D" w:rsidRPr="00CB4DE8" w14:paraId="0913328C" w14:textId="77777777" w:rsidTr="0093216D">
        <w:tc>
          <w:tcPr>
            <w:tcW w:w="4524" w:type="dxa"/>
            <w:shd w:val="clear" w:color="auto" w:fill="D9D9D9" w:themeFill="background1" w:themeFillShade="D9"/>
          </w:tcPr>
          <w:p w14:paraId="43F643C3" w14:textId="61744059" w:rsidR="00CB4DE8" w:rsidRPr="00CB4DE8" w:rsidRDefault="00CB4DE8" w:rsidP="00CB4DE8">
            <w:pPr>
              <w:spacing w:before="120" w:after="120"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B4DE8">
              <w:rPr>
                <w:rFonts w:cs="Times New Roman"/>
                <w:i/>
                <w:sz w:val="20"/>
                <w:szCs w:val="20"/>
              </w:rPr>
              <w:t>Popis činnosti - nákladů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599270F2" w14:textId="650A23D9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i/>
                <w:sz w:val="20"/>
                <w:szCs w:val="20"/>
              </w:rPr>
            </w:pPr>
            <w:r w:rsidRPr="00CB4DE8">
              <w:rPr>
                <w:rFonts w:cs="Times New Roman"/>
                <w:i/>
                <w:sz w:val="20"/>
                <w:szCs w:val="20"/>
              </w:rPr>
              <w:t>Počet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6203DD56" w14:textId="22C79A89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i/>
                <w:sz w:val="20"/>
                <w:szCs w:val="20"/>
              </w:rPr>
            </w:pPr>
            <w:r w:rsidRPr="00CB4DE8">
              <w:rPr>
                <w:rFonts w:cs="Times New Roman"/>
                <w:i/>
                <w:sz w:val="20"/>
                <w:szCs w:val="20"/>
              </w:rPr>
              <w:t>Jednotka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494F1BE3" w14:textId="4C3B206F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i/>
                <w:sz w:val="20"/>
                <w:szCs w:val="20"/>
              </w:rPr>
            </w:pPr>
            <w:r w:rsidRPr="00CB4DE8">
              <w:rPr>
                <w:rFonts w:cs="Times New Roman"/>
                <w:i/>
                <w:sz w:val="20"/>
                <w:szCs w:val="20"/>
              </w:rPr>
              <w:t>Sazba/jed.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AED9FAA" w14:textId="3D0B648D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i/>
                <w:sz w:val="20"/>
                <w:szCs w:val="20"/>
              </w:rPr>
            </w:pPr>
            <w:r w:rsidRPr="00CB4DE8">
              <w:rPr>
                <w:rFonts w:cs="Times New Roman"/>
                <w:i/>
                <w:sz w:val="20"/>
                <w:szCs w:val="20"/>
              </w:rPr>
              <w:t>Celkem Kč bez DPH</w:t>
            </w:r>
          </w:p>
        </w:tc>
      </w:tr>
      <w:tr w:rsidR="00CB4DE8" w14:paraId="0FC586CE" w14:textId="77777777" w:rsidTr="0093216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A9DB8C0" w14:textId="243F55F2" w:rsidR="00CB4DE8" w:rsidRPr="00CB4DE8" w:rsidRDefault="00CB4DE8" w:rsidP="00CB4DE8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III. SHZ</w:t>
            </w:r>
          </w:p>
        </w:tc>
      </w:tr>
      <w:tr w:rsidR="00CB4DE8" w14:paraId="46FA4B29" w14:textId="77777777" w:rsidTr="00CB4DE8">
        <w:tc>
          <w:tcPr>
            <w:tcW w:w="4524" w:type="dxa"/>
          </w:tcPr>
          <w:p w14:paraId="27D1336D" w14:textId="7C6D809B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CB4DE8">
              <w:rPr>
                <w:rFonts w:cs="Times New Roman"/>
                <w:sz w:val="22"/>
              </w:rPr>
              <w:t>Přípravné práce na projektu, terénním průzkum, příprava podkladů, vytypování a zajištění míst měření</w:t>
            </w:r>
          </w:p>
        </w:tc>
        <w:tc>
          <w:tcPr>
            <w:tcW w:w="979" w:type="dxa"/>
          </w:tcPr>
          <w:p w14:paraId="1FAEA4FB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26" w:type="dxa"/>
          </w:tcPr>
          <w:p w14:paraId="09FBF67F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044" w:type="dxa"/>
          </w:tcPr>
          <w:p w14:paraId="222C1A4A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389" w:type="dxa"/>
          </w:tcPr>
          <w:p w14:paraId="10F94C8C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</w:tr>
      <w:tr w:rsidR="00CB4DE8" w14:paraId="673C6C57" w14:textId="77777777" w:rsidTr="00CB4DE8">
        <w:tc>
          <w:tcPr>
            <w:tcW w:w="4524" w:type="dxa"/>
          </w:tcPr>
          <w:p w14:paraId="0B22357F" w14:textId="765097B2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Stavebněakustický pasport objektů včetně fotodokumentace</w:t>
            </w:r>
          </w:p>
        </w:tc>
        <w:tc>
          <w:tcPr>
            <w:tcW w:w="979" w:type="dxa"/>
          </w:tcPr>
          <w:p w14:paraId="3A6AF532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26" w:type="dxa"/>
          </w:tcPr>
          <w:p w14:paraId="344D5183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044" w:type="dxa"/>
          </w:tcPr>
          <w:p w14:paraId="153CD9F8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389" w:type="dxa"/>
          </w:tcPr>
          <w:p w14:paraId="5A82CE97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</w:tr>
      <w:tr w:rsidR="00CB4DE8" w14:paraId="6FAA829F" w14:textId="77777777" w:rsidTr="00CB4DE8">
        <w:tc>
          <w:tcPr>
            <w:tcW w:w="4524" w:type="dxa"/>
          </w:tcPr>
          <w:p w14:paraId="14153E9E" w14:textId="10D9FDE5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Měření neprůzvučnosti vybraných charakteristických stávajících oken (fasád)</w:t>
            </w:r>
          </w:p>
        </w:tc>
        <w:tc>
          <w:tcPr>
            <w:tcW w:w="979" w:type="dxa"/>
          </w:tcPr>
          <w:p w14:paraId="0E0FF44A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26" w:type="dxa"/>
          </w:tcPr>
          <w:p w14:paraId="151B79E7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044" w:type="dxa"/>
          </w:tcPr>
          <w:p w14:paraId="5A203D2D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389" w:type="dxa"/>
          </w:tcPr>
          <w:p w14:paraId="21D7D246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</w:tr>
      <w:tr w:rsidR="00CB4DE8" w14:paraId="4F6A6A46" w14:textId="77777777" w:rsidTr="00CB4DE8">
        <w:tc>
          <w:tcPr>
            <w:tcW w:w="4524" w:type="dxa"/>
          </w:tcPr>
          <w:p w14:paraId="7B61FAA1" w14:textId="1BD11104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Analýza získaných dat – návrhy IPHO ve smyslu požadavku normy, návrhy variantního řešení ochrany chráněného venkovního prostoru (staveb) vytypovaných úseků na základě výsledků II. etapy řešení SHZ, sestavení celkové zprávy</w:t>
            </w:r>
          </w:p>
        </w:tc>
        <w:tc>
          <w:tcPr>
            <w:tcW w:w="979" w:type="dxa"/>
          </w:tcPr>
          <w:p w14:paraId="78D8EFD7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26" w:type="dxa"/>
          </w:tcPr>
          <w:p w14:paraId="357606F7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044" w:type="dxa"/>
          </w:tcPr>
          <w:p w14:paraId="0BF5EEF3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389" w:type="dxa"/>
          </w:tcPr>
          <w:p w14:paraId="74DCA31C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</w:tr>
      <w:tr w:rsidR="00CB4DE8" w14:paraId="2F149775" w14:textId="77777777" w:rsidTr="00CB4DE8">
        <w:tc>
          <w:tcPr>
            <w:tcW w:w="4524" w:type="dxa"/>
          </w:tcPr>
          <w:p w14:paraId="407BD812" w14:textId="673A651E" w:rsidR="00CB4DE8" w:rsidRPr="00CB4DE8" w:rsidRDefault="0093216D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Další náklady (rozmnožení, vazba, vybavení, CD apod.)</w:t>
            </w:r>
          </w:p>
        </w:tc>
        <w:tc>
          <w:tcPr>
            <w:tcW w:w="979" w:type="dxa"/>
          </w:tcPr>
          <w:p w14:paraId="6A1CFFCE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126" w:type="dxa"/>
          </w:tcPr>
          <w:p w14:paraId="758E76CC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044" w:type="dxa"/>
          </w:tcPr>
          <w:p w14:paraId="75705EB3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389" w:type="dxa"/>
          </w:tcPr>
          <w:p w14:paraId="72EDFD20" w14:textId="77777777" w:rsidR="00CB4DE8" w:rsidRPr="00CB4DE8" w:rsidRDefault="00CB4DE8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</w:tr>
      <w:tr w:rsidR="0093216D" w:rsidRPr="0093216D" w14:paraId="3E662D8E" w14:textId="77777777" w:rsidTr="0093216D">
        <w:tc>
          <w:tcPr>
            <w:tcW w:w="7673" w:type="dxa"/>
            <w:gridSpan w:val="4"/>
            <w:shd w:val="clear" w:color="auto" w:fill="D9D9D9" w:themeFill="background1" w:themeFillShade="D9"/>
          </w:tcPr>
          <w:p w14:paraId="6D869432" w14:textId="7283E350" w:rsidR="0093216D" w:rsidRPr="0093216D" w:rsidRDefault="0093216D" w:rsidP="006808EE">
            <w:pPr>
              <w:spacing w:before="120" w:after="120"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 E L K E M   Kč bez DPH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EF0291D" w14:textId="464AEEA0" w:rsidR="0093216D" w:rsidRPr="0093216D" w:rsidRDefault="0093216D" w:rsidP="006808EE">
            <w:pPr>
              <w:spacing w:before="120" w:after="120" w:line="276" w:lineRule="auto"/>
              <w:rPr>
                <w:rFonts w:cs="Times New Roman"/>
                <w:b/>
                <w:sz w:val="22"/>
              </w:rPr>
            </w:pPr>
            <w:r w:rsidRPr="0093216D">
              <w:rPr>
                <w:rFonts w:cs="Times New Roman"/>
                <w:b/>
                <w:sz w:val="22"/>
              </w:rPr>
              <w:t>241 300 Kč</w:t>
            </w:r>
          </w:p>
        </w:tc>
      </w:tr>
    </w:tbl>
    <w:p w14:paraId="1F181FBE" w14:textId="2E5F4826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85FB3B9" w14:textId="21BF43BA" w:rsidR="00CB4DE8" w:rsidRDefault="00CB4DE8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49"/>
        <w:gridCol w:w="1813"/>
      </w:tblGrid>
      <w:tr w:rsidR="00CB4DE8" w14:paraId="34D3E3E7" w14:textId="77777777" w:rsidTr="00357FD3">
        <w:tc>
          <w:tcPr>
            <w:tcW w:w="7249" w:type="dxa"/>
          </w:tcPr>
          <w:p w14:paraId="05A8AEC7" w14:textId="77777777" w:rsidR="00CB4DE8" w:rsidRDefault="0093216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 E L K E M   Kč bez DPH</w:t>
            </w:r>
          </w:p>
          <w:p w14:paraId="24CB4C62" w14:textId="63325E52" w:rsidR="0093216D" w:rsidRDefault="0093216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DPH 21 %</w:t>
            </w:r>
          </w:p>
        </w:tc>
        <w:tc>
          <w:tcPr>
            <w:tcW w:w="1813" w:type="dxa"/>
          </w:tcPr>
          <w:p w14:paraId="3FF84BBF" w14:textId="77777777" w:rsidR="00CB4DE8" w:rsidRDefault="0093216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241 300 Kč</w:t>
            </w:r>
          </w:p>
          <w:p w14:paraId="263E085F" w14:textId="3CE0AA3A" w:rsidR="0093216D" w:rsidRDefault="0093216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50 673 Kč</w:t>
            </w:r>
          </w:p>
        </w:tc>
      </w:tr>
      <w:tr w:rsidR="00CB4DE8" w14:paraId="38550883" w14:textId="77777777" w:rsidTr="0093216D">
        <w:tc>
          <w:tcPr>
            <w:tcW w:w="7249" w:type="dxa"/>
            <w:shd w:val="clear" w:color="auto" w:fill="D9D9D9" w:themeFill="background1" w:themeFillShade="D9"/>
          </w:tcPr>
          <w:p w14:paraId="513432EB" w14:textId="66301420" w:rsidR="00CB4DE8" w:rsidRDefault="0093216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 E L K E M   Kč s DPH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A92445A" w14:textId="2771BB89" w:rsidR="00CB4DE8" w:rsidRDefault="0093216D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291 973 Kč</w:t>
            </w:r>
          </w:p>
        </w:tc>
      </w:tr>
    </w:tbl>
    <w:p w14:paraId="4195F223" w14:textId="77777777" w:rsidR="00CB4DE8" w:rsidRDefault="00CB4DE8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B866ED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A3E5201" w14:textId="21C7FF7C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sectPr w:rsidR="006808EE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6F75" w14:textId="77777777" w:rsidR="006F302C" w:rsidRDefault="006F302C" w:rsidP="00604890">
      <w:pPr>
        <w:spacing w:after="0" w:line="240" w:lineRule="auto"/>
      </w:pPr>
      <w:r>
        <w:separator/>
      </w:r>
    </w:p>
  </w:endnote>
  <w:endnote w:type="continuationSeparator" w:id="0">
    <w:p w14:paraId="65FC6789" w14:textId="77777777" w:rsidR="006F302C" w:rsidRDefault="006F302C" w:rsidP="00604890">
      <w:pPr>
        <w:spacing w:after="0" w:line="240" w:lineRule="auto"/>
      </w:pPr>
      <w:r>
        <w:continuationSeparator/>
      </w:r>
    </w:p>
  </w:endnote>
  <w:endnote w:type="continuationNotice" w:id="1">
    <w:p w14:paraId="08B7A552" w14:textId="77777777" w:rsidR="00CB3AB0" w:rsidRDefault="00CB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CFF0" w14:textId="77777777" w:rsidR="006F302C" w:rsidRDefault="006F302C" w:rsidP="00604890">
      <w:pPr>
        <w:spacing w:after="0" w:line="240" w:lineRule="auto"/>
      </w:pPr>
      <w:r>
        <w:separator/>
      </w:r>
    </w:p>
  </w:footnote>
  <w:footnote w:type="continuationSeparator" w:id="0">
    <w:p w14:paraId="18D0A316" w14:textId="77777777" w:rsidR="006F302C" w:rsidRDefault="006F302C" w:rsidP="00604890">
      <w:pPr>
        <w:spacing w:after="0" w:line="240" w:lineRule="auto"/>
      </w:pPr>
      <w:r>
        <w:continuationSeparator/>
      </w:r>
    </w:p>
  </w:footnote>
  <w:footnote w:type="continuationNotice" w:id="1">
    <w:p w14:paraId="19B7E576" w14:textId="77777777" w:rsidR="00CB3AB0" w:rsidRDefault="00CB3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6F4DFA36" w:rsidR="00EC18C0" w:rsidRPr="006A0B3E" w:rsidRDefault="00EC18C0" w:rsidP="006A0B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93374"/>
    <w:rsid w:val="000A76FC"/>
    <w:rsid w:val="000C7C8D"/>
    <w:rsid w:val="000C7D9E"/>
    <w:rsid w:val="000D69FD"/>
    <w:rsid w:val="000F3C5A"/>
    <w:rsid w:val="00105E6A"/>
    <w:rsid w:val="00132F67"/>
    <w:rsid w:val="00153D94"/>
    <w:rsid w:val="00171F33"/>
    <w:rsid w:val="00191B5E"/>
    <w:rsid w:val="0019503E"/>
    <w:rsid w:val="001A2FB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25163"/>
    <w:rsid w:val="004352CF"/>
    <w:rsid w:val="00436AF5"/>
    <w:rsid w:val="00444358"/>
    <w:rsid w:val="00450704"/>
    <w:rsid w:val="00453955"/>
    <w:rsid w:val="004B1430"/>
    <w:rsid w:val="004C6F4B"/>
    <w:rsid w:val="004D5C72"/>
    <w:rsid w:val="005274AA"/>
    <w:rsid w:val="00542302"/>
    <w:rsid w:val="00565D34"/>
    <w:rsid w:val="005845D4"/>
    <w:rsid w:val="00585166"/>
    <w:rsid w:val="005A7536"/>
    <w:rsid w:val="005C65D9"/>
    <w:rsid w:val="005D5D80"/>
    <w:rsid w:val="005E35AD"/>
    <w:rsid w:val="006024F2"/>
    <w:rsid w:val="00604890"/>
    <w:rsid w:val="00607143"/>
    <w:rsid w:val="00672DAC"/>
    <w:rsid w:val="006808EE"/>
    <w:rsid w:val="0069013D"/>
    <w:rsid w:val="006A0B3E"/>
    <w:rsid w:val="006C0BB9"/>
    <w:rsid w:val="006C39DB"/>
    <w:rsid w:val="006C5B24"/>
    <w:rsid w:val="006C6A15"/>
    <w:rsid w:val="006D696C"/>
    <w:rsid w:val="006F302C"/>
    <w:rsid w:val="00702513"/>
    <w:rsid w:val="00751407"/>
    <w:rsid w:val="00760BE2"/>
    <w:rsid w:val="00765848"/>
    <w:rsid w:val="007727ED"/>
    <w:rsid w:val="007F1C6E"/>
    <w:rsid w:val="00841EC0"/>
    <w:rsid w:val="008647CD"/>
    <w:rsid w:val="0086751E"/>
    <w:rsid w:val="0087408F"/>
    <w:rsid w:val="008A699E"/>
    <w:rsid w:val="008C4A45"/>
    <w:rsid w:val="008F1565"/>
    <w:rsid w:val="0092238A"/>
    <w:rsid w:val="0093216D"/>
    <w:rsid w:val="00943E01"/>
    <w:rsid w:val="0095425D"/>
    <w:rsid w:val="00991B41"/>
    <w:rsid w:val="009C2E98"/>
    <w:rsid w:val="009D35A1"/>
    <w:rsid w:val="009F3BF8"/>
    <w:rsid w:val="00A02BA4"/>
    <w:rsid w:val="00A507A8"/>
    <w:rsid w:val="00A75721"/>
    <w:rsid w:val="00A87460"/>
    <w:rsid w:val="00A958AB"/>
    <w:rsid w:val="00A97EC8"/>
    <w:rsid w:val="00AA0071"/>
    <w:rsid w:val="00AA7F78"/>
    <w:rsid w:val="00AB47C2"/>
    <w:rsid w:val="00B075D5"/>
    <w:rsid w:val="00B11003"/>
    <w:rsid w:val="00B151C2"/>
    <w:rsid w:val="00B15555"/>
    <w:rsid w:val="00B26BAB"/>
    <w:rsid w:val="00B27F9D"/>
    <w:rsid w:val="00B4639E"/>
    <w:rsid w:val="00B478DC"/>
    <w:rsid w:val="00B6178D"/>
    <w:rsid w:val="00B7418D"/>
    <w:rsid w:val="00B96155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B4DE8"/>
    <w:rsid w:val="00CF2069"/>
    <w:rsid w:val="00CF776E"/>
    <w:rsid w:val="00D03DA3"/>
    <w:rsid w:val="00D0778E"/>
    <w:rsid w:val="00D229CF"/>
    <w:rsid w:val="00D42485"/>
    <w:rsid w:val="00D536B2"/>
    <w:rsid w:val="00D6478A"/>
    <w:rsid w:val="00D67404"/>
    <w:rsid w:val="00D72919"/>
    <w:rsid w:val="00D766F5"/>
    <w:rsid w:val="00D80EC4"/>
    <w:rsid w:val="00D8296D"/>
    <w:rsid w:val="00DA0415"/>
    <w:rsid w:val="00DB2E94"/>
    <w:rsid w:val="00DD6B42"/>
    <w:rsid w:val="00DE6848"/>
    <w:rsid w:val="00DE713C"/>
    <w:rsid w:val="00DE7F99"/>
    <w:rsid w:val="00E71FCA"/>
    <w:rsid w:val="00EA2967"/>
    <w:rsid w:val="00EB5A69"/>
    <w:rsid w:val="00EC18C0"/>
    <w:rsid w:val="00EF028F"/>
    <w:rsid w:val="00EF78BB"/>
    <w:rsid w:val="00F10B2D"/>
    <w:rsid w:val="00F204DF"/>
    <w:rsid w:val="00F2289B"/>
    <w:rsid w:val="00F32A70"/>
    <w:rsid w:val="00F3641E"/>
    <w:rsid w:val="00F42E23"/>
    <w:rsid w:val="00F54766"/>
    <w:rsid w:val="00F73CB7"/>
    <w:rsid w:val="00F80779"/>
    <w:rsid w:val="00F83243"/>
    <w:rsid w:val="00F978E8"/>
    <w:rsid w:val="00FA009D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08177E"/>
  <w15:docId w15:val="{E1BD4E4B-1CF6-4556-9C41-E2BA5FA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islava.martinkova@rsd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9606-0874-4DE5-8B71-54118A41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6</cp:revision>
  <cp:lastPrinted>2017-02-21T10:07:00Z</cp:lastPrinted>
  <dcterms:created xsi:type="dcterms:W3CDTF">2019-05-15T07:48:00Z</dcterms:created>
  <dcterms:modified xsi:type="dcterms:W3CDTF">2019-05-15T08:04:00Z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429.1</vt:lpwstr>
  </property>
</Properties>
</file>