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35EF">
        <w:rPr>
          <w:rFonts w:ascii="Arial" w:hAnsi="Arial" w:cs="Arial"/>
          <w:sz w:val="22"/>
          <w:szCs w:val="22"/>
        </w:rPr>
        <w:t>DIČ:  CZ</w:t>
      </w:r>
      <w:proofErr w:type="gramEnd"/>
      <w:r w:rsidRPr="00F935EF">
        <w:rPr>
          <w:rFonts w:ascii="Arial" w:hAnsi="Arial" w:cs="Arial"/>
          <w:sz w:val="22"/>
          <w:szCs w:val="22"/>
        </w:rPr>
        <w:t>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7004671952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Zahradníková Ivana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="001D636B">
        <w:rPr>
          <w:rFonts w:ascii="Arial" w:hAnsi="Arial" w:cs="Arial"/>
          <w:color w:val="000000"/>
          <w:sz w:val="22"/>
          <w:szCs w:val="22"/>
        </w:rPr>
        <w:t>55xxxxxxxx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D636B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1D636B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75002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7004671952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2569/6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2569/13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2569/15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F935EF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proofErr w:type="gramStart"/>
      <w:r w:rsidRPr="007D1E79">
        <w:rPr>
          <w:rFonts w:ascii="Arial" w:hAnsi="Arial" w:cs="Arial"/>
          <w:sz w:val="22"/>
          <w:szCs w:val="22"/>
        </w:rPr>
        <w:t>Kupující  nabývá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3 160,00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66 820,00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7 257,00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77 237,00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proofErr w:type="gramStart"/>
      <w:r w:rsidRPr="007D1E79">
        <w:rPr>
          <w:rFonts w:ascii="Arial" w:hAnsi="Arial" w:cs="Arial"/>
          <w:sz w:val="22"/>
          <w:szCs w:val="22"/>
        </w:rPr>
        <w:t>kupující  prodávajícímu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:rsidR="008423DE" w:rsidRDefault="008423DE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</w:t>
      </w:r>
      <w:r>
        <w:rPr>
          <w:rFonts w:ascii="Arial" w:hAnsi="Arial" w:cs="Arial"/>
          <w:sz w:val="22"/>
          <w:szCs w:val="22"/>
        </w:rPr>
        <w:lastRenderedPageBreak/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E0AD0" w:rsidRDefault="008E0AD0" w:rsidP="008E0AD0">
      <w:pPr>
        <w:pStyle w:val="VnitrniText0"/>
        <w:rPr>
          <w:sz w:val="22"/>
          <w:szCs w:val="22"/>
        </w:rPr>
      </w:pP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62A8E" w:rsidRPr="00F935EF" w:rsidRDefault="00E62A8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Olomouci dne 1</w:t>
      </w:r>
      <w:r w:rsidR="001069B3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F935EF">
        <w:rPr>
          <w:rFonts w:ascii="Arial" w:hAnsi="Arial" w:cs="Arial"/>
          <w:sz w:val="22"/>
          <w:szCs w:val="22"/>
        </w:rPr>
        <w:t>.5.2019</w:t>
      </w:r>
      <w:r w:rsidRPr="00F935EF">
        <w:rPr>
          <w:rFonts w:ascii="Arial" w:hAnsi="Arial" w:cs="Arial"/>
          <w:sz w:val="22"/>
          <w:szCs w:val="22"/>
        </w:rPr>
        <w:tab/>
      </w:r>
      <w:r w:rsidR="001D636B">
        <w:rPr>
          <w:rFonts w:ascii="Arial" w:hAnsi="Arial" w:cs="Arial"/>
          <w:sz w:val="22"/>
          <w:szCs w:val="22"/>
        </w:rPr>
        <w:t>V Přerově</w:t>
      </w:r>
      <w:r w:rsidRPr="00F935EF">
        <w:rPr>
          <w:rFonts w:ascii="Arial" w:hAnsi="Arial" w:cs="Arial"/>
          <w:sz w:val="22"/>
          <w:szCs w:val="22"/>
        </w:rPr>
        <w:t xml:space="preserve"> dne </w:t>
      </w:r>
      <w:r w:rsidR="001D636B">
        <w:rPr>
          <w:rFonts w:ascii="Arial" w:hAnsi="Arial" w:cs="Arial"/>
          <w:sz w:val="22"/>
          <w:szCs w:val="22"/>
        </w:rPr>
        <w:t>7.5.2019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E62A8E" w:rsidRPr="00F935EF" w:rsidRDefault="00E62A8E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Zahradníková Ivana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Olomoucký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JUDr. Roman Brnčal, LL.M.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1388552, 1574452, 1574652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A8E" w:rsidRPr="00F935EF" w:rsidRDefault="00E62A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Alena Dostálová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</w:t>
      </w:r>
      <w:r w:rsidR="00E62A8E">
        <w:rPr>
          <w:rFonts w:ascii="Arial" w:hAnsi="Arial" w:cs="Arial"/>
          <w:sz w:val="22"/>
          <w:szCs w:val="22"/>
        </w:rPr>
        <w:t>Ing. Lenka Grigárková</w:t>
      </w:r>
      <w:r w:rsidRPr="00F935EF">
        <w:rPr>
          <w:rFonts w:ascii="Arial" w:hAnsi="Arial" w:cs="Arial"/>
          <w:sz w:val="22"/>
          <w:szCs w:val="22"/>
        </w:rPr>
        <w:t>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</w:t>
      </w:r>
      <w:r w:rsidR="00E62A8E">
        <w:rPr>
          <w:rFonts w:ascii="Arial" w:hAnsi="Arial" w:cs="Arial"/>
          <w:sz w:val="22"/>
          <w:szCs w:val="22"/>
        </w:rPr>
        <w:t> Olomouci</w:t>
      </w:r>
      <w:r w:rsidR="00E62A8E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FB3" w:rsidRDefault="001E6FB3">
      <w:r>
        <w:separator/>
      </w:r>
    </w:p>
  </w:endnote>
  <w:endnote w:type="continuationSeparator" w:id="0">
    <w:p w:rsidR="001E6FB3" w:rsidRDefault="001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FB3" w:rsidRDefault="001E6FB3">
      <w:r>
        <w:separator/>
      </w:r>
    </w:p>
  </w:footnote>
  <w:footnote w:type="continuationSeparator" w:id="0">
    <w:p w:rsidR="001E6FB3" w:rsidRDefault="001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42F7E"/>
    <w:rsid w:val="00055BE5"/>
    <w:rsid w:val="00093ED5"/>
    <w:rsid w:val="001069B3"/>
    <w:rsid w:val="00115A33"/>
    <w:rsid w:val="001D636B"/>
    <w:rsid w:val="001E6FB3"/>
    <w:rsid w:val="002055A2"/>
    <w:rsid w:val="00222405"/>
    <w:rsid w:val="00365707"/>
    <w:rsid w:val="00373655"/>
    <w:rsid w:val="003770BD"/>
    <w:rsid w:val="0040101C"/>
    <w:rsid w:val="00480DC8"/>
    <w:rsid w:val="0048532A"/>
    <w:rsid w:val="00550621"/>
    <w:rsid w:val="00566AF0"/>
    <w:rsid w:val="005D0C67"/>
    <w:rsid w:val="007216FD"/>
    <w:rsid w:val="007D1E79"/>
    <w:rsid w:val="007D2161"/>
    <w:rsid w:val="007F6A10"/>
    <w:rsid w:val="008423DE"/>
    <w:rsid w:val="00864044"/>
    <w:rsid w:val="008C14E1"/>
    <w:rsid w:val="008D25D8"/>
    <w:rsid w:val="008E0AD0"/>
    <w:rsid w:val="009014BF"/>
    <w:rsid w:val="009D36E4"/>
    <w:rsid w:val="00A1467D"/>
    <w:rsid w:val="00A31C3B"/>
    <w:rsid w:val="00A90BA0"/>
    <w:rsid w:val="00A923D9"/>
    <w:rsid w:val="00AD02DD"/>
    <w:rsid w:val="00BD5EA5"/>
    <w:rsid w:val="00C324D0"/>
    <w:rsid w:val="00C36645"/>
    <w:rsid w:val="00C9419D"/>
    <w:rsid w:val="00CB20ED"/>
    <w:rsid w:val="00CD2D59"/>
    <w:rsid w:val="00D017F7"/>
    <w:rsid w:val="00D137C8"/>
    <w:rsid w:val="00DD31B1"/>
    <w:rsid w:val="00DF2489"/>
    <w:rsid w:val="00E4158B"/>
    <w:rsid w:val="00E62A8E"/>
    <w:rsid w:val="00E76447"/>
    <w:rsid w:val="00EC7974"/>
    <w:rsid w:val="00EE1DD7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03A6"/>
  <w14:defaultImageDpi w14:val="0"/>
  <w15:docId w15:val="{90EA7860-75AE-472A-A233-E892352D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2004-10-22T12:43:00Z</cp:lastPrinted>
  <dcterms:created xsi:type="dcterms:W3CDTF">2019-05-10T07:36:00Z</dcterms:created>
  <dcterms:modified xsi:type="dcterms:W3CDTF">2019-05-14T12:48:00Z</dcterms:modified>
</cp:coreProperties>
</file>