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3D" w:rsidRPr="00241FDA" w:rsidRDefault="00637D06" w:rsidP="00241FDA">
      <w:pPr>
        <w:keepNext/>
        <w:pBdr>
          <w:top w:val="nil"/>
          <w:left w:val="nil"/>
          <w:bottom w:val="nil"/>
          <w:right w:val="nil"/>
          <w:between w:val="nil"/>
        </w:pBdr>
        <w:spacing w:before="240" w:after="60"/>
        <w:ind w:left="-180" w:right="-108"/>
        <w:jc w:val="center"/>
        <w:rPr>
          <w:rFonts w:ascii="Arial" w:eastAsia="Arial" w:hAnsi="Arial" w:cs="Arial"/>
          <w:b/>
          <w:sz w:val="22"/>
          <w:szCs w:val="22"/>
        </w:rPr>
      </w:pPr>
      <w:bookmarkStart w:id="0" w:name="gjdgxs" w:colFirst="0" w:colLast="0"/>
      <w:bookmarkEnd w:id="0"/>
      <w:r w:rsidRPr="00241FDA">
        <w:rPr>
          <w:rFonts w:ascii="Arial" w:eastAsia="Arial" w:hAnsi="Arial" w:cs="Arial"/>
          <w:b/>
          <w:sz w:val="22"/>
          <w:szCs w:val="22"/>
        </w:rPr>
        <w:t xml:space="preserve">Smlouva o účasti na řešení projektu </w:t>
      </w:r>
    </w:p>
    <w:p w:rsidR="009B793D" w:rsidRPr="00241FDA" w:rsidRDefault="00637D06" w:rsidP="00241FDA">
      <w:pPr>
        <w:pBdr>
          <w:top w:val="nil"/>
          <w:left w:val="nil"/>
          <w:bottom w:val="nil"/>
          <w:right w:val="nil"/>
          <w:between w:val="nil"/>
        </w:pBdr>
        <w:spacing w:before="240"/>
        <w:jc w:val="center"/>
        <w:rPr>
          <w:rFonts w:ascii="Arial" w:eastAsia="Arial" w:hAnsi="Arial" w:cs="Arial"/>
          <w:sz w:val="26"/>
          <w:szCs w:val="26"/>
        </w:rPr>
      </w:pPr>
      <w:r w:rsidRPr="00241FDA">
        <w:rPr>
          <w:rFonts w:ascii="Arial" w:eastAsia="Arial" w:hAnsi="Arial" w:cs="Arial"/>
          <w:sz w:val="26"/>
          <w:szCs w:val="26"/>
        </w:rPr>
        <w:t>„</w:t>
      </w:r>
      <w:r w:rsidRPr="00241FDA">
        <w:rPr>
          <w:rFonts w:ascii="Arial" w:eastAsia="Arial" w:hAnsi="Arial" w:cs="Arial"/>
          <w:b/>
          <w:sz w:val="26"/>
          <w:szCs w:val="26"/>
        </w:rPr>
        <w:t>Lokalizace palet zboží v rozsáhlých venkovních skladech</w:t>
      </w:r>
      <w:r w:rsidRPr="00241FDA">
        <w:rPr>
          <w:rFonts w:ascii="Arial" w:eastAsia="Arial" w:hAnsi="Arial" w:cs="Arial"/>
          <w:sz w:val="26"/>
          <w:szCs w:val="26"/>
        </w:rPr>
        <w:t>“</w:t>
      </w:r>
    </w:p>
    <w:p w:rsidR="009B793D" w:rsidRPr="00241FDA" w:rsidRDefault="00637D06" w:rsidP="00241FDA">
      <w:pPr>
        <w:pBdr>
          <w:top w:val="nil"/>
          <w:left w:val="nil"/>
          <w:bottom w:val="nil"/>
          <w:right w:val="nil"/>
          <w:between w:val="nil"/>
        </w:pBdr>
        <w:spacing w:before="240"/>
        <w:jc w:val="center"/>
        <w:rPr>
          <w:rFonts w:ascii="Arial" w:eastAsia="Arial" w:hAnsi="Arial" w:cs="Arial"/>
          <w:sz w:val="22"/>
          <w:szCs w:val="22"/>
        </w:rPr>
      </w:pPr>
      <w:r w:rsidRPr="00241FDA">
        <w:rPr>
          <w:rFonts w:ascii="Arial" w:eastAsia="Arial" w:hAnsi="Arial" w:cs="Arial"/>
          <w:sz w:val="22"/>
          <w:szCs w:val="22"/>
        </w:rPr>
        <w:t>uzavřená v souladu s ustanovením zákona č. 130/2002 Sb., o podpoře výzkumu, experimentálního vývoje a inovací z veřejných prostředků a o změně některých souvisejících zákonů (zákon o podpoře výzkumu a vývoje), v platném znění</w:t>
      </w:r>
    </w:p>
    <w:p w:rsidR="009B793D" w:rsidRPr="00241FDA" w:rsidRDefault="00637D06" w:rsidP="00241FDA">
      <w:pPr>
        <w:pBdr>
          <w:top w:val="nil"/>
          <w:left w:val="nil"/>
          <w:bottom w:val="nil"/>
          <w:right w:val="nil"/>
          <w:between w:val="nil"/>
        </w:pBdr>
        <w:spacing w:before="360"/>
        <w:jc w:val="center"/>
        <w:rPr>
          <w:rFonts w:ascii="Arial" w:eastAsia="Arial" w:hAnsi="Arial" w:cs="Arial"/>
          <w:sz w:val="22"/>
          <w:szCs w:val="22"/>
        </w:rPr>
      </w:pPr>
      <w:r w:rsidRPr="00241FDA">
        <w:rPr>
          <w:rFonts w:ascii="Arial" w:eastAsia="Arial" w:hAnsi="Arial" w:cs="Arial"/>
          <w:b/>
          <w:sz w:val="22"/>
          <w:szCs w:val="22"/>
        </w:rPr>
        <w:t>Článek I</w:t>
      </w:r>
    </w:p>
    <w:p w:rsidR="009B793D" w:rsidRPr="00241FDA" w:rsidRDefault="00637D06" w:rsidP="00241FDA">
      <w:pPr>
        <w:pBdr>
          <w:top w:val="nil"/>
          <w:left w:val="nil"/>
          <w:bottom w:val="nil"/>
          <w:right w:val="nil"/>
          <w:between w:val="nil"/>
        </w:pBdr>
        <w:spacing w:before="120" w:after="120"/>
        <w:jc w:val="center"/>
        <w:rPr>
          <w:rFonts w:ascii="Arial" w:eastAsia="Arial" w:hAnsi="Arial" w:cs="Arial"/>
          <w:sz w:val="22"/>
          <w:szCs w:val="22"/>
        </w:rPr>
      </w:pPr>
      <w:r w:rsidRPr="00241FDA">
        <w:rPr>
          <w:rFonts w:ascii="Arial" w:eastAsia="Arial" w:hAnsi="Arial" w:cs="Arial"/>
          <w:b/>
          <w:sz w:val="22"/>
          <w:szCs w:val="22"/>
        </w:rPr>
        <w:t>Smluvní strany</w:t>
      </w:r>
    </w:p>
    <w:p w:rsidR="009B793D" w:rsidRPr="00241FDA" w:rsidRDefault="00637D06" w:rsidP="00241FDA">
      <w:pPr>
        <w:pBdr>
          <w:top w:val="nil"/>
          <w:left w:val="nil"/>
          <w:bottom w:val="nil"/>
          <w:right w:val="nil"/>
          <w:between w:val="nil"/>
        </w:pBdr>
        <w:spacing w:after="120"/>
        <w:rPr>
          <w:rFonts w:ascii="Arial" w:eastAsia="Arial" w:hAnsi="Arial" w:cs="Arial"/>
          <w:sz w:val="22"/>
          <w:szCs w:val="22"/>
        </w:rPr>
      </w:pPr>
      <w:r w:rsidRPr="00241FDA">
        <w:rPr>
          <w:rFonts w:ascii="Arial" w:eastAsia="Arial" w:hAnsi="Arial" w:cs="Arial"/>
          <w:b/>
          <w:sz w:val="22"/>
          <w:szCs w:val="22"/>
        </w:rPr>
        <w:t>1. Hlavní příjemce podpory</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Název:</w:t>
      </w:r>
      <w:r w:rsidRPr="00241FDA">
        <w:rPr>
          <w:rFonts w:ascii="Arial" w:eastAsia="Arial" w:hAnsi="Arial" w:cs="Arial"/>
          <w:sz w:val="22"/>
          <w:szCs w:val="22"/>
        </w:rPr>
        <w:tab/>
      </w:r>
      <w:proofErr w:type="spellStart"/>
      <w:r w:rsidRPr="00241FDA">
        <w:rPr>
          <w:rFonts w:ascii="Arial" w:eastAsia="Arial" w:hAnsi="Arial" w:cs="Arial"/>
          <w:sz w:val="22"/>
          <w:szCs w:val="22"/>
        </w:rPr>
        <w:t>TeepCo</w:t>
      </w:r>
      <w:proofErr w:type="spellEnd"/>
      <w:r w:rsidRPr="00241FDA">
        <w:rPr>
          <w:rFonts w:ascii="Arial" w:eastAsia="Arial" w:hAnsi="Arial" w:cs="Arial"/>
          <w:sz w:val="22"/>
          <w:szCs w:val="22"/>
        </w:rPr>
        <w:t xml:space="preserve"> s.r.o.</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se sídlem:</w:t>
      </w:r>
      <w:r w:rsidRPr="00241FDA">
        <w:rPr>
          <w:rFonts w:ascii="Arial" w:eastAsia="Arial" w:hAnsi="Arial" w:cs="Arial"/>
          <w:sz w:val="22"/>
          <w:szCs w:val="22"/>
        </w:rPr>
        <w:tab/>
        <w:t>Kollárova 1879/11, 415 01 Teplice</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 xml:space="preserve">IČ: </w:t>
      </w:r>
      <w:r w:rsidRPr="00241FDA">
        <w:rPr>
          <w:rFonts w:ascii="Arial" w:eastAsia="Arial" w:hAnsi="Arial" w:cs="Arial"/>
          <w:sz w:val="22"/>
          <w:szCs w:val="22"/>
        </w:rPr>
        <w:tab/>
        <w:t>05707200</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DIČ:</w:t>
      </w:r>
      <w:r w:rsidRPr="00241FDA">
        <w:rPr>
          <w:rFonts w:ascii="Arial" w:eastAsia="Arial" w:hAnsi="Arial" w:cs="Arial"/>
          <w:sz w:val="22"/>
          <w:szCs w:val="22"/>
        </w:rPr>
        <w:tab/>
        <w:t>CZ05707200</w:t>
      </w:r>
    </w:p>
    <w:p w:rsidR="00E30776"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 xml:space="preserve">Bank. </w:t>
      </w:r>
      <w:proofErr w:type="gramStart"/>
      <w:r w:rsidRPr="00241FDA">
        <w:rPr>
          <w:rFonts w:ascii="Arial" w:eastAsia="Arial" w:hAnsi="Arial" w:cs="Arial"/>
          <w:sz w:val="22"/>
          <w:szCs w:val="22"/>
        </w:rPr>
        <w:t>spojení</w:t>
      </w:r>
      <w:proofErr w:type="gramEnd"/>
      <w:r w:rsidRPr="00241FDA">
        <w:rPr>
          <w:rFonts w:ascii="Arial" w:eastAsia="Arial" w:hAnsi="Arial" w:cs="Arial"/>
          <w:sz w:val="22"/>
          <w:szCs w:val="22"/>
        </w:rPr>
        <w:t>:</w:t>
      </w:r>
      <w:r w:rsidRPr="00241FDA">
        <w:rPr>
          <w:rFonts w:ascii="Arial" w:eastAsia="Arial" w:hAnsi="Arial" w:cs="Arial"/>
          <w:sz w:val="22"/>
          <w:szCs w:val="22"/>
        </w:rPr>
        <w:tab/>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Č. účtu:</w:t>
      </w:r>
      <w:r w:rsidRPr="00241FDA">
        <w:rPr>
          <w:rFonts w:ascii="Arial" w:eastAsia="Arial" w:hAnsi="Arial" w:cs="Arial"/>
          <w:sz w:val="22"/>
          <w:szCs w:val="22"/>
        </w:rPr>
        <w:tab/>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Zastoupen:</w:t>
      </w:r>
      <w:r w:rsidRPr="00241FDA">
        <w:rPr>
          <w:rFonts w:ascii="Arial" w:eastAsia="Arial" w:hAnsi="Arial" w:cs="Arial"/>
          <w:sz w:val="22"/>
          <w:szCs w:val="22"/>
        </w:rPr>
        <w:tab/>
        <w:t xml:space="preserve">Petr </w:t>
      </w:r>
      <w:proofErr w:type="spellStart"/>
      <w:r w:rsidRPr="00241FDA">
        <w:rPr>
          <w:rFonts w:ascii="Arial" w:eastAsia="Arial" w:hAnsi="Arial" w:cs="Arial"/>
          <w:sz w:val="22"/>
          <w:szCs w:val="22"/>
        </w:rPr>
        <w:t>Knorr</w:t>
      </w:r>
      <w:proofErr w:type="spellEnd"/>
    </w:p>
    <w:p w:rsidR="009B793D" w:rsidRPr="00241FDA" w:rsidRDefault="00637D06" w:rsidP="00241FDA">
      <w:pPr>
        <w:pBdr>
          <w:top w:val="nil"/>
          <w:left w:val="nil"/>
          <w:bottom w:val="nil"/>
          <w:right w:val="nil"/>
          <w:between w:val="nil"/>
        </w:pBdr>
        <w:tabs>
          <w:tab w:val="left" w:pos="1620"/>
        </w:tabs>
        <w:spacing w:after="120"/>
        <w:rPr>
          <w:rFonts w:ascii="Arial" w:eastAsia="Arial" w:hAnsi="Arial" w:cs="Arial"/>
          <w:sz w:val="22"/>
          <w:szCs w:val="22"/>
        </w:rPr>
      </w:pPr>
      <w:r w:rsidRPr="00241FDA">
        <w:rPr>
          <w:rFonts w:ascii="Arial" w:eastAsia="Arial" w:hAnsi="Arial" w:cs="Arial"/>
          <w:sz w:val="22"/>
          <w:szCs w:val="22"/>
        </w:rPr>
        <w:t>Zapsán u Krajského soudu v Ústí nad Labem  C 38812</w:t>
      </w:r>
    </w:p>
    <w:p w:rsidR="009B793D" w:rsidRPr="00241FDA" w:rsidRDefault="009B793D" w:rsidP="00241FDA">
      <w:pPr>
        <w:pBdr>
          <w:top w:val="nil"/>
          <w:left w:val="nil"/>
          <w:bottom w:val="nil"/>
          <w:right w:val="nil"/>
          <w:between w:val="nil"/>
        </w:pBdr>
        <w:tabs>
          <w:tab w:val="left" w:pos="1620"/>
        </w:tabs>
        <w:spacing w:after="120"/>
        <w:rPr>
          <w:rFonts w:ascii="Arial" w:eastAsia="Arial" w:hAnsi="Arial" w:cs="Arial"/>
          <w:sz w:val="22"/>
          <w:szCs w:val="22"/>
        </w:rPr>
      </w:pPr>
    </w:p>
    <w:p w:rsidR="009B793D" w:rsidRPr="00241FDA" w:rsidRDefault="009B793D" w:rsidP="00241FDA">
      <w:pPr>
        <w:pBdr>
          <w:top w:val="nil"/>
          <w:left w:val="nil"/>
          <w:bottom w:val="nil"/>
          <w:right w:val="nil"/>
          <w:between w:val="nil"/>
        </w:pBdr>
        <w:tabs>
          <w:tab w:val="left" w:pos="1620"/>
        </w:tabs>
        <w:spacing w:after="120"/>
        <w:rPr>
          <w:rFonts w:ascii="Arial" w:eastAsia="Arial" w:hAnsi="Arial" w:cs="Arial"/>
          <w:sz w:val="22"/>
          <w:szCs w:val="22"/>
        </w:rPr>
      </w:pPr>
    </w:p>
    <w:p w:rsidR="009B793D" w:rsidRPr="00241FDA" w:rsidRDefault="009B793D" w:rsidP="00241FDA">
      <w:pPr>
        <w:pBdr>
          <w:top w:val="nil"/>
          <w:left w:val="nil"/>
          <w:bottom w:val="nil"/>
          <w:right w:val="nil"/>
          <w:between w:val="nil"/>
        </w:pBdr>
        <w:tabs>
          <w:tab w:val="left" w:pos="1620"/>
        </w:tabs>
        <w:spacing w:after="120"/>
        <w:rPr>
          <w:rFonts w:ascii="Arial" w:eastAsia="Arial" w:hAnsi="Arial" w:cs="Arial"/>
          <w:sz w:val="22"/>
          <w:szCs w:val="22"/>
        </w:rPr>
      </w:pPr>
    </w:p>
    <w:p w:rsidR="009B793D" w:rsidRPr="00241FDA" w:rsidRDefault="009B793D" w:rsidP="00241FDA">
      <w:pPr>
        <w:pBdr>
          <w:top w:val="nil"/>
          <w:left w:val="nil"/>
          <w:bottom w:val="nil"/>
          <w:right w:val="nil"/>
          <w:between w:val="nil"/>
        </w:pBdr>
        <w:spacing w:after="120"/>
        <w:rPr>
          <w:rFonts w:ascii="Arial" w:eastAsia="Arial" w:hAnsi="Arial" w:cs="Arial"/>
          <w:sz w:val="22"/>
          <w:szCs w:val="22"/>
        </w:rPr>
      </w:pPr>
    </w:p>
    <w:p w:rsidR="009B793D" w:rsidRPr="00241FDA" w:rsidRDefault="00637D06" w:rsidP="00241FDA">
      <w:pPr>
        <w:pBdr>
          <w:top w:val="nil"/>
          <w:left w:val="nil"/>
          <w:bottom w:val="nil"/>
          <w:right w:val="nil"/>
          <w:between w:val="nil"/>
        </w:pBdr>
        <w:rPr>
          <w:rFonts w:ascii="Arial" w:eastAsia="Arial" w:hAnsi="Arial" w:cs="Arial"/>
          <w:sz w:val="22"/>
          <w:szCs w:val="22"/>
        </w:rPr>
      </w:pPr>
      <w:r w:rsidRPr="00241FDA">
        <w:rPr>
          <w:rFonts w:ascii="Arial" w:eastAsia="Arial" w:hAnsi="Arial" w:cs="Arial"/>
          <w:sz w:val="22"/>
          <w:szCs w:val="22"/>
        </w:rPr>
        <w:t xml:space="preserve"> (dále jen „Příjemce“)</w:t>
      </w:r>
    </w:p>
    <w:p w:rsidR="009B793D" w:rsidRPr="00241FDA" w:rsidRDefault="00637D06" w:rsidP="00241FDA">
      <w:pPr>
        <w:pBdr>
          <w:top w:val="nil"/>
          <w:left w:val="nil"/>
          <w:bottom w:val="nil"/>
          <w:right w:val="nil"/>
          <w:between w:val="nil"/>
        </w:pBdr>
        <w:spacing w:before="240" w:after="240"/>
        <w:jc w:val="center"/>
        <w:rPr>
          <w:rFonts w:ascii="Arial" w:eastAsia="Arial" w:hAnsi="Arial" w:cs="Arial"/>
          <w:sz w:val="22"/>
          <w:szCs w:val="22"/>
        </w:rPr>
      </w:pPr>
      <w:r w:rsidRPr="00241FDA">
        <w:rPr>
          <w:rFonts w:ascii="Arial" w:eastAsia="Arial" w:hAnsi="Arial" w:cs="Arial"/>
          <w:b/>
          <w:sz w:val="22"/>
          <w:szCs w:val="22"/>
        </w:rPr>
        <w:t>a</w:t>
      </w:r>
    </w:p>
    <w:p w:rsidR="009B793D" w:rsidRPr="00241FDA" w:rsidRDefault="00637D06" w:rsidP="00241FDA">
      <w:pPr>
        <w:pBdr>
          <w:top w:val="nil"/>
          <w:left w:val="nil"/>
          <w:bottom w:val="nil"/>
          <w:right w:val="nil"/>
          <w:between w:val="nil"/>
        </w:pBdr>
        <w:spacing w:after="120"/>
        <w:rPr>
          <w:rFonts w:ascii="Arial" w:eastAsia="Arial" w:hAnsi="Arial" w:cs="Arial"/>
          <w:sz w:val="22"/>
          <w:szCs w:val="22"/>
        </w:rPr>
      </w:pPr>
      <w:r w:rsidRPr="00241FDA">
        <w:rPr>
          <w:rFonts w:ascii="Arial" w:eastAsia="Arial" w:hAnsi="Arial" w:cs="Arial"/>
          <w:b/>
          <w:sz w:val="22"/>
          <w:szCs w:val="22"/>
        </w:rPr>
        <w:t>2. Další účastník projektu</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Název:</w:t>
      </w:r>
      <w:r w:rsidRPr="00241FDA">
        <w:rPr>
          <w:rFonts w:ascii="Arial" w:eastAsia="Arial" w:hAnsi="Arial" w:cs="Arial"/>
          <w:sz w:val="22"/>
          <w:szCs w:val="22"/>
        </w:rPr>
        <w:tab/>
        <w:t>Univerzita Jana Evangelisty Purkyně v Ústí nad Labem</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 xml:space="preserve">se sídlem: </w:t>
      </w:r>
      <w:r w:rsidRPr="00241FDA">
        <w:rPr>
          <w:rFonts w:ascii="Arial" w:eastAsia="Arial" w:hAnsi="Arial" w:cs="Arial"/>
          <w:sz w:val="22"/>
          <w:szCs w:val="22"/>
        </w:rPr>
        <w:tab/>
        <w:t xml:space="preserve">Pasteurova 3544/1, 40096 Ústí nad Labem </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 xml:space="preserve">IČ: </w:t>
      </w:r>
      <w:r w:rsidRPr="00241FDA">
        <w:rPr>
          <w:rFonts w:ascii="Arial" w:eastAsia="Arial" w:hAnsi="Arial" w:cs="Arial"/>
          <w:sz w:val="22"/>
          <w:szCs w:val="22"/>
        </w:rPr>
        <w:tab/>
        <w:t>44555601</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DIČ:</w:t>
      </w:r>
      <w:r w:rsidRPr="00241FDA">
        <w:rPr>
          <w:rFonts w:ascii="Arial" w:eastAsia="Arial" w:hAnsi="Arial" w:cs="Arial"/>
          <w:sz w:val="22"/>
          <w:szCs w:val="22"/>
        </w:rPr>
        <w:tab/>
        <w:t>CZ44555601</w:t>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 xml:space="preserve">Bank. </w:t>
      </w:r>
      <w:proofErr w:type="gramStart"/>
      <w:r w:rsidRPr="00241FDA">
        <w:rPr>
          <w:rFonts w:ascii="Arial" w:eastAsia="Arial" w:hAnsi="Arial" w:cs="Arial"/>
          <w:sz w:val="22"/>
          <w:szCs w:val="22"/>
        </w:rPr>
        <w:t>spojení</w:t>
      </w:r>
      <w:proofErr w:type="gramEnd"/>
      <w:r w:rsidRPr="00241FDA">
        <w:rPr>
          <w:rFonts w:ascii="Arial" w:eastAsia="Arial" w:hAnsi="Arial" w:cs="Arial"/>
          <w:sz w:val="22"/>
          <w:szCs w:val="22"/>
        </w:rPr>
        <w:t>:</w:t>
      </w:r>
      <w:r w:rsidRPr="00241FDA">
        <w:rPr>
          <w:rFonts w:ascii="Arial" w:eastAsia="Arial" w:hAnsi="Arial" w:cs="Arial"/>
          <w:sz w:val="22"/>
          <w:szCs w:val="22"/>
        </w:rPr>
        <w:tab/>
      </w:r>
    </w:p>
    <w:p w:rsidR="009B793D" w:rsidRPr="00241FDA" w:rsidRDefault="00637D06" w:rsidP="00241FDA">
      <w:pPr>
        <w:pBdr>
          <w:top w:val="nil"/>
          <w:left w:val="nil"/>
          <w:bottom w:val="nil"/>
          <w:right w:val="nil"/>
          <w:between w:val="nil"/>
        </w:pBdr>
        <w:tabs>
          <w:tab w:val="left" w:pos="1620"/>
        </w:tabs>
        <w:rPr>
          <w:rFonts w:ascii="Arial" w:eastAsia="Arial" w:hAnsi="Arial" w:cs="Arial"/>
          <w:sz w:val="22"/>
          <w:szCs w:val="22"/>
        </w:rPr>
      </w:pPr>
      <w:r w:rsidRPr="00241FDA">
        <w:rPr>
          <w:rFonts w:ascii="Arial" w:eastAsia="Arial" w:hAnsi="Arial" w:cs="Arial"/>
          <w:sz w:val="22"/>
          <w:szCs w:val="22"/>
        </w:rPr>
        <w:t>Č. účtu:</w:t>
      </w:r>
      <w:r w:rsidRPr="00241FDA">
        <w:rPr>
          <w:rFonts w:ascii="Arial" w:eastAsia="Arial" w:hAnsi="Arial" w:cs="Arial"/>
          <w:sz w:val="22"/>
          <w:szCs w:val="22"/>
        </w:rPr>
        <w:tab/>
      </w:r>
    </w:p>
    <w:p w:rsidR="009B793D" w:rsidRPr="00241FDA" w:rsidRDefault="00637D06" w:rsidP="00241FDA">
      <w:pPr>
        <w:pBdr>
          <w:top w:val="nil"/>
          <w:left w:val="nil"/>
          <w:bottom w:val="nil"/>
          <w:right w:val="nil"/>
          <w:between w:val="nil"/>
        </w:pBdr>
        <w:tabs>
          <w:tab w:val="left" w:pos="1620"/>
        </w:tabs>
        <w:spacing w:after="120"/>
        <w:rPr>
          <w:rFonts w:ascii="Arial" w:eastAsia="Arial" w:hAnsi="Arial" w:cs="Arial"/>
          <w:sz w:val="22"/>
          <w:szCs w:val="22"/>
        </w:rPr>
      </w:pPr>
      <w:r w:rsidRPr="00241FDA">
        <w:rPr>
          <w:rFonts w:ascii="Arial" w:eastAsia="Arial" w:hAnsi="Arial" w:cs="Arial"/>
          <w:sz w:val="22"/>
          <w:szCs w:val="22"/>
        </w:rPr>
        <w:t>Zastoupen:</w:t>
      </w:r>
      <w:r w:rsidRPr="00241FDA">
        <w:rPr>
          <w:rFonts w:ascii="Arial" w:eastAsia="Arial" w:hAnsi="Arial" w:cs="Arial"/>
          <w:sz w:val="22"/>
          <w:szCs w:val="22"/>
        </w:rPr>
        <w:tab/>
        <w:t>doc. RNDr. Martinem Balejem, Ph.D., rektorem</w:t>
      </w:r>
    </w:p>
    <w:p w:rsidR="009B793D" w:rsidRPr="00241FDA" w:rsidRDefault="009B793D" w:rsidP="00241FDA">
      <w:pPr>
        <w:pBdr>
          <w:top w:val="nil"/>
          <w:left w:val="nil"/>
          <w:bottom w:val="nil"/>
          <w:right w:val="nil"/>
          <w:between w:val="nil"/>
        </w:pBdr>
        <w:rPr>
          <w:rFonts w:ascii="Arial" w:eastAsia="Arial" w:hAnsi="Arial" w:cs="Arial"/>
          <w:sz w:val="22"/>
          <w:szCs w:val="22"/>
        </w:rPr>
      </w:pPr>
    </w:p>
    <w:p w:rsidR="009B793D" w:rsidRPr="00241FDA" w:rsidRDefault="00637D06" w:rsidP="00241FDA">
      <w:pPr>
        <w:pBdr>
          <w:top w:val="nil"/>
          <w:left w:val="nil"/>
          <w:bottom w:val="nil"/>
          <w:right w:val="nil"/>
          <w:between w:val="nil"/>
        </w:pBdr>
        <w:rPr>
          <w:rFonts w:ascii="Arial" w:eastAsia="Arial" w:hAnsi="Arial" w:cs="Arial"/>
          <w:sz w:val="22"/>
          <w:szCs w:val="22"/>
        </w:rPr>
      </w:pPr>
      <w:r w:rsidRPr="00241FDA">
        <w:rPr>
          <w:rFonts w:ascii="Arial" w:eastAsia="Arial" w:hAnsi="Arial" w:cs="Arial"/>
          <w:sz w:val="22"/>
          <w:szCs w:val="22"/>
        </w:rPr>
        <w:t>(dále jen „Další účastník“)</w:t>
      </w:r>
    </w:p>
    <w:p w:rsidR="009B793D" w:rsidRPr="00241FDA" w:rsidRDefault="009B793D" w:rsidP="00241FDA">
      <w:pPr>
        <w:pBdr>
          <w:top w:val="nil"/>
          <w:left w:val="nil"/>
          <w:bottom w:val="nil"/>
          <w:right w:val="nil"/>
          <w:between w:val="nil"/>
        </w:pBdr>
        <w:rPr>
          <w:rFonts w:ascii="Arial" w:eastAsia="Arial" w:hAnsi="Arial" w:cs="Arial"/>
          <w:sz w:val="22"/>
          <w:szCs w:val="22"/>
        </w:rPr>
      </w:pPr>
    </w:p>
    <w:p w:rsidR="009B793D" w:rsidRPr="00241FDA" w:rsidRDefault="009B793D" w:rsidP="00241FDA">
      <w:pPr>
        <w:pBdr>
          <w:top w:val="nil"/>
          <w:left w:val="nil"/>
          <w:bottom w:val="nil"/>
          <w:right w:val="nil"/>
          <w:between w:val="nil"/>
        </w:pBdr>
        <w:rPr>
          <w:rFonts w:ascii="Arial" w:eastAsia="Arial" w:hAnsi="Arial" w:cs="Arial"/>
          <w:sz w:val="22"/>
          <w:szCs w:val="22"/>
        </w:rPr>
      </w:pPr>
    </w:p>
    <w:p w:rsidR="009B793D" w:rsidRPr="00241FDA" w:rsidRDefault="009B793D" w:rsidP="00241FDA">
      <w:pPr>
        <w:pBdr>
          <w:top w:val="nil"/>
          <w:left w:val="nil"/>
          <w:bottom w:val="nil"/>
          <w:right w:val="nil"/>
          <w:between w:val="nil"/>
        </w:pBdr>
        <w:rPr>
          <w:rFonts w:ascii="Arial" w:eastAsia="Arial" w:hAnsi="Arial" w:cs="Arial"/>
          <w:sz w:val="22"/>
          <w:szCs w:val="22"/>
        </w:rPr>
      </w:pPr>
    </w:p>
    <w:p w:rsidR="009B793D" w:rsidRPr="00241FDA" w:rsidRDefault="00637D06" w:rsidP="00241FDA">
      <w:pPr>
        <w:pBdr>
          <w:top w:val="nil"/>
          <w:left w:val="nil"/>
          <w:bottom w:val="nil"/>
          <w:right w:val="nil"/>
          <w:between w:val="nil"/>
        </w:pBdr>
        <w:spacing w:before="360" w:after="120"/>
        <w:jc w:val="center"/>
        <w:rPr>
          <w:rFonts w:ascii="Arial" w:eastAsia="Arial" w:hAnsi="Arial" w:cs="Arial"/>
          <w:sz w:val="22"/>
          <w:szCs w:val="22"/>
        </w:rPr>
      </w:pPr>
      <w:r w:rsidRPr="00241FDA">
        <w:rPr>
          <w:rFonts w:ascii="Arial" w:eastAsia="Arial" w:hAnsi="Arial" w:cs="Arial"/>
          <w:b/>
          <w:sz w:val="22"/>
          <w:szCs w:val="22"/>
        </w:rPr>
        <w:t>Preambule</w:t>
      </w:r>
    </w:p>
    <w:p w:rsidR="009B793D" w:rsidRPr="00241FDA" w:rsidRDefault="00637D06" w:rsidP="00241FDA">
      <w:pPr>
        <w:pBdr>
          <w:top w:val="nil"/>
          <w:left w:val="nil"/>
          <w:bottom w:val="nil"/>
          <w:right w:val="nil"/>
          <w:between w:val="nil"/>
        </w:pBdr>
        <w:spacing w:before="240"/>
        <w:jc w:val="center"/>
        <w:rPr>
          <w:rFonts w:ascii="Arial" w:eastAsia="Arial" w:hAnsi="Arial" w:cs="Arial"/>
          <w:sz w:val="24"/>
          <w:szCs w:val="24"/>
        </w:rPr>
      </w:pPr>
      <w:r w:rsidRPr="00241FDA">
        <w:rPr>
          <w:rFonts w:ascii="Arial" w:eastAsia="Arial" w:hAnsi="Arial" w:cs="Arial"/>
          <w:sz w:val="22"/>
          <w:szCs w:val="22"/>
        </w:rPr>
        <w:t xml:space="preserve">Smluvní strany spolupracují na realizaci projektu č. </w:t>
      </w:r>
      <w:r w:rsidRPr="00241FDA">
        <w:rPr>
          <w:rFonts w:ascii="Arial" w:eastAsia="Arial" w:hAnsi="Arial" w:cs="Arial"/>
          <w:b/>
          <w:sz w:val="22"/>
          <w:szCs w:val="22"/>
        </w:rPr>
        <w:t>TJ02000080</w:t>
      </w:r>
    </w:p>
    <w:p w:rsidR="009B793D" w:rsidRPr="00241FDA" w:rsidRDefault="00637D06" w:rsidP="00241FDA">
      <w:pPr>
        <w:pBdr>
          <w:top w:val="nil"/>
          <w:left w:val="nil"/>
          <w:bottom w:val="nil"/>
          <w:right w:val="nil"/>
          <w:between w:val="nil"/>
        </w:pBdr>
        <w:spacing w:before="240"/>
        <w:jc w:val="both"/>
        <w:rPr>
          <w:rFonts w:ascii="Arial" w:eastAsia="Arial" w:hAnsi="Arial" w:cs="Arial"/>
          <w:sz w:val="22"/>
          <w:szCs w:val="22"/>
        </w:rPr>
      </w:pPr>
      <w:r w:rsidRPr="00241FDA">
        <w:rPr>
          <w:rFonts w:ascii="Arial" w:eastAsia="Arial" w:hAnsi="Arial" w:cs="Arial"/>
          <w:sz w:val="22"/>
          <w:szCs w:val="22"/>
        </w:rPr>
        <w:t>s názvem „</w:t>
      </w:r>
      <w:r w:rsidRPr="00241FDA">
        <w:rPr>
          <w:rFonts w:ascii="Arial" w:eastAsia="Arial" w:hAnsi="Arial" w:cs="Arial"/>
          <w:b/>
          <w:sz w:val="22"/>
          <w:szCs w:val="22"/>
        </w:rPr>
        <w:t>Lokalizace palet zboží v rozsáhlých venkovních skladech</w:t>
      </w:r>
      <w:r w:rsidRPr="00241FDA">
        <w:rPr>
          <w:rFonts w:ascii="Arial" w:eastAsia="Arial" w:hAnsi="Arial" w:cs="Arial"/>
          <w:sz w:val="22"/>
          <w:szCs w:val="22"/>
        </w:rPr>
        <w:t>“  (dále jen „Projekt“), který Příjemce podal do 2. veřejné soutěže Programu ZÉTA (dále jen „program podpory“) vyhlášené Technologickou agenturou České republiky (TA ČR, dále jen „poskytovatel“). Příjemce uzavře s Poskytovatelem Smlouvu o poskytnutí podpory (dále jen „Smlouva o poskytnutí podpory“) před zahájením realizace uvedeného Projektu. Smlouva o poskytnutí podpory se po jejím uzavření stane přílohou této Smlouvy.</w:t>
      </w:r>
    </w:p>
    <w:p w:rsidR="009B793D" w:rsidRPr="00241FDA" w:rsidRDefault="009B793D"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rPr>
          <w:rFonts w:ascii="Arial" w:eastAsia="Arial" w:hAnsi="Arial" w:cs="Arial"/>
          <w:sz w:val="22"/>
          <w:szCs w:val="22"/>
        </w:rPr>
      </w:pP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rPr>
          <w:rFonts w:ascii="Arial" w:eastAsia="Arial" w:hAnsi="Arial" w:cs="Arial"/>
          <w:sz w:val="22"/>
          <w:szCs w:val="22"/>
        </w:rPr>
      </w:pPr>
      <w:r w:rsidRPr="00241FDA">
        <w:rPr>
          <w:rFonts w:ascii="Arial" w:eastAsia="Arial" w:hAnsi="Arial" w:cs="Arial"/>
          <w:sz w:val="22"/>
          <w:szCs w:val="22"/>
        </w:rPr>
        <w:t>Bude-li Poskytovatelem poskytnuta podpora na realizaci Projektu, Smluvní strany se touto Smlouvou zavazují spolupracovat na jeho realizaci a dále se zavazují ke spolupráci na využití výsledků Projektu.</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Předmět Smlouvy</w:t>
      </w:r>
    </w:p>
    <w:p w:rsidR="009B793D" w:rsidRPr="00241FDA" w:rsidRDefault="00637D06" w:rsidP="00241FDA">
      <w:pPr>
        <w:numPr>
          <w:ilvl w:val="0"/>
          <w:numId w:val="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Předmětem Smlouvy je vymezení vzájemných práv a povinností Smluvních stran, tedy Příjemce na straně jedné a Dalšího účastníka na straně druhé, při jejich vzájemné spolupráci na řešení Projektu.</w:t>
      </w:r>
    </w:p>
    <w:p w:rsidR="009B793D" w:rsidRPr="00241FDA" w:rsidRDefault="00637D06" w:rsidP="00241FDA">
      <w:pPr>
        <w:numPr>
          <w:ilvl w:val="0"/>
          <w:numId w:val="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 Předmětem Smlouvy je dále vymezení podmínek, za kterých bude Příjemcem poskytnuta část účelové podpory Dalšímu účastníkovi, a to poté, co bude uzavřena Smlouva o poskytnutí podpory mezi Poskytovatelem a Příjemcem.</w:t>
      </w:r>
    </w:p>
    <w:p w:rsidR="009B793D" w:rsidRPr="00241FDA" w:rsidRDefault="00637D06" w:rsidP="00241FDA">
      <w:pPr>
        <w:numPr>
          <w:ilvl w:val="0"/>
          <w:numId w:val="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Předmětem Smlouvy je úprava vzájemných práv a povinností Smluvních stran k hmotnému a nehmotnému majetku nutnému k řešení Projektu a nabytému účastníky Projektu a dále k výsledkům Projektu a využití výsledků Projektu.</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III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Podmínky spolupráce stran</w:t>
      </w:r>
    </w:p>
    <w:p w:rsidR="009B793D" w:rsidRPr="00241FDA" w:rsidRDefault="00637D06" w:rsidP="00241FDA">
      <w:pPr>
        <w:numPr>
          <w:ilvl w:val="0"/>
          <w:numId w:val="12"/>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Spolupráce Smluvních stran bude realizována v souladu s navrženým Projektem, Zadávací dokumentací, pravidly poskytnutí podpory, dalšími podmínkami a dokumenty závaznými pro Projekt, zejména s Všeobecnými podmínkami Poskytovatele v platném znění a také v souladu s podmínkami Smlouvy o poskytnutí podpory, o jejímž uzavření bude Příjemce Dalšího účastníka bez zbytečného odkladu informovat. Nedílnou součástí Smlouvy o poskytnutí podpory budou Závazné parametry řešení projektu, které jsou schváleným návrhem Projektu.</w:t>
      </w:r>
    </w:p>
    <w:p w:rsidR="009B793D" w:rsidRPr="00241FDA" w:rsidRDefault="00637D06" w:rsidP="00241FDA">
      <w:pPr>
        <w:numPr>
          <w:ilvl w:val="0"/>
          <w:numId w:val="12"/>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Další účastník prohlašuje, že se seznámil se Zadávací dokumentací, se všemi podmínkami programu podpory a příslušnými dokumenty, zejména s Všeobecnými podmínkami Poskytovatele, a zavazuje se jimi řídit. Další účastník se výslovně zavazuje zejména dodržovat povinnosti uvedené v čl. 4 Všeobecných podmínek Poskytovatele a bude Příjemci poskytovat veškerou potřebnou součinnost k zajištění jejich dodržování Příjemcem.</w:t>
      </w:r>
    </w:p>
    <w:p w:rsidR="009B793D" w:rsidRPr="00241FDA" w:rsidRDefault="00637D06" w:rsidP="00241FDA">
      <w:pPr>
        <w:numPr>
          <w:ilvl w:val="0"/>
          <w:numId w:val="12"/>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seznámily s obsahem Projektu včetně Projektové žádosti, a to před podpisem této Smlouvy.</w:t>
      </w:r>
    </w:p>
    <w:p w:rsidR="009B793D" w:rsidRPr="00241FDA" w:rsidRDefault="00637D06" w:rsidP="00241FDA">
      <w:pPr>
        <w:numPr>
          <w:ilvl w:val="0"/>
          <w:numId w:val="12"/>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Smluvní strany se zavazují, že vyvinou veškeré nezbytné úsilí, aby byl naplněn účel, cíl a výsledek Projektu uvedený v Závazných parametrech řešení projektu. Nedosažení účelu, cíle a výsledku Projektu lze odůvodnit pouze v naplnění okolností obecně uznávaných a definovaných jako vyšší </w:t>
      </w:r>
      <w:proofErr w:type="gramStart"/>
      <w:r w:rsidRPr="00241FDA">
        <w:rPr>
          <w:rFonts w:ascii="Arial" w:eastAsia="Arial" w:hAnsi="Arial" w:cs="Arial"/>
          <w:sz w:val="22"/>
          <w:szCs w:val="22"/>
        </w:rPr>
        <w:t>moc ( § 2913</w:t>
      </w:r>
      <w:proofErr w:type="gramEnd"/>
      <w:r w:rsidRPr="00241FDA">
        <w:rPr>
          <w:rFonts w:ascii="Arial" w:eastAsia="Arial" w:hAnsi="Arial" w:cs="Arial"/>
          <w:sz w:val="22"/>
          <w:szCs w:val="22"/>
        </w:rPr>
        <w:t xml:space="preserve"> odst. 2 zákona 89/2012 Sb. občanského zákoníku)</w:t>
      </w:r>
    </w:p>
    <w:p w:rsidR="009B793D" w:rsidRPr="00241FDA" w:rsidRDefault="00637D06" w:rsidP="00241FDA">
      <w:pPr>
        <w:numPr>
          <w:ilvl w:val="0"/>
          <w:numId w:val="12"/>
        </w:numPr>
        <w:pBdr>
          <w:top w:val="nil"/>
          <w:left w:val="nil"/>
          <w:bottom w:val="nil"/>
          <w:right w:val="nil"/>
          <w:between w:val="nil"/>
        </w:pBdr>
        <w:ind w:hanging="502"/>
        <w:jc w:val="both"/>
        <w:rPr>
          <w:rFonts w:ascii="Arial" w:eastAsia="Arial" w:hAnsi="Arial" w:cs="Arial"/>
          <w:sz w:val="22"/>
          <w:szCs w:val="22"/>
        </w:rPr>
      </w:pPr>
      <w:r w:rsidRPr="00241FDA">
        <w:rPr>
          <w:rFonts w:ascii="Arial" w:eastAsia="Arial" w:hAnsi="Arial" w:cs="Arial"/>
          <w:sz w:val="22"/>
          <w:szCs w:val="22"/>
        </w:rPr>
        <w:t>Smluvní strany se zavazují jednat způsobem, který neohrožuje realizaci Projektu a zájmy jednotlivých Smluvních stran.</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IV</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Složení Projektu – řešitel a spoluřešitelé</w:t>
      </w:r>
    </w:p>
    <w:p w:rsidR="009B793D" w:rsidRPr="00241FDA" w:rsidRDefault="00637D06" w:rsidP="00241FDA">
      <w:pPr>
        <w:numPr>
          <w:ilvl w:val="0"/>
          <w:numId w:val="13"/>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Osobou, která odpovídá za vědecké řešení Projektu na straně Příjemce je hlavní řešitel:</w:t>
      </w:r>
      <w:r w:rsidRPr="00241FDA">
        <w:rPr>
          <w:rFonts w:ascii="Arial" w:eastAsia="Arial" w:hAnsi="Arial" w:cs="Arial"/>
          <w:sz w:val="22"/>
          <w:szCs w:val="22"/>
        </w:rPr>
        <w:br/>
      </w:r>
    </w:p>
    <w:p w:rsidR="009B793D" w:rsidRPr="00241FDA" w:rsidRDefault="00637D06" w:rsidP="00241FDA">
      <w:pPr>
        <w:numPr>
          <w:ilvl w:val="0"/>
          <w:numId w:val="13"/>
        </w:numPr>
        <w:pBdr>
          <w:top w:val="nil"/>
          <w:left w:val="nil"/>
          <w:bottom w:val="nil"/>
          <w:right w:val="nil"/>
          <w:between w:val="nil"/>
        </w:pBdr>
        <w:spacing w:after="20"/>
        <w:ind w:left="540" w:hanging="543"/>
        <w:jc w:val="both"/>
        <w:rPr>
          <w:rFonts w:ascii="Arial" w:eastAsia="Arial" w:hAnsi="Arial" w:cs="Arial"/>
          <w:sz w:val="22"/>
          <w:szCs w:val="22"/>
        </w:rPr>
      </w:pPr>
      <w:r w:rsidRPr="00241FDA">
        <w:rPr>
          <w:rFonts w:ascii="Arial" w:eastAsia="Arial" w:hAnsi="Arial" w:cs="Arial"/>
          <w:sz w:val="22"/>
          <w:szCs w:val="22"/>
        </w:rPr>
        <w:t xml:space="preserve">Osobou, která odpovídá za vědecké řešení Projektu na straně Dalšího účastníka je odpovědný řešitel:  </w:t>
      </w:r>
      <w:bookmarkStart w:id="1" w:name="_GoBack"/>
      <w:bookmarkEnd w:id="1"/>
    </w:p>
    <w:p w:rsidR="009B793D" w:rsidRPr="00241FDA" w:rsidRDefault="00637D06" w:rsidP="00241FDA">
      <w:pPr>
        <w:numPr>
          <w:ilvl w:val="0"/>
          <w:numId w:val="13"/>
        </w:numPr>
        <w:pBdr>
          <w:top w:val="nil"/>
          <w:left w:val="nil"/>
          <w:bottom w:val="nil"/>
          <w:right w:val="nil"/>
          <w:between w:val="nil"/>
        </w:pBdr>
        <w:spacing w:after="20"/>
        <w:ind w:left="540" w:hanging="543"/>
        <w:jc w:val="both"/>
        <w:rPr>
          <w:rFonts w:ascii="Arial" w:eastAsia="Arial" w:hAnsi="Arial" w:cs="Arial"/>
          <w:sz w:val="22"/>
          <w:szCs w:val="22"/>
        </w:rPr>
      </w:pPr>
      <w:r w:rsidRPr="00241FDA">
        <w:rPr>
          <w:rFonts w:ascii="Arial" w:eastAsia="Arial" w:hAnsi="Arial" w:cs="Arial"/>
          <w:sz w:val="22"/>
          <w:szCs w:val="22"/>
        </w:rPr>
        <w:t>Řešitel Příjemce je odpovědný Příjemci za celkovou odbornou úroveň Projektu. Musí být k Příjemci v pracovním poměru nebo v poměru obdobném pracovnímu. Odpovědný řešitel Dalšího účastníka je odpovědný Dalšímu účastníkovi za celkovou odbornou úroveň Projektu. Odpovědný řešitel Dalšího účastníka musí být k Dalšímu účastníkovi v pracovním poměru nebo v poměru pracovnímu poměru obdobném.</w:t>
      </w:r>
    </w:p>
    <w:p w:rsidR="009B793D" w:rsidRPr="00241FDA" w:rsidRDefault="00637D06" w:rsidP="00241FDA">
      <w:pPr>
        <w:numPr>
          <w:ilvl w:val="0"/>
          <w:numId w:val="13"/>
        </w:numPr>
        <w:pBdr>
          <w:top w:val="nil"/>
          <w:left w:val="nil"/>
          <w:bottom w:val="nil"/>
          <w:right w:val="nil"/>
          <w:between w:val="nil"/>
        </w:pBdr>
        <w:spacing w:after="20"/>
        <w:ind w:left="540" w:hanging="543"/>
        <w:jc w:val="both"/>
        <w:rPr>
          <w:rFonts w:ascii="Arial" w:eastAsia="Arial" w:hAnsi="Arial" w:cs="Arial"/>
          <w:sz w:val="22"/>
          <w:szCs w:val="22"/>
        </w:rPr>
      </w:pPr>
      <w:r w:rsidRPr="00241FDA">
        <w:rPr>
          <w:rFonts w:ascii="Arial" w:eastAsia="Arial" w:hAnsi="Arial" w:cs="Arial"/>
          <w:sz w:val="22"/>
          <w:szCs w:val="22"/>
        </w:rPr>
        <w:t>Výše uvedení řešitelé se podílejí na činnostech nezbytných pro úspěšné řešení Projektu v souladu se schváleným návrhem Projektu.</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V</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Řízení Projektu, způsob zapojení jednotlivých účastníků Smlouvy do Projektu</w:t>
      </w:r>
    </w:p>
    <w:p w:rsidR="009B793D" w:rsidRPr="00241FDA" w:rsidRDefault="00637D06" w:rsidP="00241FDA">
      <w:pPr>
        <w:numPr>
          <w:ilvl w:val="0"/>
          <w:numId w:val="14"/>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Příjemce je předkladatelem Projektu a žadatelem o poskytnutí podpory. Příjemce uzavře s Poskytovatelem Smlouvu o poskytnutí podpory. Příjemce plní funkci koordinátora Projektu a zajišťuje administrativní spolupráci s Poskytovatelem.</w:t>
      </w:r>
    </w:p>
    <w:p w:rsidR="009B793D" w:rsidRPr="00241FDA" w:rsidRDefault="00637D06" w:rsidP="00241FDA">
      <w:pPr>
        <w:numPr>
          <w:ilvl w:val="0"/>
          <w:numId w:val="14"/>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Další účastník se při provádění činností dle Smlouvy zavazuje konat tak, aby umožnil Příjemci plnit jeho závazky vyplývající z obecně závazných právních předpisů ČR týkajících se účelové podpory výzkumu a vývoje (zejména zák. č. 130/2002 Sb., o podpoře výzkumu, experimentálního vývoje a inovací v platném znění) a jím uzavřených smluv. Dále se Další účastník zavazuje, že vyvine veškeré nezbytné úsilí k realizaci Projektu, že bude jednat způsobem, který neohrožuje realizaci Projektu a zájmy Příjemce. Veškeré činnosti Dalšího účastníka, na které je podpora poskytována, musí směřovat k dosažení cílů Projektu a naplnění účelu podpory. </w:t>
      </w:r>
    </w:p>
    <w:p w:rsidR="009B793D" w:rsidRPr="00241FDA" w:rsidRDefault="00637D06" w:rsidP="00241FDA">
      <w:pPr>
        <w:numPr>
          <w:ilvl w:val="0"/>
          <w:numId w:val="14"/>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zavazují, že v rámci spolupráce na řešení Projektu budou provádět ve stanovených termínech a ve stanoveném rozsahu úkony konkrétně určené v Závazných parametrech řešení projektu, směřující k realizaci Projektu, popřípadě i další úkony nutné nebo potřebné pro realizaci Projektu.</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VI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Hodnocení Projektu</w:t>
      </w:r>
    </w:p>
    <w:p w:rsidR="009B793D" w:rsidRPr="00241FDA" w:rsidRDefault="00637D06" w:rsidP="00241FDA">
      <w:pPr>
        <w:numPr>
          <w:ilvl w:val="0"/>
          <w:numId w:val="10"/>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Za účelem ověření a zhodnocení postupu spolupráce Dalšího účastníka na řešení Projektu je Další účastník povinen předložit Příjemci </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a)</w:t>
      </w:r>
      <w:r w:rsidRPr="00241FDA">
        <w:rPr>
          <w:rFonts w:ascii="Arial" w:eastAsia="Arial" w:hAnsi="Arial" w:cs="Arial"/>
          <w:sz w:val="22"/>
          <w:szCs w:val="22"/>
        </w:rPr>
        <w:tab/>
        <w:t>průběžné zprávy,</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b)</w:t>
      </w:r>
      <w:r w:rsidRPr="00241FDA">
        <w:rPr>
          <w:rFonts w:ascii="Arial" w:eastAsia="Arial" w:hAnsi="Arial" w:cs="Arial"/>
          <w:sz w:val="22"/>
          <w:szCs w:val="22"/>
        </w:rPr>
        <w:tab/>
        <w:t>mimořádné zprávy,</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c)</w:t>
      </w:r>
      <w:r w:rsidRPr="00241FDA">
        <w:rPr>
          <w:rFonts w:ascii="Arial" w:eastAsia="Arial" w:hAnsi="Arial" w:cs="Arial"/>
          <w:sz w:val="22"/>
          <w:szCs w:val="22"/>
        </w:rPr>
        <w:tab/>
        <w:t>závěrečnou zprávu,</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d)</w:t>
      </w:r>
      <w:r w:rsidRPr="00241FDA">
        <w:rPr>
          <w:rFonts w:ascii="Arial" w:eastAsia="Arial" w:hAnsi="Arial" w:cs="Arial"/>
          <w:sz w:val="22"/>
          <w:szCs w:val="22"/>
        </w:rPr>
        <w:tab/>
        <w:t>výkazy uznaných nákladů Projektu,</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e)</w:t>
      </w:r>
      <w:r w:rsidRPr="00241FDA">
        <w:rPr>
          <w:rFonts w:ascii="Arial" w:eastAsia="Arial" w:hAnsi="Arial" w:cs="Arial"/>
          <w:sz w:val="22"/>
          <w:szCs w:val="22"/>
        </w:rPr>
        <w:tab/>
        <w:t>zprávu o implementaci výsledků</w:t>
      </w:r>
    </w:p>
    <w:p w:rsidR="009B793D" w:rsidRPr="00241FDA" w:rsidRDefault="00637D06" w:rsidP="00241FDA">
      <w:pPr>
        <w:pBdr>
          <w:top w:val="nil"/>
          <w:left w:val="nil"/>
          <w:bottom w:val="nil"/>
          <w:right w:val="nil"/>
          <w:between w:val="nil"/>
        </w:pBdr>
        <w:spacing w:after="20"/>
        <w:ind w:left="900" w:hanging="360"/>
        <w:jc w:val="both"/>
        <w:rPr>
          <w:rFonts w:ascii="Arial" w:eastAsia="Arial" w:hAnsi="Arial" w:cs="Arial"/>
          <w:sz w:val="22"/>
          <w:szCs w:val="22"/>
        </w:rPr>
      </w:pPr>
      <w:r w:rsidRPr="00241FDA">
        <w:rPr>
          <w:rFonts w:ascii="Arial" w:eastAsia="Arial" w:hAnsi="Arial" w:cs="Arial"/>
          <w:sz w:val="22"/>
          <w:szCs w:val="22"/>
        </w:rPr>
        <w:t>f)</w:t>
      </w:r>
      <w:r w:rsidRPr="00241FDA">
        <w:rPr>
          <w:rFonts w:ascii="Arial" w:eastAsia="Arial" w:hAnsi="Arial" w:cs="Arial"/>
          <w:sz w:val="22"/>
          <w:szCs w:val="22"/>
        </w:rPr>
        <w:tab/>
        <w:t xml:space="preserve">další zprávy, informace a dokumenty, pokud tak stanoví Příjemce nebo Poskytovatel. </w:t>
      </w:r>
    </w:p>
    <w:p w:rsidR="009B793D" w:rsidRPr="00241FDA" w:rsidRDefault="009B793D" w:rsidP="00241FDA">
      <w:pPr>
        <w:pBdr>
          <w:top w:val="nil"/>
          <w:left w:val="nil"/>
          <w:bottom w:val="nil"/>
          <w:right w:val="nil"/>
          <w:between w:val="nil"/>
        </w:pBdr>
        <w:spacing w:after="20"/>
        <w:ind w:left="540"/>
        <w:jc w:val="both"/>
        <w:rPr>
          <w:rFonts w:ascii="Arial" w:eastAsia="Arial" w:hAnsi="Arial" w:cs="Arial"/>
          <w:sz w:val="22"/>
          <w:szCs w:val="22"/>
        </w:rPr>
      </w:pPr>
    </w:p>
    <w:p w:rsidR="009B793D" w:rsidRPr="00241FDA" w:rsidRDefault="00637D06" w:rsidP="00241FDA">
      <w:pPr>
        <w:numPr>
          <w:ilvl w:val="0"/>
          <w:numId w:val="10"/>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Zprávy uvedené v bodě </w:t>
      </w:r>
      <w:proofErr w:type="gramStart"/>
      <w:r w:rsidRPr="00241FDA">
        <w:rPr>
          <w:rFonts w:ascii="Arial" w:eastAsia="Arial" w:hAnsi="Arial" w:cs="Arial"/>
          <w:sz w:val="22"/>
          <w:szCs w:val="22"/>
        </w:rPr>
        <w:t>6.1. tohoto</w:t>
      </w:r>
      <w:proofErr w:type="gramEnd"/>
      <w:r w:rsidRPr="00241FDA">
        <w:rPr>
          <w:rFonts w:ascii="Arial" w:eastAsia="Arial" w:hAnsi="Arial" w:cs="Arial"/>
          <w:sz w:val="22"/>
          <w:szCs w:val="22"/>
        </w:rPr>
        <w:t xml:space="preserve"> článku je Další účastník povinen poskytovat Příjemci v požadovaném počtu vyhotovení, přičemž Další účastník je povinen respektovat Všeobecné podmínky, směrnice a hodnotící procesy Poskytovatele a pokyny Příjemce týkající se obsahu, struktury zpráv a lhůt pro jejich odevzdání a dále pak předkládat zprávy v takové vhodné formě, aby zprávy mohly být Příjemcem nebo Poskytovatelem publikovány. </w:t>
      </w:r>
    </w:p>
    <w:p w:rsidR="009B793D" w:rsidRPr="00241FDA" w:rsidRDefault="009B793D" w:rsidP="00241FDA">
      <w:pPr>
        <w:pBdr>
          <w:top w:val="nil"/>
          <w:left w:val="nil"/>
          <w:bottom w:val="nil"/>
          <w:right w:val="nil"/>
          <w:between w:val="nil"/>
        </w:pBdr>
        <w:spacing w:after="20"/>
        <w:jc w:val="both"/>
        <w:rPr>
          <w:rFonts w:ascii="Arial" w:eastAsia="Arial" w:hAnsi="Arial" w:cs="Arial"/>
          <w:sz w:val="22"/>
          <w:szCs w:val="22"/>
        </w:rPr>
      </w:pP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VII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Práva a povinnosti Smluvních stran</w:t>
      </w:r>
    </w:p>
    <w:p w:rsidR="009B793D" w:rsidRPr="00241FDA" w:rsidRDefault="00637D06" w:rsidP="00241FDA">
      <w:pPr>
        <w:numPr>
          <w:ilvl w:val="0"/>
          <w:numId w:val="1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jsou povinny se navzájem informovat o veškerých změnách týkajících se Projektu, dále o případné neschopnosti plnit řádně a včas povinnosti vyplývající ze 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Smluvní strany jsou dále povinny kdykoliv prokázat, že jsou stále způsobilé pro řešení Projektu a splňují podmínky kvalifikace a podmínky pravidel poskytnutí podpory.</w:t>
      </w:r>
    </w:p>
    <w:p w:rsidR="009B793D" w:rsidRPr="00241FDA" w:rsidRDefault="00637D06" w:rsidP="00241FDA">
      <w:pPr>
        <w:numPr>
          <w:ilvl w:val="0"/>
          <w:numId w:val="1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Každá ze Smluvních stran vede oddělenou účetní evidenci všech účetních případů vztahujících se k Projektu.</w:t>
      </w:r>
    </w:p>
    <w:p w:rsidR="009B793D" w:rsidRPr="00241FDA" w:rsidRDefault="00637D06" w:rsidP="00241FDA">
      <w:pPr>
        <w:numPr>
          <w:ilvl w:val="0"/>
          <w:numId w:val="1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Každá ze Smluvních stran se zavazuje podrobit se kontrolám Projektu ze strany Poskytovatele a dalších kontrolních subjektů a při těchto kontrolách poskytovat odpovídající součinnost, a to i po skončení účinnosti této Smlouvy.</w:t>
      </w:r>
    </w:p>
    <w:p w:rsidR="009B793D" w:rsidRPr="00241FDA" w:rsidRDefault="00637D06" w:rsidP="00241FDA">
      <w:pPr>
        <w:numPr>
          <w:ilvl w:val="0"/>
          <w:numId w:val="1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Každá ze Smluvních stran se zavazuje řádně dokončit a finančně uzavřít Projekt ve stanoveném termínu, včetně finančního vypořádání.</w:t>
      </w:r>
    </w:p>
    <w:p w:rsidR="009B793D" w:rsidRPr="00241FDA" w:rsidRDefault="00637D06" w:rsidP="00241FDA">
      <w:pPr>
        <w:numPr>
          <w:ilvl w:val="0"/>
          <w:numId w:val="11"/>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Další účastník je odpovědný Příjemci za řešení jím prováděné části Projektu a za hospodaření s přidělenou částí účelových finančních prostředků v plném rozsahu.</w:t>
      </w:r>
    </w:p>
    <w:p w:rsidR="009B793D" w:rsidRPr="00241FDA" w:rsidRDefault="00637D06" w:rsidP="00241FDA">
      <w:pPr>
        <w:numPr>
          <w:ilvl w:val="0"/>
          <w:numId w:val="11"/>
        </w:numPr>
        <w:pBdr>
          <w:top w:val="nil"/>
          <w:left w:val="nil"/>
          <w:bottom w:val="nil"/>
          <w:right w:val="nil"/>
          <w:between w:val="nil"/>
        </w:pBdr>
        <w:spacing w:after="120"/>
        <w:ind w:left="540" w:hanging="540"/>
        <w:jc w:val="both"/>
        <w:rPr>
          <w:rFonts w:ascii="Arial" w:eastAsia="Arial" w:hAnsi="Arial" w:cs="Arial"/>
          <w:sz w:val="22"/>
          <w:szCs w:val="22"/>
        </w:rPr>
      </w:pPr>
      <w:r w:rsidRPr="00241FDA">
        <w:rPr>
          <w:rFonts w:ascii="Arial" w:eastAsia="Arial" w:hAnsi="Arial" w:cs="Arial"/>
          <w:sz w:val="22"/>
          <w:szCs w:val="22"/>
        </w:rPr>
        <w:t>Každá ze Smluvních stran se zavazuje archivovat dokumenty související s Projektem po dobu nejméně 10 let od ukončení Projektu.</w:t>
      </w:r>
    </w:p>
    <w:p w:rsidR="009B793D" w:rsidRPr="00241FDA" w:rsidRDefault="00637D06" w:rsidP="00241FDA">
      <w:pPr>
        <w:numPr>
          <w:ilvl w:val="0"/>
          <w:numId w:val="11"/>
        </w:numPr>
        <w:pBdr>
          <w:top w:val="nil"/>
          <w:left w:val="nil"/>
          <w:bottom w:val="nil"/>
          <w:right w:val="nil"/>
          <w:between w:val="nil"/>
        </w:pBdr>
        <w:spacing w:after="120"/>
        <w:ind w:left="540" w:hanging="540"/>
        <w:jc w:val="both"/>
        <w:rPr>
          <w:rFonts w:ascii="Arial" w:eastAsia="Arial" w:hAnsi="Arial" w:cs="Arial"/>
          <w:sz w:val="22"/>
          <w:szCs w:val="22"/>
        </w:rPr>
      </w:pPr>
      <w:r w:rsidRPr="00241FDA">
        <w:rPr>
          <w:rFonts w:ascii="Arial" w:eastAsia="Arial" w:hAnsi="Arial" w:cs="Arial"/>
          <w:sz w:val="22"/>
          <w:szCs w:val="22"/>
        </w:rPr>
        <w:t>Smluvní strany se zavazují postupovat v souladu s Pravidly pro publicitu projektů podpořených z prostředků TA ČR.</w:t>
      </w:r>
    </w:p>
    <w:p w:rsidR="009B793D" w:rsidRPr="00241FDA" w:rsidRDefault="00637D06" w:rsidP="00241FDA">
      <w:pPr>
        <w:numPr>
          <w:ilvl w:val="0"/>
          <w:numId w:val="11"/>
        </w:numPr>
        <w:pBdr>
          <w:top w:val="nil"/>
          <w:left w:val="nil"/>
          <w:bottom w:val="nil"/>
          <w:right w:val="nil"/>
          <w:between w:val="nil"/>
        </w:pBdr>
        <w:spacing w:after="120"/>
        <w:ind w:left="540" w:hanging="540"/>
        <w:jc w:val="both"/>
        <w:rPr>
          <w:rFonts w:ascii="Arial" w:eastAsia="Arial" w:hAnsi="Arial" w:cs="Arial"/>
          <w:sz w:val="22"/>
          <w:szCs w:val="22"/>
        </w:rPr>
      </w:pPr>
      <w:r w:rsidRPr="00241FDA">
        <w:rPr>
          <w:rFonts w:ascii="Arial" w:eastAsia="Arial" w:hAnsi="Arial" w:cs="Arial"/>
          <w:sz w:val="22"/>
          <w:szCs w:val="22"/>
        </w:rPr>
        <w:t xml:space="preserve">Pro případ, že je Další účastník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nařízením nebude kumulovat ani s podporou de </w:t>
      </w:r>
      <w:proofErr w:type="spellStart"/>
      <w:r w:rsidRPr="00241FDA">
        <w:rPr>
          <w:rFonts w:ascii="Arial" w:eastAsia="Arial" w:hAnsi="Arial" w:cs="Arial"/>
          <w:sz w:val="22"/>
          <w:szCs w:val="22"/>
        </w:rPr>
        <w:t>minimis</w:t>
      </w:r>
      <w:proofErr w:type="spellEnd"/>
      <w:r w:rsidRPr="00241FDA">
        <w:rPr>
          <w:rFonts w:ascii="Arial" w:eastAsia="Arial" w:hAnsi="Arial" w:cs="Arial"/>
          <w:sz w:val="22"/>
          <w:szCs w:val="22"/>
        </w:rPr>
        <w:t xml:space="preserve"> na tytéž způsobilé náklady, pokud by taková kumulace vedla k překročení intenzity podpory stanovené v kapitole III Nařízení. Další účastník bere na vědomí, že podpora použitá v rozporu s pravidly veřejné podpory (např. čl. 107 SFEU může být považována ze strany orgánů Evropské unie za tzv. nezákonnou podporu a její navrácení může být vymáháno prostřednictvím Příjemce.</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VIII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Práva a povinnosti účastníků ve věcech finančních</w:t>
      </w:r>
    </w:p>
    <w:p w:rsidR="009B793D" w:rsidRPr="00241FDA" w:rsidRDefault="00637D06" w:rsidP="00241FDA">
      <w:pPr>
        <w:numPr>
          <w:ilvl w:val="1"/>
          <w:numId w:val="15"/>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Uznanými náklady Projektu se rozumí způsobilé náklady vynaložené na činnosti uvedené v </w:t>
      </w:r>
      <w:proofErr w:type="spellStart"/>
      <w:r w:rsidRPr="00241FDA">
        <w:rPr>
          <w:rFonts w:ascii="Arial" w:eastAsia="Arial" w:hAnsi="Arial" w:cs="Arial"/>
          <w:sz w:val="22"/>
          <w:szCs w:val="22"/>
        </w:rPr>
        <w:t>ust</w:t>
      </w:r>
      <w:proofErr w:type="spellEnd"/>
      <w:r w:rsidRPr="00241FDA">
        <w:rPr>
          <w:rFonts w:ascii="Arial" w:eastAsia="Arial" w:hAnsi="Arial" w:cs="Arial"/>
          <w:sz w:val="22"/>
          <w:szCs w:val="22"/>
        </w:rPr>
        <w:t xml:space="preserve">. § 2 odst. 2 písm. l) zákona č. 130/2002 Sb., o podpoře výzkumu, experimentálního vývoje a inovací v platném znění, které Poskytovatel schválil a které jsou zdůvodněné. </w:t>
      </w:r>
    </w:p>
    <w:p w:rsidR="009B793D" w:rsidRPr="00241FDA" w:rsidRDefault="00637D06" w:rsidP="00241FDA">
      <w:pPr>
        <w:numPr>
          <w:ilvl w:val="1"/>
          <w:numId w:val="3"/>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Celková částka podpory na Projekt za celou dobu řešení činí 4.646.000,- Kč. Z toho:</w:t>
      </w:r>
    </w:p>
    <w:p w:rsidR="009B793D" w:rsidRPr="00241FDA" w:rsidRDefault="00637D06" w:rsidP="00241FDA">
      <w:pPr>
        <w:numPr>
          <w:ilvl w:val="0"/>
          <w:numId w:val="7"/>
        </w:numPr>
        <w:pBdr>
          <w:top w:val="nil"/>
          <w:left w:val="nil"/>
          <w:bottom w:val="nil"/>
          <w:right w:val="nil"/>
          <w:between w:val="nil"/>
        </w:pBdr>
        <w:spacing w:after="20"/>
        <w:ind w:left="900" w:hanging="357"/>
        <w:jc w:val="both"/>
        <w:rPr>
          <w:rFonts w:ascii="Arial" w:eastAsia="Arial" w:hAnsi="Arial" w:cs="Arial"/>
          <w:sz w:val="22"/>
          <w:szCs w:val="22"/>
        </w:rPr>
      </w:pPr>
      <w:r w:rsidRPr="00241FDA">
        <w:rPr>
          <w:rFonts w:ascii="Arial" w:eastAsia="Arial" w:hAnsi="Arial" w:cs="Arial"/>
          <w:sz w:val="22"/>
          <w:szCs w:val="22"/>
        </w:rPr>
        <w:t>podíl Příjemce je 2.788.000,- Kč, což tvoří cca 60 % celkové podpory,</w:t>
      </w:r>
    </w:p>
    <w:p w:rsidR="009B793D" w:rsidRPr="00241FDA" w:rsidRDefault="00637D06" w:rsidP="00241FDA">
      <w:pPr>
        <w:numPr>
          <w:ilvl w:val="0"/>
          <w:numId w:val="7"/>
        </w:numPr>
        <w:pBdr>
          <w:top w:val="nil"/>
          <w:left w:val="nil"/>
          <w:bottom w:val="nil"/>
          <w:right w:val="nil"/>
          <w:between w:val="nil"/>
        </w:pBdr>
        <w:spacing w:after="20"/>
        <w:ind w:left="900" w:hanging="357"/>
        <w:jc w:val="both"/>
        <w:rPr>
          <w:rFonts w:ascii="Arial" w:eastAsia="Arial" w:hAnsi="Arial" w:cs="Arial"/>
          <w:sz w:val="22"/>
          <w:szCs w:val="22"/>
        </w:rPr>
      </w:pPr>
      <w:r w:rsidRPr="00241FDA">
        <w:rPr>
          <w:rFonts w:ascii="Arial" w:eastAsia="Arial" w:hAnsi="Arial" w:cs="Arial"/>
          <w:sz w:val="22"/>
          <w:szCs w:val="22"/>
        </w:rPr>
        <w:t>podíl Dalšího účastníka je 1.858.000,- Kč, což tvoří cca 40 % celkové podpory,</w:t>
      </w:r>
    </w:p>
    <w:p w:rsidR="009B793D" w:rsidRPr="00241FDA" w:rsidRDefault="009B793D" w:rsidP="00241FDA">
      <w:pPr>
        <w:pBdr>
          <w:top w:val="nil"/>
          <w:left w:val="nil"/>
          <w:bottom w:val="nil"/>
          <w:right w:val="nil"/>
          <w:between w:val="nil"/>
        </w:pBdr>
        <w:spacing w:after="20"/>
        <w:ind w:left="543"/>
        <w:jc w:val="both"/>
        <w:rPr>
          <w:rFonts w:ascii="Arial" w:eastAsia="Arial" w:hAnsi="Arial" w:cs="Arial"/>
          <w:sz w:val="22"/>
          <w:szCs w:val="22"/>
        </w:rPr>
      </w:pPr>
    </w:p>
    <w:p w:rsidR="009B793D" w:rsidRPr="00241FDA" w:rsidRDefault="00637D06" w:rsidP="00241FDA">
      <w:pPr>
        <w:pBdr>
          <w:top w:val="nil"/>
          <w:left w:val="nil"/>
          <w:bottom w:val="nil"/>
          <w:right w:val="nil"/>
          <w:between w:val="nil"/>
        </w:pBdr>
        <w:spacing w:after="20"/>
        <w:ind w:left="543"/>
        <w:jc w:val="both"/>
        <w:rPr>
          <w:rFonts w:ascii="Arial" w:eastAsia="Arial" w:hAnsi="Arial" w:cs="Arial"/>
          <w:sz w:val="22"/>
          <w:szCs w:val="22"/>
        </w:rPr>
      </w:pPr>
      <w:r w:rsidRPr="00241FDA">
        <w:rPr>
          <w:rFonts w:ascii="Arial" w:eastAsia="Arial" w:hAnsi="Arial" w:cs="Arial"/>
          <w:sz w:val="22"/>
          <w:szCs w:val="22"/>
        </w:rPr>
        <w:t>Celková částka podpory na realizaci Projektu na rok 2019 činí 1.902.680,- Kč. Z toho převede Příjemce část plánovanou na Dalšího účastníka ve výši 780.000,- Kč.</w:t>
      </w:r>
    </w:p>
    <w:p w:rsidR="009B793D" w:rsidRPr="00241FDA" w:rsidRDefault="009B793D" w:rsidP="00241FDA">
      <w:pPr>
        <w:pBdr>
          <w:top w:val="nil"/>
          <w:left w:val="nil"/>
          <w:bottom w:val="nil"/>
          <w:right w:val="nil"/>
          <w:between w:val="nil"/>
        </w:pBdr>
        <w:spacing w:after="20"/>
        <w:ind w:left="543"/>
        <w:jc w:val="both"/>
        <w:rPr>
          <w:rFonts w:ascii="Arial" w:eastAsia="Arial" w:hAnsi="Arial" w:cs="Arial"/>
          <w:sz w:val="22"/>
          <w:szCs w:val="22"/>
        </w:rPr>
      </w:pPr>
    </w:p>
    <w:p w:rsidR="009B793D" w:rsidRPr="00241FDA" w:rsidRDefault="00637D06" w:rsidP="00241FDA">
      <w:pPr>
        <w:pBdr>
          <w:top w:val="nil"/>
          <w:left w:val="nil"/>
          <w:bottom w:val="nil"/>
          <w:right w:val="nil"/>
          <w:between w:val="nil"/>
        </w:pBdr>
        <w:spacing w:after="20"/>
        <w:ind w:left="543"/>
        <w:jc w:val="both"/>
        <w:rPr>
          <w:rFonts w:ascii="Arial" w:eastAsia="Arial" w:hAnsi="Arial" w:cs="Arial"/>
          <w:sz w:val="22"/>
          <w:szCs w:val="22"/>
        </w:rPr>
      </w:pPr>
      <w:r w:rsidRPr="00241FDA">
        <w:rPr>
          <w:rFonts w:ascii="Arial" w:eastAsia="Arial" w:hAnsi="Arial" w:cs="Arial"/>
          <w:sz w:val="22"/>
          <w:szCs w:val="22"/>
        </w:rPr>
        <w:t>Celková částka podpory na realizaci Projektu na rok 2020 činí 2.349.360,- Kč. Z toho převede Příjemce část plánovanou na Dalšího účastníka ve výši 920.000,- Kč.</w:t>
      </w:r>
    </w:p>
    <w:p w:rsidR="009B793D" w:rsidRPr="00241FDA" w:rsidRDefault="009B793D" w:rsidP="00241FDA">
      <w:pPr>
        <w:pBdr>
          <w:top w:val="nil"/>
          <w:left w:val="nil"/>
          <w:bottom w:val="nil"/>
          <w:right w:val="nil"/>
          <w:between w:val="nil"/>
        </w:pBdr>
        <w:spacing w:after="20"/>
        <w:ind w:left="543"/>
        <w:jc w:val="both"/>
        <w:rPr>
          <w:rFonts w:ascii="Arial" w:eastAsia="Arial" w:hAnsi="Arial" w:cs="Arial"/>
          <w:sz w:val="22"/>
          <w:szCs w:val="22"/>
        </w:rPr>
      </w:pPr>
    </w:p>
    <w:p w:rsidR="009B793D" w:rsidRPr="00241FDA" w:rsidRDefault="00637D06" w:rsidP="00241FDA">
      <w:pPr>
        <w:pBdr>
          <w:top w:val="nil"/>
          <w:left w:val="nil"/>
          <w:bottom w:val="nil"/>
          <w:right w:val="nil"/>
          <w:between w:val="nil"/>
        </w:pBdr>
        <w:spacing w:after="20"/>
        <w:ind w:left="543"/>
        <w:jc w:val="both"/>
        <w:rPr>
          <w:rFonts w:ascii="Arial" w:eastAsia="Arial" w:hAnsi="Arial" w:cs="Arial"/>
          <w:sz w:val="22"/>
          <w:szCs w:val="22"/>
        </w:rPr>
      </w:pPr>
      <w:r w:rsidRPr="00241FDA">
        <w:rPr>
          <w:rFonts w:ascii="Arial" w:eastAsia="Arial" w:hAnsi="Arial" w:cs="Arial"/>
          <w:sz w:val="22"/>
          <w:szCs w:val="22"/>
        </w:rPr>
        <w:t>Celková částka podpory na realizaci Projektu na rok 2021 činí 393.960,- Kč. Z toho převede Příjemce část plánovanou na Dalšího účastníka ve výši 158.000,- Kč.</w:t>
      </w:r>
    </w:p>
    <w:p w:rsidR="009B793D" w:rsidRPr="00241FDA" w:rsidRDefault="009B793D" w:rsidP="00241FDA">
      <w:pPr>
        <w:pBdr>
          <w:top w:val="nil"/>
          <w:left w:val="nil"/>
          <w:bottom w:val="nil"/>
          <w:right w:val="nil"/>
          <w:between w:val="nil"/>
        </w:pBdr>
        <w:spacing w:after="20"/>
        <w:ind w:left="543"/>
        <w:jc w:val="both"/>
        <w:rPr>
          <w:rFonts w:ascii="Arial" w:eastAsia="Arial" w:hAnsi="Arial" w:cs="Arial"/>
          <w:sz w:val="22"/>
          <w:szCs w:val="22"/>
        </w:rPr>
      </w:pPr>
    </w:p>
    <w:p w:rsidR="009B793D" w:rsidRPr="00241FDA" w:rsidRDefault="009B793D" w:rsidP="00241FDA">
      <w:pPr>
        <w:pBdr>
          <w:top w:val="nil"/>
          <w:left w:val="nil"/>
          <w:bottom w:val="nil"/>
          <w:right w:val="nil"/>
          <w:between w:val="nil"/>
        </w:pBdr>
        <w:spacing w:after="20"/>
        <w:ind w:left="540"/>
        <w:jc w:val="both"/>
        <w:rPr>
          <w:rFonts w:ascii="Arial" w:eastAsia="Arial" w:hAnsi="Arial" w:cs="Arial"/>
          <w:sz w:val="22"/>
          <w:szCs w:val="22"/>
        </w:rPr>
      </w:pPr>
    </w:p>
    <w:p w:rsidR="009B793D" w:rsidRPr="00241FDA" w:rsidRDefault="00637D06" w:rsidP="00241FDA">
      <w:pPr>
        <w:numPr>
          <w:ilvl w:val="1"/>
          <w:numId w:val="3"/>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 xml:space="preserve">Plánovanou část podpory převede Příjemce Dalšímu účastníku po podpisu Smlouvy a do 15 dnů ode dne doručení podpory pro příslušný kalendářní rok na účet Příjemce na základě Smlouvy o poskytnutí podpory mezi Poskytovatelem a Příjemcem. Podmínkou pro poskytnutí jakékoli zálohy z obdržených plateb či proplacení jakéhokoli uznaného nákladu Dalšímu účastníkovi ze strany Příjemce je vždy poskytnutí plné součinnosti ze strany Dalšího účastníka, a to zejména ve formě řádného a včasného doložení všech realizovaných uznaných nákladů, jakož i plnění všech ostatních povinností Dalšího účastníka dle této Smlouvy. </w:t>
      </w:r>
    </w:p>
    <w:p w:rsidR="009B793D" w:rsidRPr="00241FDA" w:rsidRDefault="00637D06" w:rsidP="00241FDA">
      <w:pPr>
        <w:numPr>
          <w:ilvl w:val="1"/>
          <w:numId w:val="3"/>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Bankovní spojení Dalšího účastníka je uvedeno v čl. I Smlouvy. Pro identifikaci platby je Další účastník povinen Příjemci oznámit variabilní symbol, a to nejpozději 3 dny před avízovanou platbou ze strany Příjemce.</w:t>
      </w:r>
    </w:p>
    <w:p w:rsidR="009B793D" w:rsidRPr="00241FDA" w:rsidRDefault="00637D06" w:rsidP="00241FDA">
      <w:pPr>
        <w:numPr>
          <w:ilvl w:val="1"/>
          <w:numId w:val="3"/>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Na realizaci Projektu budou použity následující vlastní zdroje Smluvních stran:</w:t>
      </w:r>
    </w:p>
    <w:p w:rsidR="009B793D" w:rsidRPr="00241FDA" w:rsidRDefault="00637D06" w:rsidP="00241FDA">
      <w:pPr>
        <w:numPr>
          <w:ilvl w:val="0"/>
          <w:numId w:val="9"/>
        </w:numPr>
        <w:pBdr>
          <w:top w:val="nil"/>
          <w:left w:val="nil"/>
          <w:bottom w:val="nil"/>
          <w:right w:val="nil"/>
          <w:between w:val="nil"/>
        </w:pBdr>
        <w:spacing w:after="20"/>
        <w:ind w:left="900"/>
        <w:jc w:val="both"/>
        <w:rPr>
          <w:rFonts w:ascii="Arial" w:eastAsia="Arial" w:hAnsi="Arial" w:cs="Arial"/>
          <w:sz w:val="22"/>
          <w:szCs w:val="22"/>
        </w:rPr>
      </w:pPr>
      <w:r w:rsidRPr="00241FDA">
        <w:rPr>
          <w:rFonts w:ascii="Arial" w:eastAsia="Arial" w:hAnsi="Arial" w:cs="Arial"/>
          <w:sz w:val="22"/>
          <w:szCs w:val="22"/>
        </w:rPr>
        <w:t xml:space="preserve">1.312.000,- Kč formou osobních nákladů a režií, úhradu zajišťuje Příjemce </w:t>
      </w:r>
    </w:p>
    <w:p w:rsidR="009B793D" w:rsidRPr="00241FDA" w:rsidRDefault="00637D06" w:rsidP="00241FDA">
      <w:pPr>
        <w:numPr>
          <w:ilvl w:val="1"/>
          <w:numId w:val="5"/>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zavazují, že k úhradě nákladů z vlastních zdrojů nepoužijí prostředky pocházející z veřejných zdrojů.</w:t>
      </w:r>
    </w:p>
    <w:p w:rsidR="009B793D" w:rsidRPr="00241FDA" w:rsidRDefault="00637D06" w:rsidP="00241FDA">
      <w:pPr>
        <w:numPr>
          <w:ilvl w:val="1"/>
          <w:numId w:val="5"/>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zavazují, že při realizaci Projektu budou při nákupu veškerého zboží nebo služeb od třetích osob postupovat v souladu se zákonem o zadávání veřejných zakázek, ve znění pozdějších předpisů nebo předpisů jej měnících či nahrazujících, nelze-li aplikovat výjimku podle §8 odst. 5 zákona č. 130/2002 Sb., o podpoře výzkumu, experimentálního vývoje a inovací.</w:t>
      </w:r>
    </w:p>
    <w:p w:rsidR="009B793D" w:rsidRPr="00241FDA" w:rsidRDefault="00637D06" w:rsidP="00241FDA">
      <w:pPr>
        <w:numPr>
          <w:ilvl w:val="1"/>
          <w:numId w:val="5"/>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zavazují použít účelovou podporu v souladu se zákonem č. 218/2000 Sb., o rozpočtových pravidlech a o změně některých souvisejících zákonů (rozpočtová pravidla), ve znění pozdějších předpisů a zákona č. 130/2002 Sb., o podpoře výzkumu, experimentálního vývoje a inovací v platném znění, vždy do konce příslušného kalendářního roku výhradně k úhradě prokazatelných, nezbytně nutných nákladů přímo souvisejících s plněním cílů a parametrů předmětného Projektu, a to přímou platbou dodavatelům z bankovního účtu.</w:t>
      </w:r>
    </w:p>
    <w:p w:rsidR="009B793D" w:rsidRPr="00241FDA" w:rsidRDefault="00637D06" w:rsidP="00241FDA">
      <w:pPr>
        <w:numPr>
          <w:ilvl w:val="1"/>
          <w:numId w:val="5"/>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nehmotného majetku a na základě ročního využití tyto prostředky vyúčtovat. Tuto evidenci budou Smluvní strany uchovávat po dobu 10 let od ukončení řešení Projektu. Při vedení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Stanoví-li tak Příjemce, je Další účastník Projektu povinen předložit účetnictví k auditu.</w:t>
      </w:r>
    </w:p>
    <w:p w:rsidR="009B793D" w:rsidRPr="00241FDA" w:rsidRDefault="00637D06" w:rsidP="00241FDA">
      <w:pPr>
        <w:numPr>
          <w:ilvl w:val="1"/>
          <w:numId w:val="5"/>
        </w:numPr>
        <w:pBdr>
          <w:top w:val="nil"/>
          <w:left w:val="nil"/>
          <w:bottom w:val="nil"/>
          <w:right w:val="nil"/>
          <w:between w:val="nil"/>
        </w:pBdr>
        <w:ind w:left="540" w:hanging="540"/>
        <w:jc w:val="both"/>
        <w:rPr>
          <w:rFonts w:ascii="Arial" w:eastAsia="Arial" w:hAnsi="Arial" w:cs="Arial"/>
          <w:sz w:val="22"/>
          <w:szCs w:val="22"/>
        </w:rPr>
      </w:pPr>
      <w:r w:rsidRPr="00241FDA">
        <w:rPr>
          <w:rFonts w:ascii="Arial" w:eastAsia="Arial" w:hAnsi="Arial" w:cs="Arial"/>
          <w:sz w:val="22"/>
          <w:szCs w:val="22"/>
        </w:rPr>
        <w:t>Nedojde-li k poskytnutí příslušné části podpory Poskytovatelem Příjemci nebo dojde-li k opožděnému poskytnutí příslušné části podpory Poskytovatelem Příjemci v důsledku rozpočtového provizoria podle zvláštního právního předpisu nebo v důsledku aplikace jiného právního předpisu, Příjemce neodpovídá Dalšímu účastníkovi za škodu, která vznikla Dalšímu účastníkovi jako důsledek této situace.</w:t>
      </w:r>
    </w:p>
    <w:p w:rsidR="009B793D" w:rsidRPr="00241FDA" w:rsidRDefault="00637D06" w:rsidP="00241FDA">
      <w:pPr>
        <w:numPr>
          <w:ilvl w:val="1"/>
          <w:numId w:val="5"/>
        </w:numPr>
        <w:pBdr>
          <w:top w:val="nil"/>
          <w:left w:val="nil"/>
          <w:bottom w:val="nil"/>
          <w:right w:val="nil"/>
          <w:between w:val="nil"/>
        </w:pBdr>
        <w:ind w:left="540" w:hanging="540"/>
        <w:jc w:val="both"/>
        <w:rPr>
          <w:rFonts w:ascii="Arial" w:eastAsia="Arial" w:hAnsi="Arial" w:cs="Arial"/>
          <w:sz w:val="22"/>
          <w:szCs w:val="22"/>
        </w:rPr>
      </w:pPr>
      <w:r w:rsidRPr="00241FDA">
        <w:rPr>
          <w:rFonts w:ascii="Arial" w:eastAsia="Arial" w:hAnsi="Arial" w:cs="Arial"/>
          <w:sz w:val="22"/>
          <w:szCs w:val="22"/>
        </w:rPr>
        <w:t>Pokud vznikne při provádění Projektu finanční ztráta, tuto ztrátu nese každá ze Smluvních stran sama za tu část Projektu, za níž nese odpovědnost.</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IX</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Práva k hmotnému majetku</w:t>
      </w:r>
    </w:p>
    <w:p w:rsidR="009B793D" w:rsidRPr="00241FDA" w:rsidRDefault="00637D06" w:rsidP="00241FDA">
      <w:pPr>
        <w:numPr>
          <w:ilvl w:val="1"/>
          <w:numId w:val="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Vlastníkem hmotného majetku (infrastruktury), nutného k řešení části Projektu a pořízeného z poskytnuté podpory je ta Smluvní strana, která se na řešení dané části Projektu 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rsidR="009B793D" w:rsidRPr="00241FDA" w:rsidRDefault="00637D06" w:rsidP="00241FDA">
      <w:pPr>
        <w:numPr>
          <w:ilvl w:val="1"/>
          <w:numId w:val="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rsidR="009B793D" w:rsidRPr="00241FDA" w:rsidRDefault="00637D06" w:rsidP="00241FDA">
      <w:pPr>
        <w:numPr>
          <w:ilvl w:val="1"/>
          <w:numId w:val="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Hmotný majetek podle odst. 9.1 jsou Smluvní strany oprávněny využívat pro řešení Projektu bezplatně.</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X</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Duševní vlastnictví</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121/2000 Sb. o právu autorském, o právech souvisejících s právem autorským a o změně některých zákonů (autorský zákon), zákonem č. 130/2002 Sb., o podpoře výzkumu experimentálního vývoje a inovací z veřejných prostředků a o změně některých souvisejících zákonů (zákon o podpoře výzkumu a vývoje), ve znění pozdějších předpisů.</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smluvních stran, které je vytvoří.</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Předmětem duševního vlastnictví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Předměty duševního vlastnictví, které jsou ve vlastnictví jednotlivých smluvních stran před uzavřením Smlouvy a které jsou potřebné pro realizaci Projektu nebo pro užívání jeho výsledků, zůstávají ve vlastnictví Příjemce nebo Dalšího účastníka. Příjemce nebo Další účastník umožní využívání předmětů duševního vlastnictví jemu náležících druhé Smluvní straně v rozsahu potřebném pro účely realizace Projektu.</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Vznikne-li duševní vlastnictví 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Nebude-li jedna ze Smluvních stran mít zájem na podání přihlášky, může druhá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Prohlášení o vytvoření předmětu duševního vlastnictví, např. o vytvoření vynálezu, vzniklého v rámci Projektu je nutné provést písemně, provede jej ta Smluvní strana, která se na vytvoření předmětu duševního vlastnictví podílela, v případě rovnosti podílů provede přihlášení Příjemce.</w:t>
      </w:r>
    </w:p>
    <w:p w:rsidR="009B793D" w:rsidRPr="00241FDA" w:rsidRDefault="00637D06" w:rsidP="00241FDA">
      <w:pPr>
        <w:numPr>
          <w:ilvl w:val="1"/>
          <w:numId w:val="16"/>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Práva původců budou Smluvními stranami řešena dle §9 zák. č. 527/1990 Sb., o vynálezech a zlepšovacích návrzích, ve znění pozdějších předpisů nebo dle obdobných předpisů.</w:t>
      </w:r>
    </w:p>
    <w:p w:rsidR="009B793D" w:rsidRPr="00241FDA" w:rsidRDefault="00637D06" w:rsidP="00241FDA">
      <w:pPr>
        <w:numPr>
          <w:ilvl w:val="1"/>
          <w:numId w:val="16"/>
        </w:numPr>
        <w:pBdr>
          <w:top w:val="nil"/>
          <w:left w:val="nil"/>
          <w:bottom w:val="nil"/>
          <w:right w:val="nil"/>
          <w:between w:val="nil"/>
        </w:pBdr>
        <w:spacing w:after="20"/>
        <w:ind w:left="720" w:hanging="720"/>
        <w:jc w:val="both"/>
        <w:rPr>
          <w:rFonts w:ascii="Arial" w:eastAsia="Arial" w:hAnsi="Arial" w:cs="Arial"/>
          <w:sz w:val="22"/>
          <w:szCs w:val="22"/>
        </w:rPr>
      </w:pPr>
      <w:r w:rsidRPr="00241FDA">
        <w:rPr>
          <w:rFonts w:ascii="Arial" w:eastAsia="Arial" w:hAnsi="Arial" w:cs="Arial"/>
          <w:sz w:val="22"/>
          <w:szCs w:val="22"/>
        </w:rPr>
        <w:t>Smluvní strany jsou oprávněny samostatně a bez souhlasu druhé Smluvní strany využívat know-how získané při provádění Projektu a přenést výsledky tohoto know-how do praxe.</w:t>
      </w:r>
    </w:p>
    <w:p w:rsidR="009B793D" w:rsidRPr="00241FDA" w:rsidRDefault="00637D06" w:rsidP="00241FDA">
      <w:pPr>
        <w:numPr>
          <w:ilvl w:val="1"/>
          <w:numId w:val="16"/>
        </w:numPr>
        <w:pBdr>
          <w:top w:val="nil"/>
          <w:left w:val="nil"/>
          <w:bottom w:val="nil"/>
          <w:right w:val="nil"/>
          <w:between w:val="nil"/>
        </w:pBdr>
        <w:spacing w:after="20"/>
        <w:ind w:left="720" w:hanging="720"/>
        <w:jc w:val="both"/>
        <w:rPr>
          <w:rFonts w:ascii="Arial" w:eastAsia="Arial" w:hAnsi="Arial" w:cs="Arial"/>
          <w:sz w:val="22"/>
          <w:szCs w:val="22"/>
        </w:rPr>
      </w:pPr>
      <w:r w:rsidRPr="00241FDA">
        <w:rPr>
          <w:rFonts w:ascii="Arial" w:eastAsia="Arial" w:hAnsi="Arial" w:cs="Arial"/>
          <w:sz w:val="22"/>
          <w:szCs w:val="22"/>
        </w:rPr>
        <w:t>Pokud práva z předmětu duševního vlastnictví, které bude vytvořeno při realizaci Projektu, náleží v souladu s ustanoveními Smlouvy oběma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podíl jen v případě, že žádný ze spolumajitelů nepřijme ve lhůtě jednoho měsíce písemnou nabídku převodu. V ostatních otázkách se vzájemné vztahy mezi spolumajiteli řídí obecnými předpisy o podílovém spoluvlastnictví.</w:t>
      </w:r>
    </w:p>
    <w:p w:rsidR="009B793D" w:rsidRPr="00241FDA" w:rsidRDefault="00637D06" w:rsidP="00241FDA">
      <w:pPr>
        <w:numPr>
          <w:ilvl w:val="1"/>
          <w:numId w:val="16"/>
        </w:numPr>
        <w:pBdr>
          <w:top w:val="nil"/>
          <w:left w:val="nil"/>
          <w:bottom w:val="nil"/>
          <w:right w:val="nil"/>
          <w:between w:val="nil"/>
        </w:pBdr>
        <w:spacing w:before="240" w:after="120"/>
        <w:ind w:left="720" w:hanging="720"/>
        <w:jc w:val="both"/>
        <w:rPr>
          <w:rFonts w:ascii="Arial" w:eastAsia="Arial" w:hAnsi="Arial" w:cs="Arial"/>
          <w:sz w:val="22"/>
          <w:szCs w:val="22"/>
        </w:rPr>
      </w:pPr>
      <w:r w:rsidRPr="00241FDA">
        <w:rPr>
          <w:rFonts w:ascii="Arial" w:eastAsia="Arial" w:hAnsi="Arial" w:cs="Arial"/>
          <w:sz w:val="22"/>
          <w:szCs w:val="22"/>
        </w:rPr>
        <w:t xml:space="preserve">Pokud je rozdělení práv k výsledkům Projektu uvedeno v Závazných parametrech řešení projektu, smluvní strany se dohodly, že se uplatní na výsledky rozdělení dle Závazných parametrů řešení projektu. </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XI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Zajištění ochrany výsledků výzkumu a vývoje uskutečněných v souvislosti s Projektem</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Smluvní strany se zavazují si vzájemně poskytovat veškeré informace nutné pro vykonávání činností podle Smlouvy, informace o činnostech v Projektu a o jejich výsledcích.</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Nedohodnou-li se Smluvní strany v konkrétním případě jinak, jsou veškeré informace, které získá jedna Smluvní strana od druhé Smluvní strany dle odstavce 11.2,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V případě porušení povinnosti uvedené v tomto ustanovení Smlouvy se za každé jednotlivé porušení povinnosti Smlouvy Smluvní stranou sjednává smluvní pokuta ve výši 50.000,- Kč splatná na účet druhé Smluvní strany uvedený v čl. I Smlouvy.</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Povinnosti podle odstavce 11.3 platí beze změny po dobu dalších 10 let po skončení účinnosti ostatních ustanovení Smlouvy, ať k němu dojde z jakéhokoliv důvodu.</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 xml:space="preserve">Zveřejňuje-li kterákoliv ze Smluvních stran v souladu s odst. </w:t>
      </w:r>
      <w:proofErr w:type="gramStart"/>
      <w:r w:rsidRPr="00241FDA">
        <w:rPr>
          <w:rFonts w:ascii="Arial" w:eastAsia="Arial" w:hAnsi="Arial" w:cs="Arial"/>
          <w:sz w:val="22"/>
          <w:szCs w:val="22"/>
        </w:rPr>
        <w:t>11.3. informace</w:t>
      </w:r>
      <w:proofErr w:type="gramEnd"/>
      <w:r w:rsidRPr="00241FDA">
        <w:rPr>
          <w:rFonts w:ascii="Arial" w:eastAsia="Arial" w:hAnsi="Arial" w:cs="Arial"/>
          <w:sz w:val="22"/>
          <w:szCs w:val="22"/>
        </w:rPr>
        <w:t xml:space="preserv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w:t>
      </w:r>
    </w:p>
    <w:p w:rsidR="009B793D" w:rsidRPr="00241FDA" w:rsidRDefault="00637D06" w:rsidP="00241FDA">
      <w:pPr>
        <w:numPr>
          <w:ilvl w:val="0"/>
          <w:numId w:val="17"/>
        </w:numPr>
        <w:pBdr>
          <w:top w:val="nil"/>
          <w:left w:val="nil"/>
          <w:bottom w:val="nil"/>
          <w:right w:val="nil"/>
          <w:between w:val="nil"/>
        </w:pBdr>
        <w:spacing w:after="20"/>
        <w:ind w:hanging="720"/>
        <w:jc w:val="both"/>
        <w:rPr>
          <w:rFonts w:ascii="Arial" w:eastAsia="Arial" w:hAnsi="Arial" w:cs="Arial"/>
          <w:sz w:val="22"/>
          <w:szCs w:val="22"/>
        </w:rPr>
      </w:pPr>
      <w:r w:rsidRPr="00241FDA">
        <w:rPr>
          <w:rFonts w:ascii="Arial" w:eastAsia="Arial" w:hAnsi="Arial" w:cs="Arial"/>
          <w:sz w:val="22"/>
          <w:szCs w:val="22"/>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rsidR="009B793D" w:rsidRPr="00241FDA" w:rsidRDefault="00637D06" w:rsidP="00241FDA">
      <w:pPr>
        <w:numPr>
          <w:ilvl w:val="1"/>
          <w:numId w:val="2"/>
        </w:numPr>
        <w:pBdr>
          <w:top w:val="nil"/>
          <w:left w:val="nil"/>
          <w:bottom w:val="nil"/>
          <w:right w:val="nil"/>
          <w:between w:val="nil"/>
        </w:pBdr>
        <w:spacing w:after="20"/>
        <w:ind w:left="1080"/>
        <w:jc w:val="both"/>
        <w:rPr>
          <w:rFonts w:ascii="Arial" w:eastAsia="Arial" w:hAnsi="Arial" w:cs="Arial"/>
          <w:sz w:val="22"/>
          <w:szCs w:val="22"/>
        </w:rPr>
      </w:pPr>
      <w:r w:rsidRPr="00241FDA">
        <w:rPr>
          <w:rFonts w:ascii="Arial" w:eastAsia="Arial" w:hAnsi="Arial" w:cs="Arial"/>
          <w:sz w:val="22"/>
          <w:szCs w:val="22"/>
        </w:rPr>
        <w:t>Příjemce a Další účastník se zavazují samostatně předávat údaje o výsledcích vytvořených při realizaci Projektu do RIV v termínech a ve formě požadované zákonem o podpoře výzkumu a vývoje, pokud se obě Smluvní strany nedohodnou jinak.</w:t>
      </w:r>
    </w:p>
    <w:p w:rsidR="009B793D" w:rsidRPr="00241FDA" w:rsidRDefault="00637D06" w:rsidP="00241FDA">
      <w:pPr>
        <w:numPr>
          <w:ilvl w:val="1"/>
          <w:numId w:val="2"/>
        </w:numPr>
        <w:pBdr>
          <w:top w:val="nil"/>
          <w:left w:val="nil"/>
          <w:bottom w:val="nil"/>
          <w:right w:val="nil"/>
          <w:between w:val="nil"/>
        </w:pBdr>
        <w:spacing w:after="20"/>
        <w:ind w:left="1080"/>
        <w:jc w:val="both"/>
        <w:rPr>
          <w:rFonts w:ascii="Arial" w:eastAsia="Arial" w:hAnsi="Arial" w:cs="Arial"/>
          <w:sz w:val="22"/>
          <w:szCs w:val="22"/>
        </w:rPr>
      </w:pPr>
      <w:r w:rsidRPr="00241FDA">
        <w:rPr>
          <w:rFonts w:ascii="Arial" w:eastAsia="Arial" w:hAnsi="Arial" w:cs="Arial"/>
          <w:sz w:val="22"/>
          <w:szCs w:val="22"/>
        </w:rPr>
        <w:t>Způsob započítávání výsledků a podíl dedikací v rámci Projektu bude stanoven na základě podílu, jímž Příjemce a Další účastník přispěli k dosažení započitatelných výsledků při realizaci Projektu. Pokud se Smluvní strany na výše uvedeném nedohodnou, zavazují se respektovat rozhodnutí, které v této věci vydá Poskytovatel nebo jiný věcně příslušný rozhodčí orgán.</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94"/>
        <w:jc w:val="both"/>
        <w:rPr>
          <w:rFonts w:ascii="Arial" w:eastAsia="Arial" w:hAnsi="Arial" w:cs="Arial"/>
          <w:sz w:val="22"/>
          <w:szCs w:val="22"/>
        </w:rPr>
      </w:pPr>
      <w:r w:rsidRPr="00241FDA">
        <w:rPr>
          <w:rFonts w:ascii="Arial" w:eastAsia="Arial" w:hAnsi="Arial" w:cs="Arial"/>
          <w:sz w:val="22"/>
          <w:szCs w:val="22"/>
        </w:rPr>
        <w:t xml:space="preserve">11.7 </w:t>
      </w:r>
      <w:r w:rsidRPr="00241FDA">
        <w:rPr>
          <w:rFonts w:ascii="Arial" w:eastAsia="Arial" w:hAnsi="Arial" w:cs="Arial"/>
          <w:sz w:val="22"/>
          <w:szCs w:val="22"/>
        </w:rPr>
        <w:tab/>
        <w:t>Podrobnosti využití výsledků Projektu nad rámec ujednání v této Smlouvě budou stanoveny v Poskytovatelem schváleném implementačním plánu výsledků projektu a případně ve Smlouvě o využití výsledků.</w:t>
      </w:r>
      <w:r w:rsidRPr="00241FDA">
        <w:rPr>
          <w:rFonts w:ascii="Arial" w:eastAsia="Arial" w:hAnsi="Arial" w:cs="Arial"/>
          <w:sz w:val="22"/>
          <w:szCs w:val="22"/>
        </w:rPr>
        <w:tab/>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XII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Arial" w:eastAsia="Arial" w:hAnsi="Arial" w:cs="Arial"/>
          <w:sz w:val="22"/>
          <w:szCs w:val="22"/>
        </w:rPr>
      </w:pPr>
      <w:r w:rsidRPr="00241FDA">
        <w:rPr>
          <w:rFonts w:ascii="Arial" w:eastAsia="Arial" w:hAnsi="Arial" w:cs="Arial"/>
          <w:b/>
          <w:sz w:val="22"/>
          <w:szCs w:val="22"/>
        </w:rPr>
        <w:t>Odpovědnost za škodu</w:t>
      </w:r>
    </w:p>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12.1</w:t>
      </w:r>
      <w:r w:rsidRPr="00241FDA">
        <w:rPr>
          <w:rFonts w:ascii="Arial" w:eastAsia="Arial" w:hAnsi="Arial" w:cs="Arial"/>
          <w:sz w:val="22"/>
          <w:szCs w:val="22"/>
        </w:rPr>
        <w:tab/>
        <w:t>Příjemce odpovídá Poskytovateli za zákonné použití poskytnuté podpory. Další účastník odpovídá Příjemci za škodu způsobenou porušením povinností vyplývajících z této Smlouvy a Smlouvy o poskytnutí podpory, včetně Všeobecných podmínek Poskytovatele a dalších dokumentů Poskytovatele závazných pro program podpory.</w:t>
      </w:r>
    </w:p>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 xml:space="preserve">12.2. Další účastník bere na vědomí, že porušení některé z povinností Dalším účastníkem má za následek uplatnění sankčních ustanovení Všeobecných podmínek Poskytovatele vůči Příjemci. V případě, že v důsledku porušení povinnosti Dalším účastníkem bude ze strany Poskytovatele Příjemci udělena pokuta nebo jiná peněžitá sankce, je Další účastník povinen tuto sankci Příjemci v plné výši nahradit, a to do 30 dnů od doručení písemné výzvy k úhradě. </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Arial" w:eastAsia="Arial" w:hAnsi="Arial" w:cs="Arial"/>
          <w:sz w:val="22"/>
          <w:szCs w:val="22"/>
        </w:rPr>
      </w:pPr>
      <w:r w:rsidRPr="00241FDA">
        <w:rPr>
          <w:rFonts w:ascii="Arial" w:eastAsia="Arial" w:hAnsi="Arial" w:cs="Arial"/>
          <w:b/>
          <w:sz w:val="22"/>
          <w:szCs w:val="22"/>
        </w:rPr>
        <w:t>Článek XIII</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eastAsia="Arial" w:hAnsi="Arial" w:cs="Arial"/>
          <w:sz w:val="22"/>
          <w:szCs w:val="22"/>
        </w:rPr>
      </w:pPr>
      <w:r w:rsidRPr="00241FDA">
        <w:rPr>
          <w:rFonts w:ascii="Arial" w:eastAsia="Arial" w:hAnsi="Arial" w:cs="Arial"/>
          <w:b/>
          <w:sz w:val="22"/>
          <w:szCs w:val="22"/>
        </w:rPr>
        <w:t>Doba trvání Smlouvy, odstoupení od Smlouvy a smluvní sankce</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Smlouva nabývá účinnosti dnem jejího podpisu zástupci obou Smluvních stran a uzavírá se na dobu trvání Projektu. Ustanovení čl. 7.3, 7.6, 8.10, 11.3, 11.4 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Pokud Další účastník použije účelovou podporu poskytnutou mu na základě této Smlouvy v rozporu s účelem a/nebo na jiný účel, než na který mu byla ve smyslu Smlouvy poskytnuta, nebo v případě, kdy se prokáže, že údaje předané Dalším účastníkem před uzavřením Smlouvy, které představovaly podmínky, na jejichž splnění bylo vázáno uzavření Smlouvy, jsou nepravdivé, zavazuje se Další účastník uhradit Příjemci smluvní pokutu ve výši 5 % z celkové částky podpory uvedené v čl. 8.2 Smlouvy, a to do 30 dnů od doručení výzvy k úhradě. V případě výše uvedeného porušení povinností Dalšího účastníka, je zároveň Příjemce oprávněn od Smlouvy písemně odstoupit. Příjemce může odstoupit od Smlouvy také v případě, že dojde k odstoupení od Smlouvy o poskytnutí podpory Poskytovatelem.</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Pokud Příjemce odstoupí od Smlouvy dle předchozího odstavce, je Další účastník povinen Příjemci vrátit veškerou podporu, která mu byla na základě Smlouvy poskytnuta, a to včetně případného majetkového prospěchu získaného v souvislosti s neoprávněným použitím této podpory, a to nejdéle do 30 dnů ode dne, kdy mu bylo doručeno písemné vyhotovení listiny obsahující oznámení o odstoupení od Smlouvy ze strany Příjemce.</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Další účastník je oprávněn odstoupit od Smlouvy, a to jen z důvodů a na základě jeho písemného odůvodněného prohlášení o tom, že nemůže splnit své závazky dle Smlouvy. V takovém případě je povinen vrátit dle pokynu Příjemce veškerou podporu, která mu byla na základě Smlouvy poskytnuta, včetně případného majetkového prospěchu získaného v souvislosti s použitím této účelové podpory, a to do 30 dnů ode dne, kdy odstoupení od Smlouvy bylo doručeno Příjemci.</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Odstoupení od Smlouvy je účinné jeho doručením druhé Smluvní straně.</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Pokud Poskytovatel neuzná náklady Projektu Dalšího účastníka nebo jejich část, je Další účastník povinen vrátit neuznané náklady nebo jejich část ve lhůtě stanovené Příjemcem. Nevrátí-li Další účastník neuznané náklady nebo jejich část ve stanovené lhůtě, je povinen zaplatit Příjemci úrok z prodlení ve výši 3 promile za každý den prodlení s vrácením dlužné částky.</w:t>
      </w:r>
    </w:p>
    <w:p w:rsidR="009B793D" w:rsidRPr="00241FDA" w:rsidRDefault="00637D06" w:rsidP="00241FDA">
      <w:pPr>
        <w:numPr>
          <w:ilvl w:val="1"/>
          <w:numId w:val="18"/>
        </w:numPr>
        <w:pBdr>
          <w:top w:val="nil"/>
          <w:left w:val="nil"/>
          <w:bottom w:val="nil"/>
          <w:right w:val="nil"/>
          <w:between w:val="nil"/>
        </w:pBdr>
        <w:spacing w:after="20"/>
        <w:ind w:left="540" w:hanging="540"/>
        <w:jc w:val="both"/>
        <w:rPr>
          <w:rFonts w:ascii="Arial" w:eastAsia="Arial" w:hAnsi="Arial" w:cs="Arial"/>
          <w:sz w:val="22"/>
          <w:szCs w:val="22"/>
        </w:rPr>
      </w:pPr>
      <w:r w:rsidRPr="00241FDA">
        <w:rPr>
          <w:rFonts w:ascii="Arial" w:eastAsia="Arial" w:hAnsi="Arial" w:cs="Arial"/>
          <w:sz w:val="22"/>
          <w:szCs w:val="22"/>
        </w:rPr>
        <w:t>Ustanoveními o smluvní pokutě, ať je o nich hovořeno kdekoli ve Smlouvě, není dotčen nárok Příjemce nebo Dalšího účastníka na náhradu způsobené škody nad rámec smluvní pokuty.</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rPr>
          <w:rFonts w:ascii="Arial" w:eastAsia="Arial" w:hAnsi="Arial" w:cs="Arial"/>
          <w:sz w:val="22"/>
          <w:szCs w:val="22"/>
        </w:rPr>
      </w:pPr>
      <w:r w:rsidRPr="00241FDA">
        <w:rPr>
          <w:rFonts w:ascii="Arial" w:eastAsia="Arial" w:hAnsi="Arial" w:cs="Arial"/>
          <w:b/>
          <w:sz w:val="22"/>
          <w:szCs w:val="22"/>
        </w:rPr>
        <w:t>Článek XIV</w:t>
      </w:r>
    </w:p>
    <w:p w:rsidR="009B793D" w:rsidRPr="00241FDA" w:rsidRDefault="00637D06" w:rsidP="00241F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eastAsia="Arial" w:hAnsi="Arial" w:cs="Arial"/>
          <w:sz w:val="22"/>
          <w:szCs w:val="22"/>
        </w:rPr>
      </w:pPr>
      <w:r w:rsidRPr="00241FDA">
        <w:rPr>
          <w:rFonts w:ascii="Arial" w:eastAsia="Arial" w:hAnsi="Arial" w:cs="Arial"/>
          <w:b/>
          <w:sz w:val="22"/>
          <w:szCs w:val="22"/>
        </w:rPr>
        <w:t>Závěrečná ustanovení</w:t>
      </w:r>
    </w:p>
    <w:p w:rsidR="009B793D" w:rsidRPr="00241FDA" w:rsidRDefault="00637D06" w:rsidP="00241FDA">
      <w:pPr>
        <w:numPr>
          <w:ilvl w:val="0"/>
          <w:numId w:val="4"/>
        </w:numPr>
        <w:pBdr>
          <w:top w:val="nil"/>
          <w:left w:val="nil"/>
          <w:bottom w:val="nil"/>
          <w:right w:val="nil"/>
          <w:between w:val="nil"/>
        </w:pBdr>
        <w:spacing w:after="20"/>
        <w:ind w:left="630" w:hanging="630"/>
        <w:jc w:val="both"/>
        <w:rPr>
          <w:rFonts w:ascii="Arial" w:eastAsia="Arial" w:hAnsi="Arial" w:cs="Arial"/>
          <w:sz w:val="22"/>
          <w:szCs w:val="22"/>
        </w:rPr>
      </w:pPr>
      <w:r w:rsidRPr="00241FDA">
        <w:rPr>
          <w:rFonts w:ascii="Arial" w:eastAsia="Arial" w:hAnsi="Arial" w:cs="Arial"/>
          <w:sz w:val="22"/>
          <w:szCs w:val="22"/>
        </w:rPr>
        <w:t>Údaje o Projektu podléhají kódu důvěrnosti údajů S, nepodléhají tedy ochraně podle zvláštních právních předpisů.</w:t>
      </w:r>
    </w:p>
    <w:p w:rsidR="009B793D" w:rsidRPr="00241FDA" w:rsidRDefault="00637D06" w:rsidP="00241FDA">
      <w:pPr>
        <w:numPr>
          <w:ilvl w:val="0"/>
          <w:numId w:val="4"/>
        </w:numPr>
        <w:pBdr>
          <w:top w:val="nil"/>
          <w:left w:val="nil"/>
          <w:bottom w:val="nil"/>
          <w:right w:val="nil"/>
          <w:between w:val="nil"/>
        </w:pBdr>
        <w:spacing w:after="20"/>
        <w:ind w:left="644" w:hanging="644"/>
        <w:jc w:val="both"/>
        <w:rPr>
          <w:rFonts w:ascii="Arial" w:eastAsia="Arial" w:hAnsi="Arial" w:cs="Arial"/>
          <w:sz w:val="22"/>
          <w:szCs w:val="22"/>
        </w:rPr>
      </w:pPr>
      <w:r w:rsidRPr="00241FDA">
        <w:rPr>
          <w:rFonts w:ascii="Arial" w:eastAsia="Arial" w:hAnsi="Arial" w:cs="Arial"/>
          <w:sz w:val="22"/>
          <w:szCs w:val="22"/>
        </w:rPr>
        <w:t xml:space="preserve">Smluvní strany se zavazují řádně uschovat veškeré dokumenty související s řešením projektu nejméně však po dobu 10 let od ukončení projektu. </w:t>
      </w:r>
    </w:p>
    <w:p w:rsidR="009B793D" w:rsidRPr="00241FDA" w:rsidRDefault="00637D06" w:rsidP="00241FDA">
      <w:pPr>
        <w:numPr>
          <w:ilvl w:val="1"/>
          <w:numId w:val="6"/>
        </w:numPr>
        <w:pBdr>
          <w:top w:val="nil"/>
          <w:left w:val="nil"/>
          <w:bottom w:val="nil"/>
          <w:right w:val="nil"/>
          <w:between w:val="nil"/>
        </w:pBdr>
        <w:spacing w:after="20"/>
        <w:ind w:left="630" w:hanging="630"/>
        <w:jc w:val="both"/>
        <w:rPr>
          <w:rFonts w:ascii="Arial" w:eastAsia="Arial" w:hAnsi="Arial" w:cs="Arial"/>
          <w:sz w:val="22"/>
          <w:szCs w:val="22"/>
        </w:rPr>
      </w:pPr>
      <w:r w:rsidRPr="00241FDA">
        <w:rPr>
          <w:rFonts w:ascii="Arial" w:eastAsia="Arial" w:hAnsi="Arial" w:cs="Arial"/>
          <w:sz w:val="22"/>
          <w:szCs w:val="22"/>
        </w:rPr>
        <w:t>Smlouva může zaniknout úplným splněním všech závazků obou Smluvních stran, které z ní vyplývají, odstoupením od Smlouvy podle ustanovení čl. XIII. Smlouvy a/nebo písemnou dohodou Smluvních stran, ve které budou mezi Příjemcem a Dalším účastníkem sjednány podmínky ukončení Smlouvy. Nedílnou součástí dohody o ukončení Smlouvy bude řádné vyúčtování všech finančních prostředků, které byly na řešení Projektu Smluvními stranami vynaloženy.</w:t>
      </w:r>
    </w:p>
    <w:p w:rsidR="009B793D" w:rsidRPr="00241FDA" w:rsidRDefault="00637D06" w:rsidP="00241FDA">
      <w:pPr>
        <w:numPr>
          <w:ilvl w:val="1"/>
          <w:numId w:val="6"/>
        </w:numPr>
        <w:pBdr>
          <w:top w:val="nil"/>
          <w:left w:val="nil"/>
          <w:bottom w:val="nil"/>
          <w:right w:val="nil"/>
          <w:between w:val="nil"/>
        </w:pBdr>
        <w:spacing w:after="20"/>
        <w:ind w:left="630" w:hanging="629"/>
        <w:jc w:val="both"/>
        <w:rPr>
          <w:rFonts w:ascii="Arial" w:eastAsia="Arial" w:hAnsi="Arial" w:cs="Arial"/>
          <w:sz w:val="22"/>
          <w:szCs w:val="22"/>
        </w:rPr>
      </w:pPr>
      <w:r w:rsidRPr="00241FDA">
        <w:rPr>
          <w:rFonts w:ascii="Arial" w:eastAsia="Arial" w:hAnsi="Arial" w:cs="Arial"/>
          <w:sz w:val="22"/>
          <w:szCs w:val="22"/>
        </w:rPr>
        <w:t xml:space="preserve">Vztahy Smlouvou neupravené se řídí právními předpisy platnými v České republice, zejména zák. č. 89/2012 Sb., občanský zákoník a </w:t>
      </w:r>
      <w:proofErr w:type="spellStart"/>
      <w:proofErr w:type="gramStart"/>
      <w:r w:rsidRPr="00241FDA">
        <w:rPr>
          <w:rFonts w:ascii="Arial" w:eastAsia="Arial" w:hAnsi="Arial" w:cs="Arial"/>
          <w:sz w:val="22"/>
          <w:szCs w:val="22"/>
        </w:rPr>
        <w:t>zák.č</w:t>
      </w:r>
      <w:proofErr w:type="spellEnd"/>
      <w:r w:rsidRPr="00241FDA">
        <w:rPr>
          <w:rFonts w:ascii="Arial" w:eastAsia="Arial" w:hAnsi="Arial" w:cs="Arial"/>
          <w:sz w:val="22"/>
          <w:szCs w:val="22"/>
        </w:rPr>
        <w:t>.</w:t>
      </w:r>
      <w:proofErr w:type="gramEnd"/>
      <w:r w:rsidRPr="00241FDA">
        <w:rPr>
          <w:rFonts w:ascii="Arial" w:eastAsia="Arial" w:hAnsi="Arial" w:cs="Arial"/>
          <w:sz w:val="22"/>
          <w:szCs w:val="22"/>
        </w:rPr>
        <w:t xml:space="preserve"> 130/2002 Sb., o podpoře výzkumu, experimentálního vývoje a inovací z veřejných prostředků a o změně některých souvisejících zákonů, v platném znění.</w:t>
      </w:r>
    </w:p>
    <w:p w:rsidR="009B793D" w:rsidRPr="00241FDA" w:rsidRDefault="00637D06" w:rsidP="00241FDA">
      <w:pPr>
        <w:numPr>
          <w:ilvl w:val="1"/>
          <w:numId w:val="6"/>
        </w:numPr>
        <w:pBdr>
          <w:top w:val="nil"/>
          <w:left w:val="nil"/>
          <w:bottom w:val="nil"/>
          <w:right w:val="nil"/>
          <w:between w:val="nil"/>
        </w:pBdr>
        <w:spacing w:after="20"/>
        <w:ind w:left="630" w:hanging="629"/>
        <w:jc w:val="both"/>
        <w:rPr>
          <w:rFonts w:ascii="Arial" w:eastAsia="Arial" w:hAnsi="Arial" w:cs="Arial"/>
          <w:sz w:val="22"/>
          <w:szCs w:val="22"/>
        </w:rPr>
      </w:pPr>
      <w:r w:rsidRPr="00241FDA">
        <w:rPr>
          <w:rFonts w:ascii="Arial" w:eastAsia="Arial" w:hAnsi="Arial" w:cs="Arial"/>
          <w:sz w:val="22"/>
          <w:szCs w:val="22"/>
        </w:rPr>
        <w:t>Změny a doplňky Smlouvy mohou být prováděny pouze dohodou Smluvních stran, a to formou písemných číslovaných dodatků ke Smlouvě. Práva a povinnosti dle této Smlouvy není Další účastník oprávněn převést na třetí osobu bez předchozího písemného souhlasu Příjemce.</w:t>
      </w:r>
    </w:p>
    <w:p w:rsidR="009B793D" w:rsidRPr="00241FDA" w:rsidRDefault="00637D06" w:rsidP="00241FDA">
      <w:pPr>
        <w:numPr>
          <w:ilvl w:val="1"/>
          <w:numId w:val="6"/>
        </w:numPr>
        <w:pBdr>
          <w:top w:val="nil"/>
          <w:left w:val="nil"/>
          <w:bottom w:val="nil"/>
          <w:right w:val="nil"/>
          <w:between w:val="nil"/>
        </w:pBdr>
        <w:spacing w:after="20"/>
        <w:ind w:left="630" w:hanging="629"/>
        <w:jc w:val="both"/>
        <w:rPr>
          <w:rFonts w:ascii="Arial" w:eastAsia="Arial" w:hAnsi="Arial" w:cs="Arial"/>
          <w:sz w:val="22"/>
          <w:szCs w:val="22"/>
        </w:rPr>
      </w:pPr>
      <w:r w:rsidRPr="00241FDA">
        <w:rPr>
          <w:rFonts w:ascii="Arial" w:eastAsia="Arial" w:hAnsi="Arial" w:cs="Arial"/>
          <w:sz w:val="22"/>
          <w:szCs w:val="22"/>
        </w:rPr>
        <w:t>Smlouva je vyhotovena ve třech kopiích s platností originálu, z nichž Příjemce obdrží dvě vyhotovení, Další účastník jedno vyhotovení.</w:t>
      </w:r>
    </w:p>
    <w:p w:rsidR="009B793D" w:rsidRPr="00241FDA" w:rsidRDefault="00637D06" w:rsidP="00241FDA">
      <w:pPr>
        <w:numPr>
          <w:ilvl w:val="1"/>
          <w:numId w:val="6"/>
        </w:numPr>
        <w:pBdr>
          <w:top w:val="nil"/>
          <w:left w:val="nil"/>
          <w:bottom w:val="nil"/>
          <w:right w:val="nil"/>
          <w:between w:val="nil"/>
        </w:pBdr>
        <w:spacing w:after="20"/>
        <w:ind w:left="709" w:hanging="709"/>
        <w:jc w:val="both"/>
        <w:rPr>
          <w:rFonts w:ascii="Arial" w:eastAsia="Arial" w:hAnsi="Arial" w:cs="Arial"/>
          <w:sz w:val="22"/>
          <w:szCs w:val="22"/>
        </w:rPr>
      </w:pPr>
      <w:r w:rsidRPr="00241FDA">
        <w:rPr>
          <w:rFonts w:ascii="Arial" w:eastAsia="Arial" w:hAnsi="Arial" w:cs="Arial"/>
          <w:sz w:val="22"/>
          <w:szCs w:val="22"/>
        </w:rPr>
        <w:t>Případné spory vzniklé z této smlouvy a v souvislosti s ní budou smluvní strany řešit především vzájemnou dohodou, v případě soudního sporu bude podle českého práva rozhodovat místně příslušný český soud podle sídla Příjemce.</w:t>
      </w:r>
    </w:p>
    <w:p w:rsidR="009B793D" w:rsidRPr="00241FDA" w:rsidRDefault="00637D06" w:rsidP="00241FDA">
      <w:pPr>
        <w:numPr>
          <w:ilvl w:val="1"/>
          <w:numId w:val="6"/>
        </w:numPr>
        <w:pBdr>
          <w:top w:val="nil"/>
          <w:left w:val="nil"/>
          <w:bottom w:val="nil"/>
          <w:right w:val="nil"/>
          <w:between w:val="nil"/>
        </w:pBdr>
        <w:spacing w:after="120"/>
        <w:ind w:left="630" w:hanging="630"/>
        <w:jc w:val="both"/>
        <w:rPr>
          <w:rFonts w:ascii="Arial" w:eastAsia="Arial" w:hAnsi="Arial" w:cs="Arial"/>
          <w:sz w:val="22"/>
          <w:szCs w:val="22"/>
        </w:rPr>
      </w:pPr>
      <w:r w:rsidRPr="00241FDA">
        <w:rPr>
          <w:rFonts w:ascii="Arial" w:eastAsia="Arial" w:hAnsi="Arial" w:cs="Arial"/>
          <w:sz w:val="22"/>
          <w:szCs w:val="22"/>
        </w:rPr>
        <w:t>Příjemce a Další účastník tímto prohlašují, že uzavření této Smlouvy proběhlo plně v souladu s jejich interními předpisy a jsou si plně vědomy závazků, které uzavřením této Smlouvy přebírají.</w:t>
      </w:r>
    </w:p>
    <w:p w:rsidR="009B793D" w:rsidRPr="00241FDA" w:rsidRDefault="00637D06" w:rsidP="00241FDA">
      <w:pPr>
        <w:numPr>
          <w:ilvl w:val="1"/>
          <w:numId w:val="6"/>
        </w:numPr>
        <w:pBdr>
          <w:top w:val="nil"/>
          <w:left w:val="nil"/>
          <w:bottom w:val="nil"/>
          <w:right w:val="nil"/>
          <w:between w:val="nil"/>
        </w:pBdr>
        <w:spacing w:before="120" w:after="60"/>
        <w:ind w:left="567" w:hanging="630"/>
        <w:jc w:val="both"/>
        <w:rPr>
          <w:rFonts w:ascii="Arial" w:eastAsia="Arial" w:hAnsi="Arial" w:cs="Arial"/>
          <w:sz w:val="22"/>
          <w:szCs w:val="22"/>
        </w:rPr>
      </w:pPr>
      <w:r w:rsidRPr="00241FDA">
        <w:rPr>
          <w:rFonts w:ascii="Arial" w:eastAsia="Arial" w:hAnsi="Arial" w:cs="Arial"/>
          <w:sz w:val="22"/>
          <w:szCs w:val="22"/>
        </w:rPr>
        <w:t>Smluvní strany berou na vědomí, že příjemce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příjemce do 15 dnů od uzavření smlouvy.</w:t>
      </w:r>
    </w:p>
    <w:p w:rsidR="009B793D" w:rsidRPr="00241FDA" w:rsidRDefault="009B793D" w:rsidP="00241FDA">
      <w:pPr>
        <w:pBdr>
          <w:top w:val="nil"/>
          <w:left w:val="nil"/>
          <w:bottom w:val="nil"/>
          <w:right w:val="nil"/>
          <w:between w:val="nil"/>
        </w:pBdr>
        <w:spacing w:after="120"/>
        <w:ind w:left="630"/>
        <w:jc w:val="both"/>
        <w:rPr>
          <w:rFonts w:ascii="Arial" w:eastAsia="Arial" w:hAnsi="Arial" w:cs="Arial"/>
          <w:sz w:val="22"/>
          <w:szCs w:val="22"/>
        </w:rPr>
      </w:pPr>
    </w:p>
    <w:tbl>
      <w:tblPr>
        <w:tblStyle w:val="a"/>
        <w:tblW w:w="9212" w:type="dxa"/>
        <w:tblInd w:w="0" w:type="dxa"/>
        <w:tblLayout w:type="fixed"/>
        <w:tblLook w:val="0000" w:firstRow="0" w:lastRow="0" w:firstColumn="0" w:lastColumn="0" w:noHBand="0" w:noVBand="0"/>
      </w:tblPr>
      <w:tblGrid>
        <w:gridCol w:w="4606"/>
        <w:gridCol w:w="4606"/>
      </w:tblGrid>
      <w:tr w:rsidR="00241FDA" w:rsidRPr="00241FDA">
        <w:trPr>
          <w:trHeight w:val="580"/>
        </w:trPr>
        <w:tc>
          <w:tcPr>
            <w:tcW w:w="4606" w:type="dxa"/>
          </w:tcPr>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V Teplicích, datum</w:t>
            </w:r>
          </w:p>
        </w:tc>
        <w:tc>
          <w:tcPr>
            <w:tcW w:w="4606" w:type="dxa"/>
          </w:tcPr>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V Ústí nad Labem, datum</w:t>
            </w:r>
          </w:p>
        </w:tc>
      </w:tr>
      <w:tr w:rsidR="00241FDA" w:rsidRPr="00241FDA">
        <w:trPr>
          <w:trHeight w:val="1600"/>
        </w:trPr>
        <w:tc>
          <w:tcPr>
            <w:tcW w:w="4606" w:type="dxa"/>
          </w:tcPr>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Za Příjemce:</w:t>
            </w:r>
          </w:p>
          <w:p w:rsidR="009B793D" w:rsidRPr="00241FDA" w:rsidRDefault="009B793D" w:rsidP="00241FDA">
            <w:pPr>
              <w:pBdr>
                <w:top w:val="nil"/>
                <w:left w:val="nil"/>
                <w:bottom w:val="dashed" w:sz="4" w:space="1" w:color="000000"/>
                <w:right w:val="nil"/>
                <w:between w:val="nil"/>
              </w:pBdr>
              <w:spacing w:before="960" w:after="120"/>
              <w:jc w:val="both"/>
              <w:rPr>
                <w:rFonts w:ascii="Arial" w:eastAsia="Arial" w:hAnsi="Arial" w:cs="Arial"/>
                <w:sz w:val="22"/>
                <w:szCs w:val="22"/>
              </w:rPr>
            </w:pPr>
          </w:p>
        </w:tc>
        <w:tc>
          <w:tcPr>
            <w:tcW w:w="4606" w:type="dxa"/>
          </w:tcPr>
          <w:p w:rsidR="009B793D" w:rsidRPr="00241FDA" w:rsidRDefault="00637D06" w:rsidP="00241FDA">
            <w:pPr>
              <w:pBdr>
                <w:top w:val="nil"/>
                <w:left w:val="nil"/>
                <w:bottom w:val="nil"/>
                <w:right w:val="nil"/>
                <w:between w:val="nil"/>
              </w:pBdr>
              <w:spacing w:after="120"/>
              <w:jc w:val="both"/>
              <w:rPr>
                <w:rFonts w:ascii="Arial" w:eastAsia="Arial" w:hAnsi="Arial" w:cs="Arial"/>
                <w:sz w:val="22"/>
                <w:szCs w:val="22"/>
              </w:rPr>
            </w:pPr>
            <w:r w:rsidRPr="00241FDA">
              <w:rPr>
                <w:rFonts w:ascii="Arial" w:eastAsia="Arial" w:hAnsi="Arial" w:cs="Arial"/>
                <w:sz w:val="22"/>
                <w:szCs w:val="22"/>
              </w:rPr>
              <w:t>Za Dalšího účastníka:</w:t>
            </w:r>
          </w:p>
          <w:p w:rsidR="009B793D" w:rsidRPr="00241FDA" w:rsidRDefault="009B793D" w:rsidP="00241FDA">
            <w:pPr>
              <w:pBdr>
                <w:top w:val="nil"/>
                <w:left w:val="nil"/>
                <w:bottom w:val="dashed" w:sz="4" w:space="1" w:color="000000"/>
                <w:right w:val="nil"/>
                <w:between w:val="nil"/>
              </w:pBdr>
              <w:spacing w:before="960" w:after="120"/>
              <w:jc w:val="both"/>
              <w:rPr>
                <w:rFonts w:ascii="Arial" w:eastAsia="Arial" w:hAnsi="Arial" w:cs="Arial"/>
                <w:sz w:val="22"/>
                <w:szCs w:val="22"/>
              </w:rPr>
            </w:pPr>
          </w:p>
        </w:tc>
      </w:tr>
      <w:tr w:rsidR="00241FDA" w:rsidRPr="00241FDA">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 xml:space="preserve">Petr </w:t>
            </w:r>
            <w:proofErr w:type="spellStart"/>
            <w:r w:rsidRPr="00241FDA">
              <w:rPr>
                <w:rFonts w:ascii="Arial" w:eastAsia="Arial" w:hAnsi="Arial" w:cs="Arial"/>
                <w:sz w:val="22"/>
                <w:szCs w:val="22"/>
              </w:rPr>
              <w:t>Knorr</w:t>
            </w:r>
            <w:proofErr w:type="spellEnd"/>
          </w:p>
        </w:tc>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Doc. RNDr. Martin Balej, Ph.D.</w:t>
            </w:r>
          </w:p>
        </w:tc>
      </w:tr>
      <w:tr w:rsidR="00241FDA" w:rsidRPr="00241FDA">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 xml:space="preserve">jednatel, </w:t>
            </w:r>
            <w:proofErr w:type="spellStart"/>
            <w:r w:rsidRPr="00241FDA">
              <w:rPr>
                <w:rFonts w:ascii="Arial" w:eastAsia="Arial" w:hAnsi="Arial" w:cs="Arial"/>
                <w:sz w:val="22"/>
                <w:szCs w:val="22"/>
              </w:rPr>
              <w:t>TeepCo</w:t>
            </w:r>
            <w:proofErr w:type="spellEnd"/>
            <w:r w:rsidRPr="00241FDA">
              <w:rPr>
                <w:rFonts w:ascii="Arial" w:eastAsia="Arial" w:hAnsi="Arial" w:cs="Arial"/>
                <w:sz w:val="22"/>
                <w:szCs w:val="22"/>
              </w:rPr>
              <w:t xml:space="preserve"> s.r.o. </w:t>
            </w:r>
          </w:p>
        </w:tc>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rektor, Univerzita Jana Evangelisty Purkyně v Ústí nad Labem</w:t>
            </w:r>
          </w:p>
        </w:tc>
      </w:tr>
      <w:tr w:rsidR="00241FDA" w:rsidRPr="00241FDA">
        <w:trPr>
          <w:trHeight w:val="1380"/>
        </w:trPr>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otisk razítka</w:t>
            </w:r>
          </w:p>
        </w:tc>
        <w:tc>
          <w:tcPr>
            <w:tcW w:w="4606" w:type="dxa"/>
          </w:tcPr>
          <w:p w:rsidR="009B793D" w:rsidRPr="00241FDA" w:rsidRDefault="00637D06" w:rsidP="00241FDA">
            <w:pPr>
              <w:pBdr>
                <w:top w:val="nil"/>
                <w:left w:val="nil"/>
                <w:bottom w:val="nil"/>
                <w:right w:val="nil"/>
                <w:between w:val="nil"/>
              </w:pBdr>
              <w:spacing w:after="120"/>
              <w:jc w:val="center"/>
              <w:rPr>
                <w:rFonts w:ascii="Arial" w:eastAsia="Arial" w:hAnsi="Arial" w:cs="Arial"/>
                <w:sz w:val="22"/>
                <w:szCs w:val="22"/>
              </w:rPr>
            </w:pPr>
            <w:r w:rsidRPr="00241FDA">
              <w:rPr>
                <w:rFonts w:ascii="Arial" w:eastAsia="Arial" w:hAnsi="Arial" w:cs="Arial"/>
                <w:sz w:val="22"/>
                <w:szCs w:val="22"/>
              </w:rPr>
              <w:t>otisk razítka</w:t>
            </w:r>
          </w:p>
        </w:tc>
      </w:tr>
    </w:tbl>
    <w:p w:rsidR="009B793D" w:rsidRPr="00241FDA" w:rsidRDefault="009B793D" w:rsidP="00241FDA">
      <w:pPr>
        <w:pBdr>
          <w:top w:val="nil"/>
          <w:left w:val="nil"/>
          <w:bottom w:val="nil"/>
          <w:right w:val="nil"/>
          <w:between w:val="nil"/>
        </w:pBdr>
        <w:spacing w:after="120"/>
        <w:jc w:val="both"/>
        <w:rPr>
          <w:rFonts w:ascii="Arial" w:eastAsia="Arial" w:hAnsi="Arial" w:cs="Arial"/>
          <w:sz w:val="22"/>
          <w:szCs w:val="22"/>
        </w:rPr>
      </w:pPr>
    </w:p>
    <w:sectPr w:rsidR="009B793D" w:rsidRPr="00241FDA">
      <w:footerReference w:type="even" r:id="rId7"/>
      <w:footerReference w:type="default" r:id="rId8"/>
      <w:pgSz w:w="11906" w:h="16838"/>
      <w:pgMar w:top="1133" w:right="1133" w:bottom="1133" w:left="1133"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E0" w:rsidRDefault="00123BE0">
      <w:r>
        <w:separator/>
      </w:r>
    </w:p>
  </w:endnote>
  <w:endnote w:type="continuationSeparator" w:id="0">
    <w:p w:rsidR="00123BE0" w:rsidRDefault="0012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3D" w:rsidRDefault="00637D06">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9B793D" w:rsidRDefault="009B793D">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3D" w:rsidRDefault="00637D06">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30776">
      <w:rPr>
        <w:noProof/>
        <w:color w:val="000000"/>
        <w:sz w:val="24"/>
        <w:szCs w:val="24"/>
      </w:rPr>
      <w:t>9</w:t>
    </w:r>
    <w:r>
      <w:rPr>
        <w:color w:val="000000"/>
        <w:sz w:val="24"/>
        <w:szCs w:val="24"/>
      </w:rPr>
      <w:fldChar w:fldCharType="end"/>
    </w:r>
  </w:p>
  <w:p w:rsidR="009B793D" w:rsidRDefault="009B793D">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E0" w:rsidRDefault="00123BE0">
      <w:r>
        <w:separator/>
      </w:r>
    </w:p>
  </w:footnote>
  <w:footnote w:type="continuationSeparator" w:id="0">
    <w:p w:rsidR="00123BE0" w:rsidRDefault="0012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FCA"/>
    <w:multiLevelType w:val="multilevel"/>
    <w:tmpl w:val="2076A2A6"/>
    <w:lvl w:ilvl="0">
      <w:start w:val="7"/>
      <w:numFmt w:val="decimal"/>
      <w:lvlText w:val="%1"/>
      <w:lvlJc w:val="left"/>
      <w:pPr>
        <w:ind w:left="360" w:hanging="360"/>
      </w:pPr>
      <w:rPr>
        <w:vertAlign w:val="baseline"/>
      </w:rPr>
    </w:lvl>
    <w:lvl w:ilvl="1">
      <w:start w:val="1"/>
      <w:numFmt w:val="decimal"/>
      <w:lvlText w:val="8.%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7C70304"/>
    <w:multiLevelType w:val="multilevel"/>
    <w:tmpl w:val="BF7A43DE"/>
    <w:lvl w:ilvl="0">
      <w:start w:val="1"/>
      <w:numFmt w:val="decimal"/>
      <w:lvlText w:val="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286189"/>
    <w:multiLevelType w:val="multilevel"/>
    <w:tmpl w:val="2D5A55C2"/>
    <w:lvl w:ilvl="0">
      <w:start w:val="1"/>
      <w:numFmt w:val="decimal"/>
      <w:lvlText w:val="10.%1 "/>
      <w:lvlJc w:val="left"/>
      <w:pPr>
        <w:ind w:left="360" w:hanging="360"/>
      </w:pPr>
      <w:rPr>
        <w:b w:val="0"/>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E319CF"/>
    <w:multiLevelType w:val="multilevel"/>
    <w:tmpl w:val="85BAC21E"/>
    <w:lvl w:ilvl="0">
      <w:start w:val="1"/>
      <w:numFmt w:val="bullet"/>
      <w:lvlText w:val="●"/>
      <w:lvlJc w:val="left"/>
      <w:pPr>
        <w:ind w:left="1246" w:hanging="360"/>
      </w:pPr>
      <w:rPr>
        <w:rFonts w:ascii="Noto Sans Symbols" w:eastAsia="Noto Sans Symbols" w:hAnsi="Noto Sans Symbols" w:cs="Noto Sans Symbols"/>
        <w:vertAlign w:val="baseline"/>
      </w:rPr>
    </w:lvl>
    <w:lvl w:ilvl="1">
      <w:start w:val="1"/>
      <w:numFmt w:val="bullet"/>
      <w:lvlText w:val="o"/>
      <w:lvlJc w:val="left"/>
      <w:pPr>
        <w:ind w:left="1966" w:hanging="360"/>
      </w:pPr>
      <w:rPr>
        <w:rFonts w:ascii="Courier New" w:eastAsia="Courier New" w:hAnsi="Courier New" w:cs="Courier New"/>
        <w:vertAlign w:val="baseline"/>
      </w:rPr>
    </w:lvl>
    <w:lvl w:ilvl="2">
      <w:start w:val="1"/>
      <w:numFmt w:val="bullet"/>
      <w:lvlText w:val="▪"/>
      <w:lvlJc w:val="left"/>
      <w:pPr>
        <w:ind w:left="2686" w:hanging="360"/>
      </w:pPr>
      <w:rPr>
        <w:rFonts w:ascii="Noto Sans Symbols" w:eastAsia="Noto Sans Symbols" w:hAnsi="Noto Sans Symbols" w:cs="Noto Sans Symbols"/>
        <w:vertAlign w:val="baseline"/>
      </w:rPr>
    </w:lvl>
    <w:lvl w:ilvl="3">
      <w:start w:val="1"/>
      <w:numFmt w:val="bullet"/>
      <w:lvlText w:val="●"/>
      <w:lvlJc w:val="left"/>
      <w:pPr>
        <w:ind w:left="3406" w:hanging="360"/>
      </w:pPr>
      <w:rPr>
        <w:rFonts w:ascii="Noto Sans Symbols" w:eastAsia="Noto Sans Symbols" w:hAnsi="Noto Sans Symbols" w:cs="Noto Sans Symbols"/>
        <w:vertAlign w:val="baseline"/>
      </w:rPr>
    </w:lvl>
    <w:lvl w:ilvl="4">
      <w:start w:val="1"/>
      <w:numFmt w:val="bullet"/>
      <w:lvlText w:val="o"/>
      <w:lvlJc w:val="left"/>
      <w:pPr>
        <w:ind w:left="4126" w:hanging="360"/>
      </w:pPr>
      <w:rPr>
        <w:rFonts w:ascii="Courier New" w:eastAsia="Courier New" w:hAnsi="Courier New" w:cs="Courier New"/>
        <w:vertAlign w:val="baseline"/>
      </w:rPr>
    </w:lvl>
    <w:lvl w:ilvl="5">
      <w:start w:val="1"/>
      <w:numFmt w:val="bullet"/>
      <w:lvlText w:val="▪"/>
      <w:lvlJc w:val="left"/>
      <w:pPr>
        <w:ind w:left="4846" w:hanging="360"/>
      </w:pPr>
      <w:rPr>
        <w:rFonts w:ascii="Noto Sans Symbols" w:eastAsia="Noto Sans Symbols" w:hAnsi="Noto Sans Symbols" w:cs="Noto Sans Symbols"/>
        <w:vertAlign w:val="baseline"/>
      </w:rPr>
    </w:lvl>
    <w:lvl w:ilvl="6">
      <w:start w:val="1"/>
      <w:numFmt w:val="bullet"/>
      <w:lvlText w:val="●"/>
      <w:lvlJc w:val="left"/>
      <w:pPr>
        <w:ind w:left="5566" w:hanging="360"/>
      </w:pPr>
      <w:rPr>
        <w:rFonts w:ascii="Noto Sans Symbols" w:eastAsia="Noto Sans Symbols" w:hAnsi="Noto Sans Symbols" w:cs="Noto Sans Symbols"/>
        <w:vertAlign w:val="baseline"/>
      </w:rPr>
    </w:lvl>
    <w:lvl w:ilvl="7">
      <w:start w:val="1"/>
      <w:numFmt w:val="bullet"/>
      <w:lvlText w:val="o"/>
      <w:lvlJc w:val="left"/>
      <w:pPr>
        <w:ind w:left="6286" w:hanging="360"/>
      </w:pPr>
      <w:rPr>
        <w:rFonts w:ascii="Courier New" w:eastAsia="Courier New" w:hAnsi="Courier New" w:cs="Courier New"/>
        <w:vertAlign w:val="baseline"/>
      </w:rPr>
    </w:lvl>
    <w:lvl w:ilvl="8">
      <w:start w:val="1"/>
      <w:numFmt w:val="bullet"/>
      <w:lvlText w:val="▪"/>
      <w:lvlJc w:val="left"/>
      <w:pPr>
        <w:ind w:left="7006" w:hanging="360"/>
      </w:pPr>
      <w:rPr>
        <w:rFonts w:ascii="Noto Sans Symbols" w:eastAsia="Noto Sans Symbols" w:hAnsi="Noto Sans Symbols" w:cs="Noto Sans Symbols"/>
        <w:vertAlign w:val="baseline"/>
      </w:rPr>
    </w:lvl>
  </w:abstractNum>
  <w:abstractNum w:abstractNumId="4" w15:restartNumberingAfterBreak="0">
    <w:nsid w:val="106349F5"/>
    <w:multiLevelType w:val="multilevel"/>
    <w:tmpl w:val="0C14A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814B34"/>
    <w:multiLevelType w:val="multilevel"/>
    <w:tmpl w:val="94C27A0C"/>
    <w:lvl w:ilvl="0">
      <w:start w:val="7"/>
      <w:numFmt w:val="decimal"/>
      <w:lvlText w:val="%1"/>
      <w:lvlJc w:val="left"/>
      <w:pPr>
        <w:ind w:left="360" w:hanging="360"/>
      </w:pPr>
      <w:rPr>
        <w:vertAlign w:val="baseline"/>
      </w:rPr>
    </w:lvl>
    <w:lvl w:ilvl="1">
      <w:start w:val="6"/>
      <w:numFmt w:val="decimal"/>
      <w:lvlText w:val="8.%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17F3713C"/>
    <w:multiLevelType w:val="multilevel"/>
    <w:tmpl w:val="B538BBD0"/>
    <w:lvl w:ilvl="0">
      <w:start w:val="8"/>
      <w:numFmt w:val="decimal"/>
      <w:lvlText w:val="%1"/>
      <w:lvlJc w:val="left"/>
      <w:pPr>
        <w:ind w:left="360" w:hanging="360"/>
      </w:pPr>
      <w:rPr>
        <w:vertAlign w:val="baseline"/>
      </w:rPr>
    </w:lvl>
    <w:lvl w:ilvl="1">
      <w:start w:val="1"/>
      <w:numFmt w:val="decimal"/>
      <w:lvlText w:val="10.%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19BD1DBA"/>
    <w:multiLevelType w:val="multilevel"/>
    <w:tmpl w:val="20A6FDF4"/>
    <w:lvl w:ilvl="0">
      <w:start w:val="1"/>
      <w:numFmt w:val="decimal"/>
      <w:lvlText w:val="5.%1"/>
      <w:lvlJc w:val="left"/>
      <w:pPr>
        <w:ind w:left="72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3741495"/>
    <w:multiLevelType w:val="multilevel"/>
    <w:tmpl w:val="99EC9FDC"/>
    <w:lvl w:ilvl="0">
      <w:start w:val="1"/>
      <w:numFmt w:val="decimal"/>
      <w:lvlText w:val="4.%1"/>
      <w:lvlJc w:val="left"/>
      <w:pPr>
        <w:ind w:left="502" w:hanging="360"/>
      </w:pPr>
      <w:rPr>
        <w:b w:val="0"/>
        <w:color w:val="00000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9" w15:restartNumberingAfterBreak="0">
    <w:nsid w:val="3E853885"/>
    <w:multiLevelType w:val="multilevel"/>
    <w:tmpl w:val="FD3A2198"/>
    <w:lvl w:ilvl="0">
      <w:start w:val="1"/>
      <w:numFmt w:val="decimal"/>
      <w:lvlText w:val="14.%1  "/>
      <w:lvlJc w:val="left"/>
      <w:pPr>
        <w:ind w:left="889"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25462D9"/>
    <w:multiLevelType w:val="multilevel"/>
    <w:tmpl w:val="E4B46FC6"/>
    <w:lvl w:ilvl="0">
      <w:start w:val="7"/>
      <w:numFmt w:val="decimal"/>
      <w:lvlText w:val="%1"/>
      <w:lvlJc w:val="left"/>
      <w:pPr>
        <w:ind w:left="360" w:hanging="360"/>
      </w:pPr>
      <w:rPr>
        <w:vertAlign w:val="baseline"/>
      </w:rPr>
    </w:lvl>
    <w:lvl w:ilvl="1">
      <w:start w:val="2"/>
      <w:numFmt w:val="decimal"/>
      <w:lvlText w:val="8.%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45FD40F6"/>
    <w:multiLevelType w:val="multilevel"/>
    <w:tmpl w:val="C5D4DE28"/>
    <w:lvl w:ilvl="0">
      <w:start w:val="8"/>
      <w:numFmt w:val="decimal"/>
      <w:lvlText w:val="%1"/>
      <w:lvlJc w:val="left"/>
      <w:pPr>
        <w:ind w:left="360" w:hanging="360"/>
      </w:pPr>
      <w:rPr>
        <w:vertAlign w:val="baseline"/>
      </w:rPr>
    </w:lvl>
    <w:lvl w:ilvl="1">
      <w:start w:val="1"/>
      <w:numFmt w:val="decimal"/>
      <w:lvlText w:val="9.%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4A80473A"/>
    <w:multiLevelType w:val="multilevel"/>
    <w:tmpl w:val="951E05B4"/>
    <w:lvl w:ilvl="0">
      <w:start w:val="1"/>
      <w:numFmt w:val="decimal"/>
      <w:lvlText w:val="2.%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4F192752"/>
    <w:multiLevelType w:val="multilevel"/>
    <w:tmpl w:val="6BB0BE54"/>
    <w:lvl w:ilvl="0">
      <w:start w:val="13"/>
      <w:numFmt w:val="decimal"/>
      <w:lvlText w:val="%1"/>
      <w:lvlJc w:val="left"/>
      <w:pPr>
        <w:ind w:left="465" w:hanging="465"/>
      </w:pPr>
      <w:rPr>
        <w:vertAlign w:val="baseline"/>
      </w:rPr>
    </w:lvl>
    <w:lvl w:ilvl="1">
      <w:start w:val="3"/>
      <w:numFmt w:val="decimal"/>
      <w:lvlText w:val="14.%2"/>
      <w:lvlJc w:val="left"/>
      <w:pPr>
        <w:ind w:left="465" w:hanging="46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5CE75889"/>
    <w:multiLevelType w:val="multilevel"/>
    <w:tmpl w:val="8AC2A0F6"/>
    <w:lvl w:ilvl="0">
      <w:start w:val="1"/>
      <w:numFmt w:val="decimal"/>
      <w:lvlText w:val="3.%1"/>
      <w:lvlJc w:val="left"/>
      <w:pPr>
        <w:ind w:left="502"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5D6E0899"/>
    <w:multiLevelType w:val="multilevel"/>
    <w:tmpl w:val="E7A2DB44"/>
    <w:lvl w:ilvl="0">
      <w:start w:val="9"/>
      <w:numFmt w:val="decimal"/>
      <w:lvlText w:val="%1"/>
      <w:lvlJc w:val="left"/>
      <w:pPr>
        <w:ind w:left="360" w:hanging="360"/>
      </w:pPr>
      <w:rPr>
        <w:vertAlign w:val="baseline"/>
      </w:rPr>
    </w:lvl>
    <w:lvl w:ilvl="1">
      <w:start w:val="1"/>
      <w:numFmt w:val="decimal"/>
      <w:lvlText w:val="13.%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68A302CD"/>
    <w:multiLevelType w:val="multilevel"/>
    <w:tmpl w:val="3826539A"/>
    <w:lvl w:ilvl="0">
      <w:start w:val="1"/>
      <w:numFmt w:val="decimal"/>
      <w:lvlText w:val="11.%1 "/>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6F85EA8"/>
    <w:multiLevelType w:val="multilevel"/>
    <w:tmpl w:val="52A0499E"/>
    <w:lvl w:ilvl="0">
      <w:start w:val="1"/>
      <w:numFmt w:val="decimal"/>
      <w:lvlText w:val="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2"/>
  </w:num>
  <w:num w:numId="3">
    <w:abstractNumId w:val="10"/>
  </w:num>
  <w:num w:numId="4">
    <w:abstractNumId w:val="9"/>
  </w:num>
  <w:num w:numId="5">
    <w:abstractNumId w:val="5"/>
  </w:num>
  <w:num w:numId="6">
    <w:abstractNumId w:val="13"/>
  </w:num>
  <w:num w:numId="7">
    <w:abstractNumId w:val="3"/>
  </w:num>
  <w:num w:numId="8">
    <w:abstractNumId w:val="11"/>
  </w:num>
  <w:num w:numId="9">
    <w:abstractNumId w:val="4"/>
  </w:num>
  <w:num w:numId="10">
    <w:abstractNumId w:val="1"/>
  </w:num>
  <w:num w:numId="11">
    <w:abstractNumId w:val="17"/>
  </w:num>
  <w:num w:numId="12">
    <w:abstractNumId w:val="14"/>
  </w:num>
  <w:num w:numId="13">
    <w:abstractNumId w:val="8"/>
  </w:num>
  <w:num w:numId="14">
    <w:abstractNumId w:val="7"/>
  </w:num>
  <w:num w:numId="15">
    <w:abstractNumId w:val="0"/>
  </w:num>
  <w:num w:numId="16">
    <w:abstractNumId w:val="6"/>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3D"/>
    <w:rsid w:val="00123BE0"/>
    <w:rsid w:val="00241FDA"/>
    <w:rsid w:val="003D7240"/>
    <w:rsid w:val="004479DD"/>
    <w:rsid w:val="00637D06"/>
    <w:rsid w:val="009B793D"/>
    <w:rsid w:val="00BE632D"/>
    <w:rsid w:val="00E30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8C93"/>
  <w15:docId w15:val="{AE442D57-84B6-44E8-B10E-40FA8E4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41F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4327</Words>
  <Characters>25533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PrFdek UJEP</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bobkovam</dc:creator>
  <cp:lastModifiedBy>bobkovam</cp:lastModifiedBy>
  <cp:revision>4</cp:revision>
  <dcterms:created xsi:type="dcterms:W3CDTF">2019-05-10T05:40:00Z</dcterms:created>
  <dcterms:modified xsi:type="dcterms:W3CDTF">2019-05-10T05:41:00Z</dcterms:modified>
</cp:coreProperties>
</file>