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8A" w:rsidRDefault="00E87069" w:rsidP="00744658">
      <w:pPr>
        <w:pBdr>
          <w:bottom w:val="single" w:sz="4" w:space="1" w:color="000000"/>
        </w:pBdr>
        <w:spacing w:after="120"/>
        <w:jc w:val="center"/>
        <w:rPr>
          <w:b/>
        </w:rPr>
      </w:pPr>
      <w:r>
        <w:rPr>
          <w:b/>
        </w:rPr>
        <w:t>SMLOUVA O SPOLUPRÁCI</w:t>
      </w:r>
      <w:r w:rsidR="008D3B9D">
        <w:rPr>
          <w:b/>
        </w:rPr>
        <w:t xml:space="preserve"> </w:t>
      </w:r>
    </w:p>
    <w:p w:rsidR="00744658" w:rsidRDefault="00744658" w:rsidP="00744658">
      <w:pPr>
        <w:pBdr>
          <w:bottom w:val="single" w:sz="4" w:space="1" w:color="000000"/>
        </w:pBdr>
        <w:spacing w:after="120"/>
        <w:jc w:val="center"/>
        <w:rPr>
          <w:b/>
        </w:rPr>
      </w:pPr>
      <w:r>
        <w:rPr>
          <w:b/>
        </w:rPr>
        <w:t xml:space="preserve">Č. </w:t>
      </w:r>
      <w:r w:rsidR="00EC0890">
        <w:rPr>
          <w:b/>
        </w:rPr>
        <w:t>II</w:t>
      </w:r>
      <w:r w:rsidR="00805A8A">
        <w:rPr>
          <w:b/>
        </w:rPr>
        <w:t>-</w:t>
      </w:r>
      <w:r w:rsidR="00167EBC">
        <w:rPr>
          <w:b/>
        </w:rPr>
        <w:t>9</w:t>
      </w:r>
      <w:r w:rsidR="00EC0890">
        <w:rPr>
          <w:b/>
        </w:rPr>
        <w:t>4</w:t>
      </w:r>
      <w:r w:rsidR="00167EBC">
        <w:rPr>
          <w:b/>
        </w:rPr>
        <w:t>/2019</w:t>
      </w:r>
    </w:p>
    <w:p w:rsidR="00E87069" w:rsidRDefault="00E87069" w:rsidP="00744658">
      <w:pPr>
        <w:pBdr>
          <w:bottom w:val="single" w:sz="4" w:space="1" w:color="000000"/>
        </w:pBdr>
        <w:spacing w:after="120"/>
        <w:jc w:val="center"/>
        <w:rPr>
          <w:iCs/>
        </w:rPr>
      </w:pPr>
      <w:r>
        <w:br/>
      </w:r>
      <w:r w:rsidR="00744658">
        <w:t>uzavřená podle § 1746, odst. 2 Občanského zákoníku, zákona č. 89/2012Sb.</w:t>
      </w:r>
    </w:p>
    <w:p w:rsidR="00E87069" w:rsidRDefault="00E87069" w:rsidP="00E87069">
      <w:pPr>
        <w:jc w:val="both"/>
        <w:rPr>
          <w:iCs/>
        </w:rPr>
      </w:pPr>
    </w:p>
    <w:p w:rsidR="00E87069" w:rsidRDefault="00E87069" w:rsidP="00E87069">
      <w:pPr>
        <w:jc w:val="center"/>
      </w:pPr>
      <w:r>
        <w:rPr>
          <w:b/>
          <w:bCs/>
        </w:rPr>
        <w:t>I.</w:t>
      </w:r>
    </w:p>
    <w:p w:rsidR="00E87069" w:rsidRDefault="00E87069" w:rsidP="00E87069">
      <w:pPr>
        <w:pStyle w:val="Nadpis1"/>
        <w:rPr>
          <w:vanish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:rsidR="00E87069" w:rsidRDefault="00E87069" w:rsidP="00E87069">
      <w:pPr>
        <w:rPr>
          <w:vanish/>
        </w:rPr>
      </w:pPr>
    </w:p>
    <w:p w:rsidR="00E87069" w:rsidRDefault="00E87069" w:rsidP="00E87069">
      <w:pPr>
        <w:rPr>
          <w:b/>
        </w:rPr>
      </w:pPr>
    </w:p>
    <w:p w:rsidR="00744658" w:rsidRDefault="00744658" w:rsidP="00E87069">
      <w:pPr>
        <w:rPr>
          <w:b/>
        </w:rPr>
      </w:pPr>
      <w:r>
        <w:rPr>
          <w:b/>
        </w:rPr>
        <w:t>Nadační fond KOLEČKO</w:t>
      </w:r>
    </w:p>
    <w:p w:rsidR="00E87069" w:rsidRDefault="00E87069" w:rsidP="00E87069">
      <w:r>
        <w:t xml:space="preserve">se sídlem: </w:t>
      </w:r>
      <w:r w:rsidR="00C9140D">
        <w:t xml:space="preserve">Na </w:t>
      </w:r>
      <w:proofErr w:type="spellStart"/>
      <w:r w:rsidR="00C9140D">
        <w:t>Hu</w:t>
      </w:r>
      <w:r w:rsidR="00744658">
        <w:t>bálce</w:t>
      </w:r>
      <w:proofErr w:type="spellEnd"/>
      <w:r w:rsidR="00744658">
        <w:t xml:space="preserve"> 707/10</w:t>
      </w:r>
      <w:r>
        <w:t xml:space="preserve">, </w:t>
      </w:r>
      <w:r w:rsidR="00744658">
        <w:t xml:space="preserve">169 00 Praha 6 </w:t>
      </w:r>
    </w:p>
    <w:p w:rsidR="00E87069" w:rsidRDefault="00E87069" w:rsidP="00E87069">
      <w:pPr>
        <w:pStyle w:val="Zkladntext"/>
        <w:spacing w:line="240" w:lineRule="atLeast"/>
      </w:pPr>
      <w:r>
        <w:t>IČ: 2</w:t>
      </w:r>
      <w:r w:rsidR="00744658">
        <w:t>7149331</w:t>
      </w:r>
      <w:r>
        <w:t xml:space="preserve"> </w:t>
      </w:r>
    </w:p>
    <w:p w:rsidR="00E87069" w:rsidRDefault="00744658" w:rsidP="00E87069">
      <w:pPr>
        <w:pStyle w:val="Zkladntext"/>
        <w:spacing w:line="240" w:lineRule="atLeast"/>
      </w:pPr>
      <w:r>
        <w:t>zapsaná v nadačním</w:t>
      </w:r>
      <w:r w:rsidR="00E87069">
        <w:t xml:space="preserve"> rejstříku vedeném </w:t>
      </w:r>
      <w:r>
        <w:t xml:space="preserve">u Městského soudu v Praze v oddílu N, vložka č. 521 </w:t>
      </w:r>
    </w:p>
    <w:p w:rsidR="00E87069" w:rsidRPr="00CF57D8" w:rsidRDefault="00E87069" w:rsidP="00CF57D8">
      <w:pPr>
        <w:pStyle w:val="Zkladntext"/>
        <w:spacing w:line="240" w:lineRule="atLeast"/>
        <w:rPr>
          <w:lang w:val="cs-CZ"/>
        </w:rPr>
      </w:pPr>
      <w:r>
        <w:t>bankovní spojení</w:t>
      </w:r>
      <w:r w:rsidR="00744658">
        <w:t xml:space="preserve">: </w:t>
      </w:r>
      <w:r w:rsidR="00CF57D8">
        <w:rPr>
          <w:lang w:val="cs-CZ"/>
        </w:rPr>
        <w:t>***</w:t>
      </w:r>
    </w:p>
    <w:p w:rsidR="00E87069" w:rsidRPr="00C9140D" w:rsidRDefault="005B28E3" w:rsidP="00E87069">
      <w:pPr>
        <w:pStyle w:val="Zkladntext"/>
        <w:spacing w:line="240" w:lineRule="atLeast"/>
        <w:rPr>
          <w:b/>
          <w:bCs/>
        </w:rPr>
      </w:pPr>
      <w:r>
        <w:t>zastoupená (na základě generální plné moci)</w:t>
      </w:r>
      <w:r w:rsidR="00744658">
        <w:t xml:space="preserve"> Lindou Jandovou, </w:t>
      </w:r>
      <w:r>
        <w:t>výkonnou ředitelkou,</w:t>
      </w:r>
    </w:p>
    <w:p w:rsidR="00E87069" w:rsidRDefault="00E87069" w:rsidP="00E87069">
      <w:pPr>
        <w:spacing w:after="120"/>
      </w:pPr>
      <w:r>
        <w:rPr>
          <w:b/>
          <w:bCs/>
        </w:rPr>
        <w:t xml:space="preserve">jako </w:t>
      </w:r>
      <w:r w:rsidR="00744658">
        <w:rPr>
          <w:b/>
          <w:bCs/>
        </w:rPr>
        <w:t>NF Kolečko</w:t>
      </w:r>
    </w:p>
    <w:p w:rsidR="00E87069" w:rsidRDefault="00E87069" w:rsidP="00E87069">
      <w:pPr>
        <w:spacing w:after="120"/>
        <w:rPr>
          <w:b/>
          <w:bCs/>
        </w:rPr>
      </w:pPr>
      <w:r>
        <w:t>a</w:t>
      </w:r>
    </w:p>
    <w:p w:rsidR="00E87069" w:rsidRDefault="00E87069" w:rsidP="00E87069">
      <w:pPr>
        <w:jc w:val="both"/>
      </w:pPr>
      <w:r>
        <w:rPr>
          <w:b/>
          <w:bCs/>
        </w:rPr>
        <w:t>Muzeum města Brna, příspěvková organizace</w:t>
      </w:r>
    </w:p>
    <w:p w:rsidR="00E87069" w:rsidRDefault="00E87069" w:rsidP="00E87069">
      <w:pPr>
        <w:jc w:val="both"/>
      </w:pPr>
      <w:r>
        <w:t xml:space="preserve">se sídlem: Špilberk </w:t>
      </w:r>
      <w:r w:rsidR="00095745">
        <w:t xml:space="preserve">210/1, 662 24 </w:t>
      </w:r>
      <w:r>
        <w:t>Brno</w:t>
      </w:r>
    </w:p>
    <w:p w:rsidR="00E87069" w:rsidRDefault="00E87069" w:rsidP="00E87069">
      <w:pPr>
        <w:jc w:val="both"/>
      </w:pPr>
      <w:r>
        <w:t>IČ: 00101427</w:t>
      </w:r>
    </w:p>
    <w:p w:rsidR="00E87069" w:rsidRDefault="00E87069" w:rsidP="00E87069">
      <w:pPr>
        <w:jc w:val="both"/>
      </w:pPr>
      <w:r>
        <w:t>DIČ: CZ00101427</w:t>
      </w:r>
    </w:p>
    <w:p w:rsidR="00E87069" w:rsidRDefault="00E87069" w:rsidP="00E87069">
      <w:pPr>
        <w:jc w:val="both"/>
      </w:pPr>
      <w:r>
        <w:t xml:space="preserve">zapsaná v obchodním rejstříku vedeném Krajským soudem v Brně odd. </w:t>
      </w:r>
      <w:proofErr w:type="spellStart"/>
      <w:r>
        <w:t>Pr</w:t>
      </w:r>
      <w:proofErr w:type="spellEnd"/>
      <w:r>
        <w:t xml:space="preserve">, vložka 34 </w:t>
      </w:r>
    </w:p>
    <w:p w:rsidR="00E87069" w:rsidRDefault="00E87069" w:rsidP="00E87069">
      <w:pPr>
        <w:jc w:val="both"/>
      </w:pPr>
      <w:r>
        <w:t xml:space="preserve">bankovní spojení: </w:t>
      </w:r>
      <w:r w:rsidR="00CF57D8">
        <w:t>***</w:t>
      </w:r>
    </w:p>
    <w:p w:rsidR="00E87069" w:rsidRDefault="00E87069" w:rsidP="00E87069">
      <w:pPr>
        <w:rPr>
          <w:b/>
          <w:bCs/>
        </w:rPr>
      </w:pPr>
      <w:r>
        <w:t xml:space="preserve">zastoupená: PhDr. Pavlem </w:t>
      </w:r>
      <w:proofErr w:type="spellStart"/>
      <w:r>
        <w:rPr>
          <w:iCs/>
        </w:rPr>
        <w:t>Ciprianem</w:t>
      </w:r>
      <w:proofErr w:type="spellEnd"/>
      <w:r>
        <w:t>, ředitelem</w:t>
      </w:r>
    </w:p>
    <w:p w:rsidR="00E87069" w:rsidRDefault="00E87069" w:rsidP="00E87069">
      <w:pPr>
        <w:spacing w:after="120"/>
        <w:rPr>
          <w:b/>
          <w:bCs/>
        </w:rPr>
      </w:pPr>
      <w:r>
        <w:rPr>
          <w:b/>
          <w:bCs/>
        </w:rPr>
        <w:t xml:space="preserve">jako </w:t>
      </w:r>
      <w:proofErr w:type="spellStart"/>
      <w:r>
        <w:rPr>
          <w:b/>
          <w:bCs/>
        </w:rPr>
        <w:t>MuMB</w:t>
      </w:r>
      <w:proofErr w:type="spellEnd"/>
    </w:p>
    <w:p w:rsidR="00E87069" w:rsidRDefault="00E87069" w:rsidP="00E87069">
      <w:pPr>
        <w:jc w:val="both"/>
        <w:rPr>
          <w:b/>
          <w:bCs/>
        </w:rPr>
      </w:pPr>
    </w:p>
    <w:p w:rsidR="00E87069" w:rsidRDefault="00E87069" w:rsidP="00E87069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E87069" w:rsidRDefault="00E87069" w:rsidP="00E87069">
      <w:pPr>
        <w:pStyle w:val="Nadpis1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smlouvy </w:t>
      </w:r>
    </w:p>
    <w:p w:rsidR="00E87069" w:rsidRPr="008D3B9D" w:rsidRDefault="00E87069" w:rsidP="00E87069">
      <w:pPr>
        <w:jc w:val="both"/>
        <w:rPr>
          <w:b/>
          <w:bCs/>
        </w:rPr>
      </w:pPr>
    </w:p>
    <w:p w:rsidR="00E87069" w:rsidRPr="008D3B9D" w:rsidRDefault="00E87069" w:rsidP="00E87069">
      <w:pPr>
        <w:spacing w:after="120"/>
        <w:jc w:val="both"/>
        <w:rPr>
          <w:spacing w:val="-2"/>
        </w:rPr>
      </w:pPr>
      <w:r w:rsidRPr="008D3B9D">
        <w:rPr>
          <w:spacing w:val="-2"/>
        </w:rPr>
        <w:t>Předmětem této smlouvy je sjednání podmínek</w:t>
      </w:r>
      <w:r w:rsidRPr="008D3B9D">
        <w:rPr>
          <w:spacing w:val="-2"/>
        </w:rPr>
        <w:tab/>
        <w:t xml:space="preserve">spolupráce smluvních stran na přípravě, organizačním zajištění a realizaci </w:t>
      </w:r>
      <w:r w:rsidR="004A5ADB" w:rsidRPr="008D3B9D">
        <w:rPr>
          <w:spacing w:val="-2"/>
        </w:rPr>
        <w:t>benefičn</w:t>
      </w:r>
      <w:r w:rsidRPr="008D3B9D">
        <w:rPr>
          <w:spacing w:val="-2"/>
        </w:rPr>
        <w:t xml:space="preserve">í akce </w:t>
      </w:r>
      <w:r w:rsidRPr="00C9140D">
        <w:rPr>
          <w:spacing w:val="-2"/>
        </w:rPr>
        <w:t>„</w:t>
      </w:r>
      <w:r w:rsidR="00167EBC">
        <w:rPr>
          <w:b/>
          <w:spacing w:val="-2"/>
        </w:rPr>
        <w:t xml:space="preserve">Miro </w:t>
      </w:r>
      <w:proofErr w:type="spellStart"/>
      <w:r w:rsidR="00167EBC">
        <w:rPr>
          <w:b/>
          <w:spacing w:val="-2"/>
        </w:rPr>
        <w:t>Žbirka</w:t>
      </w:r>
      <w:proofErr w:type="spellEnd"/>
      <w:r w:rsidR="006C1B5C" w:rsidRPr="00C9140D">
        <w:rPr>
          <w:b/>
          <w:spacing w:val="-2"/>
        </w:rPr>
        <w:t xml:space="preserve"> </w:t>
      </w:r>
      <w:r w:rsidR="00C51778" w:rsidRPr="00C9140D">
        <w:rPr>
          <w:b/>
          <w:spacing w:val="-2"/>
        </w:rPr>
        <w:t xml:space="preserve">pro Kolečko </w:t>
      </w:r>
      <w:r w:rsidR="006C1B5C" w:rsidRPr="00C9140D">
        <w:rPr>
          <w:b/>
          <w:spacing w:val="-2"/>
        </w:rPr>
        <w:t>ve vile Tugendhat</w:t>
      </w:r>
      <w:r w:rsidR="00252483" w:rsidRPr="00C9140D">
        <w:rPr>
          <w:spacing w:val="-2"/>
        </w:rPr>
        <w:t>“</w:t>
      </w:r>
      <w:r w:rsidR="00D76A48" w:rsidRPr="00C9140D">
        <w:rPr>
          <w:spacing w:val="-2"/>
        </w:rPr>
        <w:t>,</w:t>
      </w:r>
      <w:r w:rsidR="00D76A48">
        <w:rPr>
          <w:spacing w:val="-2"/>
        </w:rPr>
        <w:t xml:space="preserve"> která se uskuteční </w:t>
      </w:r>
      <w:r w:rsidR="00167EBC">
        <w:rPr>
          <w:spacing w:val="-2"/>
        </w:rPr>
        <w:t>dne 3. června 2019</w:t>
      </w:r>
      <w:r w:rsidR="00056AF7">
        <w:rPr>
          <w:spacing w:val="-2"/>
        </w:rPr>
        <w:t xml:space="preserve"> v areálu NKP</w:t>
      </w:r>
      <w:r w:rsidR="0083622E">
        <w:rPr>
          <w:spacing w:val="-2"/>
        </w:rPr>
        <w:t xml:space="preserve"> </w:t>
      </w:r>
      <w:proofErr w:type="spellStart"/>
      <w:r w:rsidR="00744658" w:rsidRPr="008D3B9D">
        <w:rPr>
          <w:spacing w:val="-2"/>
        </w:rPr>
        <w:t>Villa</w:t>
      </w:r>
      <w:proofErr w:type="spellEnd"/>
      <w:r w:rsidR="00744658" w:rsidRPr="008D3B9D">
        <w:rPr>
          <w:spacing w:val="-2"/>
        </w:rPr>
        <w:t xml:space="preserve"> Tugendhat, Černopolní 45, 613 00 Brno </w:t>
      </w:r>
      <w:r w:rsidR="004A5ADB" w:rsidRPr="008D3B9D">
        <w:rPr>
          <w:spacing w:val="-2"/>
        </w:rPr>
        <w:t xml:space="preserve">(dále jen „akce“) </w:t>
      </w:r>
    </w:p>
    <w:p w:rsidR="00E87069" w:rsidRDefault="00E87069" w:rsidP="00E87069">
      <w:pPr>
        <w:jc w:val="center"/>
        <w:rPr>
          <w:b/>
          <w:bCs/>
        </w:rPr>
      </w:pPr>
    </w:p>
    <w:p w:rsidR="00E87069" w:rsidRDefault="00E87069" w:rsidP="00E87069">
      <w:pPr>
        <w:jc w:val="center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Závazky smluvních stran</w:t>
      </w:r>
    </w:p>
    <w:p w:rsidR="00E87069" w:rsidRDefault="00E87069" w:rsidP="00E87069">
      <w:pPr>
        <w:jc w:val="center"/>
        <w:rPr>
          <w:b/>
          <w:bCs/>
        </w:rPr>
      </w:pPr>
    </w:p>
    <w:p w:rsidR="00E87069" w:rsidRDefault="00D61F5C" w:rsidP="00E87069">
      <w:pPr>
        <w:numPr>
          <w:ilvl w:val="0"/>
          <w:numId w:val="5"/>
        </w:numPr>
        <w:spacing w:after="120"/>
        <w:jc w:val="both"/>
        <w:rPr>
          <w:bCs/>
        </w:rPr>
      </w:pPr>
      <w:r w:rsidRPr="00D61F5C">
        <w:rPr>
          <w:b/>
          <w:bCs/>
          <w:u w:val="single"/>
        </w:rPr>
        <w:t>NF Kolečko</w:t>
      </w:r>
      <w:r w:rsidR="00E87069">
        <w:rPr>
          <w:b/>
          <w:bCs/>
          <w:u w:val="single"/>
        </w:rPr>
        <w:t xml:space="preserve"> se k dosažení předmětu a účelu této smlouvy zavazuje zajistit:</w:t>
      </w:r>
    </w:p>
    <w:p w:rsidR="00E87069" w:rsidRDefault="00E87069" w:rsidP="00E87069">
      <w:pPr>
        <w:numPr>
          <w:ilvl w:val="0"/>
          <w:numId w:val="2"/>
        </w:numPr>
        <w:spacing w:after="120"/>
        <w:jc w:val="both"/>
        <w:rPr>
          <w:bCs/>
        </w:rPr>
      </w:pPr>
      <w:r>
        <w:rPr>
          <w:bCs/>
        </w:rPr>
        <w:t>program akce a účinkující,</w:t>
      </w:r>
    </w:p>
    <w:p w:rsidR="00E87069" w:rsidRDefault="00E87069" w:rsidP="00E87069">
      <w:pPr>
        <w:numPr>
          <w:ilvl w:val="0"/>
          <w:numId w:val="2"/>
        </w:numPr>
        <w:spacing w:after="120"/>
        <w:jc w:val="both"/>
        <w:rPr>
          <w:rStyle w:val="FontStyle18"/>
        </w:rPr>
      </w:pPr>
      <w:r>
        <w:rPr>
          <w:bCs/>
        </w:rPr>
        <w:t xml:space="preserve">technické náležitosti (ozvučení, osvětlení apod.), </w:t>
      </w:r>
    </w:p>
    <w:p w:rsidR="00E87069" w:rsidRDefault="00E87069" w:rsidP="00E87069">
      <w:pPr>
        <w:numPr>
          <w:ilvl w:val="0"/>
          <w:numId w:val="2"/>
        </w:numPr>
        <w:spacing w:after="120"/>
        <w:jc w:val="both"/>
        <w:rPr>
          <w:bCs/>
        </w:rPr>
      </w:pPr>
      <w:r>
        <w:rPr>
          <w:rStyle w:val="FontStyle18"/>
        </w:rPr>
        <w:t>náležitosti právního charakteru (OSA, DILIA, ohlašovací povinnost atd.),</w:t>
      </w:r>
    </w:p>
    <w:p w:rsidR="00E87069" w:rsidRDefault="00E87069" w:rsidP="00E87069">
      <w:pPr>
        <w:numPr>
          <w:ilvl w:val="0"/>
          <w:numId w:val="2"/>
        </w:numPr>
        <w:spacing w:after="120"/>
        <w:jc w:val="both"/>
        <w:rPr>
          <w:bCs/>
        </w:rPr>
      </w:pPr>
      <w:r>
        <w:rPr>
          <w:bCs/>
        </w:rPr>
        <w:t>propagaci a medializaci akce</w:t>
      </w:r>
      <w:r w:rsidR="004A5ADB">
        <w:rPr>
          <w:bCs/>
        </w:rPr>
        <w:t xml:space="preserve"> v šíři praxe obvyklé při obdobných aktivitách</w:t>
      </w:r>
      <w:r>
        <w:rPr>
          <w:bCs/>
        </w:rPr>
        <w:t>,</w:t>
      </w:r>
    </w:p>
    <w:p w:rsidR="00A5321D" w:rsidRDefault="00A5321D" w:rsidP="00E87069">
      <w:pPr>
        <w:numPr>
          <w:ilvl w:val="0"/>
          <w:numId w:val="2"/>
        </w:numPr>
        <w:spacing w:after="120"/>
        <w:jc w:val="both"/>
        <w:rPr>
          <w:bCs/>
        </w:rPr>
      </w:pPr>
      <w:r>
        <w:rPr>
          <w:bCs/>
        </w:rPr>
        <w:t>uvádět na všech propagačních a tiskových materiálech Muzeum města Brna a vilu Tugendhat jako partnery akce,</w:t>
      </w:r>
    </w:p>
    <w:p w:rsidR="00E87069" w:rsidRPr="008D3B9D" w:rsidRDefault="00E87069" w:rsidP="00E87069">
      <w:pPr>
        <w:numPr>
          <w:ilvl w:val="0"/>
          <w:numId w:val="2"/>
        </w:numPr>
        <w:spacing w:after="120"/>
        <w:jc w:val="both"/>
        <w:rPr>
          <w:bCs/>
        </w:rPr>
      </w:pPr>
      <w:r w:rsidRPr="008D3B9D">
        <w:rPr>
          <w:bCs/>
        </w:rPr>
        <w:t>pořadatelskou službu,</w:t>
      </w:r>
    </w:p>
    <w:p w:rsidR="00E87069" w:rsidRPr="008D3B9D" w:rsidRDefault="00E87069" w:rsidP="00E87069">
      <w:pPr>
        <w:numPr>
          <w:ilvl w:val="0"/>
          <w:numId w:val="2"/>
        </w:numPr>
        <w:spacing w:after="120"/>
        <w:jc w:val="both"/>
        <w:rPr>
          <w:bCs/>
        </w:rPr>
      </w:pPr>
      <w:r w:rsidRPr="008D3B9D">
        <w:rPr>
          <w:bCs/>
        </w:rPr>
        <w:t>občerstvení pro účastníky akce,</w:t>
      </w:r>
    </w:p>
    <w:p w:rsidR="00E87069" w:rsidRPr="008D3B9D" w:rsidRDefault="00E87069" w:rsidP="00E87069">
      <w:pPr>
        <w:numPr>
          <w:ilvl w:val="0"/>
          <w:numId w:val="2"/>
        </w:numPr>
        <w:spacing w:after="120"/>
        <w:jc w:val="both"/>
        <w:rPr>
          <w:bCs/>
        </w:rPr>
      </w:pPr>
      <w:r w:rsidRPr="008D3B9D">
        <w:rPr>
          <w:bCs/>
        </w:rPr>
        <w:t>úklid akcí dotčených prostor po skončení akce.</w:t>
      </w:r>
    </w:p>
    <w:p w:rsidR="00E87069" w:rsidRPr="00FC4A6C" w:rsidRDefault="00E87069" w:rsidP="00056AF7">
      <w:pPr>
        <w:jc w:val="both"/>
        <w:rPr>
          <w:bCs/>
        </w:rPr>
      </w:pPr>
    </w:p>
    <w:p w:rsidR="00E87069" w:rsidRDefault="00E87069" w:rsidP="00E87069">
      <w:pPr>
        <w:numPr>
          <w:ilvl w:val="0"/>
          <w:numId w:val="5"/>
        </w:numPr>
        <w:spacing w:after="120"/>
        <w:jc w:val="both"/>
        <w:rPr>
          <w:bCs/>
        </w:rPr>
      </w:pPr>
      <w:proofErr w:type="spellStart"/>
      <w:r>
        <w:rPr>
          <w:b/>
          <w:bCs/>
          <w:u w:val="single"/>
        </w:rPr>
        <w:t>MuMB</w:t>
      </w:r>
      <w:proofErr w:type="spellEnd"/>
      <w:r>
        <w:rPr>
          <w:b/>
          <w:bCs/>
          <w:u w:val="single"/>
        </w:rPr>
        <w:t xml:space="preserve"> se k dosažení předmětu a účelu této smlouvy zavazuje:</w:t>
      </w:r>
    </w:p>
    <w:p w:rsidR="004A5ADB" w:rsidRPr="004A5ADB" w:rsidRDefault="004A5ADB" w:rsidP="00E87069">
      <w:pPr>
        <w:numPr>
          <w:ilvl w:val="0"/>
          <w:numId w:val="3"/>
        </w:numPr>
        <w:spacing w:after="120"/>
        <w:jc w:val="both"/>
        <w:rPr>
          <w:bCs/>
        </w:rPr>
      </w:pPr>
      <w:r w:rsidRPr="004A5ADB">
        <w:rPr>
          <w:bCs/>
        </w:rPr>
        <w:t xml:space="preserve">poskytnout prostory objektu </w:t>
      </w:r>
      <w:proofErr w:type="spellStart"/>
      <w:r w:rsidRPr="004A5ADB">
        <w:rPr>
          <w:bCs/>
        </w:rPr>
        <w:t>Villa</w:t>
      </w:r>
      <w:proofErr w:type="spellEnd"/>
      <w:r w:rsidRPr="004A5ADB">
        <w:rPr>
          <w:bCs/>
        </w:rPr>
        <w:t xml:space="preserve"> Tugendhat</w:t>
      </w:r>
      <w:r w:rsidR="00A5321D">
        <w:rPr>
          <w:bCs/>
        </w:rPr>
        <w:t xml:space="preserve"> (I. II, III. nadzemní podlaží)</w:t>
      </w:r>
      <w:r w:rsidRPr="004A5ADB">
        <w:rPr>
          <w:bCs/>
        </w:rPr>
        <w:t xml:space="preserve"> s přilehlým zázemím (zahrada)</w:t>
      </w:r>
      <w:r w:rsidR="00056AF7">
        <w:rPr>
          <w:bCs/>
        </w:rPr>
        <w:t>.</w:t>
      </w:r>
      <w:r w:rsidRPr="004A5ADB">
        <w:rPr>
          <w:bCs/>
        </w:rPr>
        <w:t xml:space="preserve"> </w:t>
      </w:r>
    </w:p>
    <w:p w:rsidR="00E87069" w:rsidRDefault="00E87069" w:rsidP="00E87069">
      <w:pPr>
        <w:numPr>
          <w:ilvl w:val="0"/>
          <w:numId w:val="3"/>
        </w:numPr>
        <w:spacing w:after="120"/>
        <w:jc w:val="both"/>
        <w:rPr>
          <w:bCs/>
        </w:rPr>
      </w:pPr>
      <w:r w:rsidRPr="004A5ADB">
        <w:rPr>
          <w:bCs/>
        </w:rPr>
        <w:t>zajistit svým personálem nezbytnou technickou součinnost při realizaci akce,</w:t>
      </w:r>
    </w:p>
    <w:p w:rsidR="004A5ADB" w:rsidRPr="004A5ADB" w:rsidRDefault="00A5321D" w:rsidP="00E87069">
      <w:pPr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>zajistit prodej vstupenek na akci</w:t>
      </w:r>
      <w:r w:rsidR="004A5ADB">
        <w:rPr>
          <w:bCs/>
        </w:rPr>
        <w:t>,</w:t>
      </w:r>
    </w:p>
    <w:p w:rsidR="00E87069" w:rsidRPr="00A5321D" w:rsidRDefault="00E87069" w:rsidP="00E87069">
      <w:pPr>
        <w:numPr>
          <w:ilvl w:val="0"/>
          <w:numId w:val="3"/>
        </w:numPr>
        <w:spacing w:after="120"/>
        <w:jc w:val="both"/>
        <w:rPr>
          <w:bCs/>
          <w:shd w:val="clear" w:color="auto" w:fill="FFFF00"/>
        </w:rPr>
      </w:pPr>
      <w:r>
        <w:rPr>
          <w:bCs/>
        </w:rPr>
        <w:t xml:space="preserve">zajistit dle možností </w:t>
      </w:r>
      <w:proofErr w:type="spellStart"/>
      <w:r>
        <w:rPr>
          <w:bCs/>
        </w:rPr>
        <w:t>MuMB</w:t>
      </w:r>
      <w:proofErr w:type="spellEnd"/>
      <w:r>
        <w:rPr>
          <w:bCs/>
        </w:rPr>
        <w:t xml:space="preserve"> propagaci a medializaci akce v rámci a šíři praxe o</w:t>
      </w:r>
      <w:r w:rsidR="004A5ADB">
        <w:rPr>
          <w:bCs/>
        </w:rPr>
        <w:t>bvyklé při obdobných aktivitách.</w:t>
      </w:r>
    </w:p>
    <w:p w:rsidR="00A5321D" w:rsidRPr="00D378CF" w:rsidRDefault="00167EBC" w:rsidP="00E87069">
      <w:pPr>
        <w:numPr>
          <w:ilvl w:val="0"/>
          <w:numId w:val="3"/>
        </w:numPr>
        <w:spacing w:after="120"/>
        <w:jc w:val="both"/>
        <w:rPr>
          <w:bCs/>
          <w:shd w:val="clear" w:color="auto" w:fill="FFFF00"/>
        </w:rPr>
      </w:pPr>
      <w:r>
        <w:rPr>
          <w:bCs/>
        </w:rPr>
        <w:t>do 17. 6. 2019</w:t>
      </w:r>
      <w:r w:rsidR="00A5321D" w:rsidRPr="00C9140D">
        <w:rPr>
          <w:bCs/>
        </w:rPr>
        <w:t xml:space="preserve"> zaslat na adresu </w:t>
      </w:r>
      <w:r w:rsidR="00A5321D" w:rsidRPr="00D018AE">
        <w:rPr>
          <w:bCs/>
        </w:rPr>
        <w:t>linda@kolecko.cz</w:t>
      </w:r>
      <w:r w:rsidR="00A5321D" w:rsidRPr="00C9140D">
        <w:rPr>
          <w:bCs/>
        </w:rPr>
        <w:t xml:space="preserve"> vyúčtování prodeje vstupenek a celý výnos z prodeje vstupenek převést na sbírkový účet </w:t>
      </w:r>
      <w:r w:rsidR="00C9140D" w:rsidRPr="00C9140D">
        <w:rPr>
          <w:bCs/>
        </w:rPr>
        <w:t>č. 260626069/5500.</w:t>
      </w:r>
    </w:p>
    <w:p w:rsidR="00D378CF" w:rsidRPr="00C9140D" w:rsidRDefault="00D378CF" w:rsidP="00D378CF">
      <w:pPr>
        <w:spacing w:after="120"/>
        <w:ind w:left="360"/>
        <w:jc w:val="both"/>
        <w:rPr>
          <w:bCs/>
          <w:shd w:val="clear" w:color="auto" w:fill="FFFF00"/>
        </w:rPr>
      </w:pPr>
    </w:p>
    <w:p w:rsidR="00023093" w:rsidRPr="00023093" w:rsidRDefault="00023093" w:rsidP="00023093">
      <w:pPr>
        <w:pStyle w:val="Nadpis4"/>
        <w:ind w:left="432" w:hanging="432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023093">
        <w:rPr>
          <w:rFonts w:ascii="Times New Roman" w:hAnsi="Times New Roman" w:cs="Times New Roman"/>
          <w:i w:val="0"/>
          <w:iCs w:val="0"/>
          <w:color w:val="auto"/>
        </w:rPr>
        <w:t>IV.</w:t>
      </w:r>
    </w:p>
    <w:p w:rsidR="00023093" w:rsidRDefault="00023093" w:rsidP="00023093">
      <w:pPr>
        <w:jc w:val="center"/>
        <w:rPr>
          <w:b/>
        </w:rPr>
      </w:pPr>
      <w:r w:rsidRPr="00023093">
        <w:rPr>
          <w:b/>
        </w:rPr>
        <w:t>Cena a platební podmínky</w:t>
      </w:r>
    </w:p>
    <w:p w:rsidR="00023093" w:rsidRDefault="00023093" w:rsidP="00023093">
      <w:pPr>
        <w:jc w:val="center"/>
        <w:rPr>
          <w:b/>
        </w:rPr>
      </w:pPr>
    </w:p>
    <w:p w:rsidR="00541DC8" w:rsidRDefault="00541DC8" w:rsidP="00541DC8"/>
    <w:p w:rsidR="00541DC8" w:rsidRPr="00252483" w:rsidRDefault="00541DC8" w:rsidP="00056AF7">
      <w:pPr>
        <w:pStyle w:val="Odstavecseseznamem"/>
        <w:numPr>
          <w:ilvl w:val="0"/>
          <w:numId w:val="8"/>
        </w:numPr>
        <w:ind w:left="360"/>
        <w:jc w:val="both"/>
      </w:pPr>
      <w:proofErr w:type="spellStart"/>
      <w:r w:rsidRPr="00252483">
        <w:t>MuMB</w:t>
      </w:r>
      <w:proofErr w:type="spellEnd"/>
      <w:r w:rsidRPr="00252483">
        <w:t xml:space="preserve"> a NF Kolečko se dohodly, že celkové příjmy z benefiční akce</w:t>
      </w:r>
      <w:r w:rsidRPr="00252483">
        <w:rPr>
          <w:iCs/>
        </w:rPr>
        <w:t>, budou rozděleny</w:t>
      </w:r>
      <w:r w:rsidR="0083622E" w:rsidRPr="00252483">
        <w:rPr>
          <w:iCs/>
        </w:rPr>
        <w:t xml:space="preserve"> následující</w:t>
      </w:r>
      <w:r w:rsidR="00056AF7">
        <w:rPr>
          <w:iCs/>
        </w:rPr>
        <w:t>m způsobem: NF Kolečko obdrží</w:t>
      </w:r>
      <w:r w:rsidRPr="00252483">
        <w:rPr>
          <w:iCs/>
        </w:rPr>
        <w:t xml:space="preserve"> celkové příj</w:t>
      </w:r>
      <w:r w:rsidR="00056AF7">
        <w:rPr>
          <w:iCs/>
        </w:rPr>
        <w:t>my z benefiční akce</w:t>
      </w:r>
      <w:r w:rsidRPr="00252483">
        <w:rPr>
          <w:iCs/>
        </w:rPr>
        <w:t xml:space="preserve"> do 10 pracovních dnů po akci</w:t>
      </w:r>
      <w:r w:rsidR="00C9140D">
        <w:rPr>
          <w:iCs/>
        </w:rPr>
        <w:t>.</w:t>
      </w:r>
    </w:p>
    <w:p w:rsidR="00541DC8" w:rsidRPr="00C9140D" w:rsidRDefault="00541DC8" w:rsidP="00056AF7">
      <w:pPr>
        <w:pStyle w:val="Odstavecseseznamem"/>
        <w:numPr>
          <w:ilvl w:val="0"/>
          <w:numId w:val="8"/>
        </w:numPr>
        <w:ind w:left="360"/>
        <w:jc w:val="both"/>
      </w:pPr>
      <w:proofErr w:type="spellStart"/>
      <w:r w:rsidRPr="00C9140D">
        <w:t>MuMB</w:t>
      </w:r>
      <w:proofErr w:type="spellEnd"/>
      <w:r w:rsidRPr="00C9140D">
        <w:t xml:space="preserve"> dol</w:t>
      </w:r>
      <w:r w:rsidR="00056AF7" w:rsidRPr="00C9140D">
        <w:t>oží vyúčtování</w:t>
      </w:r>
      <w:r w:rsidR="001E324E">
        <w:t xml:space="preserve"> nákladů</w:t>
      </w:r>
      <w:r w:rsidR="00056AF7" w:rsidRPr="00C9140D">
        <w:t>, na jehož základě</w:t>
      </w:r>
      <w:r w:rsidRPr="00C9140D">
        <w:t xml:space="preserve"> vystaví NF Kolečko fakt</w:t>
      </w:r>
      <w:r w:rsidR="00056AF7" w:rsidRPr="00C9140D">
        <w:t>uru s</w:t>
      </w:r>
      <w:r w:rsidR="00BC1DCF">
        <w:t> datem vystavení 24. 6. 2019</w:t>
      </w:r>
      <w:r w:rsidRPr="00C9140D">
        <w:t>.</w:t>
      </w:r>
      <w:r w:rsidR="00C9140D" w:rsidRPr="00C9140D">
        <w:t xml:space="preserve"> NF Kolečko fakturu proplatí z běžného účtu</w:t>
      </w:r>
      <w:r w:rsidR="001E324E">
        <w:t xml:space="preserve">: </w:t>
      </w:r>
      <w:r w:rsidR="00CF57D8">
        <w:t>***</w:t>
      </w:r>
      <w:bookmarkStart w:id="0" w:name="_GoBack"/>
      <w:bookmarkEnd w:id="0"/>
    </w:p>
    <w:p w:rsidR="00541DC8" w:rsidRPr="00252483" w:rsidRDefault="00541DC8" w:rsidP="00252483"/>
    <w:p w:rsidR="00023093" w:rsidRPr="00023093" w:rsidRDefault="00023093" w:rsidP="00E87069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E87069" w:rsidRDefault="00E87069" w:rsidP="00E87069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E87069" w:rsidRDefault="00E87069" w:rsidP="00E87069">
      <w:pPr>
        <w:pStyle w:val="Nadpis1"/>
      </w:pPr>
      <w:r>
        <w:rPr>
          <w:rFonts w:ascii="Times New Roman" w:hAnsi="Times New Roman" w:cs="Times New Roman"/>
          <w:sz w:val="24"/>
          <w:szCs w:val="24"/>
        </w:rPr>
        <w:t>Další ujednání</w:t>
      </w:r>
    </w:p>
    <w:p w:rsidR="00E87069" w:rsidRDefault="00E87069" w:rsidP="00E87069"/>
    <w:p w:rsidR="00E87069" w:rsidRPr="00023093" w:rsidRDefault="00E87069" w:rsidP="00E87069">
      <w:pPr>
        <w:numPr>
          <w:ilvl w:val="0"/>
          <w:numId w:val="4"/>
        </w:numPr>
        <w:tabs>
          <w:tab w:val="left" w:pos="993"/>
        </w:tabs>
        <w:autoSpaceDE w:val="0"/>
        <w:spacing w:after="120"/>
        <w:jc w:val="both"/>
      </w:pPr>
      <w:r w:rsidRPr="004A5ADB">
        <w:rPr>
          <w:bCs/>
        </w:rPr>
        <w:t xml:space="preserve">Akce proběhne </w:t>
      </w:r>
      <w:r w:rsidR="00BC1DCF">
        <w:rPr>
          <w:bCs/>
        </w:rPr>
        <w:t>dne 3</w:t>
      </w:r>
      <w:r w:rsidR="00C9140D">
        <w:rPr>
          <w:bCs/>
        </w:rPr>
        <w:t>.</w:t>
      </w:r>
      <w:r w:rsidR="00CA4BF6">
        <w:rPr>
          <w:bCs/>
        </w:rPr>
        <w:t xml:space="preserve"> </w:t>
      </w:r>
      <w:r w:rsidR="00C9140D">
        <w:rPr>
          <w:bCs/>
        </w:rPr>
        <w:t>6.</w:t>
      </w:r>
      <w:r w:rsidR="00CA4BF6">
        <w:rPr>
          <w:bCs/>
        </w:rPr>
        <w:t xml:space="preserve"> </w:t>
      </w:r>
      <w:r w:rsidR="00BC1DCF">
        <w:rPr>
          <w:bCs/>
        </w:rPr>
        <w:t>2019</w:t>
      </w:r>
      <w:r w:rsidR="00C9140D">
        <w:rPr>
          <w:bCs/>
        </w:rPr>
        <w:t xml:space="preserve"> </w:t>
      </w:r>
      <w:r w:rsidRPr="004A5ADB">
        <w:rPr>
          <w:bCs/>
        </w:rPr>
        <w:t>dle následujícího harmonogramu:</w:t>
      </w:r>
    </w:p>
    <w:p w:rsidR="00C9140D" w:rsidRPr="00C9140D" w:rsidRDefault="00C9140D" w:rsidP="00023093">
      <w:pPr>
        <w:pStyle w:val="Bezmezer"/>
        <w:ind w:left="708"/>
      </w:pPr>
      <w:r w:rsidRPr="00C9140D">
        <w:t xml:space="preserve">15:00 – 17:00 příprava prostor, příjezd </w:t>
      </w:r>
      <w:r w:rsidR="00BC1DCF">
        <w:t xml:space="preserve">Mira </w:t>
      </w:r>
      <w:proofErr w:type="spellStart"/>
      <w:r w:rsidR="00BC1DCF">
        <w:t>Žbirky</w:t>
      </w:r>
      <w:proofErr w:type="spellEnd"/>
      <w:r w:rsidRPr="00C9140D">
        <w:t>, technická příprava</w:t>
      </w:r>
    </w:p>
    <w:p w:rsidR="00DF683E" w:rsidRDefault="00DF683E" w:rsidP="00023093">
      <w:pPr>
        <w:pStyle w:val="Bezmezer"/>
        <w:ind w:left="708"/>
      </w:pPr>
      <w:r>
        <w:t>17:00 – 19</w:t>
      </w:r>
      <w:r w:rsidR="00023093">
        <w:t xml:space="preserve">:00 </w:t>
      </w:r>
      <w:r w:rsidR="00C9140D">
        <w:t>zvuková zkouška</w:t>
      </w:r>
      <w:r>
        <w:t xml:space="preserve"> </w:t>
      </w:r>
    </w:p>
    <w:p w:rsidR="00023093" w:rsidRDefault="00023093" w:rsidP="00023093">
      <w:pPr>
        <w:pStyle w:val="Bezmezer"/>
        <w:ind w:left="708"/>
      </w:pPr>
      <w:r>
        <w:t xml:space="preserve">20:00 – 22:00 </w:t>
      </w:r>
      <w:r w:rsidR="00DF683E">
        <w:t>akce</w:t>
      </w:r>
    </w:p>
    <w:p w:rsidR="00DF683E" w:rsidRDefault="00DF683E" w:rsidP="00023093">
      <w:pPr>
        <w:pStyle w:val="Bezmezer"/>
        <w:ind w:left="708"/>
      </w:pPr>
      <w:r>
        <w:t>22:00 – 23:00 úklid a odvoz</w:t>
      </w:r>
    </w:p>
    <w:p w:rsidR="00023093" w:rsidRDefault="00023093" w:rsidP="00DD4818">
      <w:pPr>
        <w:tabs>
          <w:tab w:val="left" w:pos="993"/>
        </w:tabs>
        <w:autoSpaceDE w:val="0"/>
        <w:spacing w:after="120"/>
        <w:ind w:left="708"/>
        <w:jc w:val="both"/>
      </w:pPr>
    </w:p>
    <w:p w:rsidR="00E87069" w:rsidRDefault="00023093" w:rsidP="00DD4818">
      <w:pPr>
        <w:numPr>
          <w:ilvl w:val="0"/>
          <w:numId w:val="4"/>
        </w:numPr>
        <w:spacing w:after="120"/>
        <w:jc w:val="both"/>
        <w:rPr>
          <w:bCs/>
          <w:spacing w:val="-4"/>
        </w:rPr>
      </w:pPr>
      <w:r>
        <w:t xml:space="preserve"> </w:t>
      </w:r>
      <w:proofErr w:type="spellStart"/>
      <w:r w:rsidR="00E87069">
        <w:rPr>
          <w:bCs/>
          <w:spacing w:val="-4"/>
        </w:rPr>
        <w:t>MuMB</w:t>
      </w:r>
      <w:proofErr w:type="spellEnd"/>
      <w:r w:rsidR="00E87069">
        <w:rPr>
          <w:bCs/>
          <w:spacing w:val="-4"/>
        </w:rPr>
        <w:t xml:space="preserve"> umožní přípravu a r</w:t>
      </w:r>
      <w:r w:rsidR="00541DC8">
        <w:rPr>
          <w:bCs/>
          <w:spacing w:val="-4"/>
        </w:rPr>
        <w:t xml:space="preserve">ealizaci akce za podmínky, že </w:t>
      </w:r>
      <w:r w:rsidR="00E87069">
        <w:rPr>
          <w:bCs/>
          <w:spacing w:val="-4"/>
        </w:rPr>
        <w:t xml:space="preserve">nebude omezen běžný návštěvnický provoz. </w:t>
      </w:r>
      <w:r w:rsidR="004A5ADB">
        <w:rPr>
          <w:bCs/>
          <w:spacing w:val="-4"/>
        </w:rPr>
        <w:t xml:space="preserve">NF Kolečko </w:t>
      </w:r>
      <w:r w:rsidR="00E87069">
        <w:rPr>
          <w:bCs/>
          <w:spacing w:val="-4"/>
        </w:rPr>
        <w:t xml:space="preserve">připravující a realizující akci nesmí svým jednáním návštěvnický provoz narušovat a musí dbát pokynů pověřených pracovníků </w:t>
      </w:r>
      <w:proofErr w:type="spellStart"/>
      <w:r w:rsidR="00E87069">
        <w:rPr>
          <w:bCs/>
          <w:spacing w:val="-4"/>
        </w:rPr>
        <w:t>MuMB</w:t>
      </w:r>
      <w:proofErr w:type="spellEnd"/>
      <w:r w:rsidR="00E87069">
        <w:rPr>
          <w:bCs/>
          <w:spacing w:val="-4"/>
        </w:rPr>
        <w:t>.</w:t>
      </w:r>
    </w:p>
    <w:p w:rsidR="00E87069" w:rsidRDefault="004A5ADB" w:rsidP="00DD4818">
      <w:pPr>
        <w:numPr>
          <w:ilvl w:val="0"/>
          <w:numId w:val="4"/>
        </w:numPr>
        <w:spacing w:after="120"/>
        <w:jc w:val="both"/>
        <w:rPr>
          <w:bCs/>
          <w:spacing w:val="-4"/>
        </w:rPr>
      </w:pPr>
      <w:r>
        <w:rPr>
          <w:bCs/>
          <w:spacing w:val="-4"/>
        </w:rPr>
        <w:t>NF Kolečko</w:t>
      </w:r>
      <w:r w:rsidR="00E87069">
        <w:rPr>
          <w:bCs/>
          <w:spacing w:val="-4"/>
        </w:rPr>
        <w:t xml:space="preserve"> se zavazuje bez zbytečného odkladu oznámit </w:t>
      </w:r>
      <w:proofErr w:type="spellStart"/>
      <w:r w:rsidR="00E87069">
        <w:rPr>
          <w:bCs/>
          <w:spacing w:val="-4"/>
        </w:rPr>
        <w:t>MuMB</w:t>
      </w:r>
      <w:proofErr w:type="spellEnd"/>
      <w:r w:rsidR="00E87069">
        <w:rPr>
          <w:bCs/>
          <w:spacing w:val="-4"/>
        </w:rPr>
        <w:t xml:space="preserve"> všechny skutečnosti, které by jako správce majetku měl znát, zejména škody na majetku, poruchy, eventuálně další události. </w:t>
      </w:r>
      <w:r>
        <w:rPr>
          <w:bCs/>
          <w:spacing w:val="-4"/>
        </w:rPr>
        <w:t>NF Kolečko</w:t>
      </w:r>
      <w:r w:rsidR="00E87069">
        <w:rPr>
          <w:bCs/>
          <w:spacing w:val="-4"/>
        </w:rPr>
        <w:t xml:space="preserve"> odpovídá za odcizení, zničení a jakékoli jiné znehodnocení věcí, nalézajících se</w:t>
      </w:r>
      <w:r>
        <w:rPr>
          <w:bCs/>
          <w:spacing w:val="-4"/>
        </w:rPr>
        <w:t xml:space="preserve"> v užívaném prostoru. NF Kolečko u</w:t>
      </w:r>
      <w:r w:rsidR="00E87069">
        <w:rPr>
          <w:bCs/>
          <w:spacing w:val="-4"/>
        </w:rPr>
        <w:t>hradí případné škody vzniklé při realizaci akce.</w:t>
      </w:r>
    </w:p>
    <w:p w:rsidR="00E87069" w:rsidRDefault="004A5ADB" w:rsidP="00DD4818">
      <w:pPr>
        <w:numPr>
          <w:ilvl w:val="0"/>
          <w:numId w:val="4"/>
        </w:numPr>
        <w:spacing w:after="120"/>
        <w:jc w:val="both"/>
      </w:pPr>
      <w:r>
        <w:rPr>
          <w:bCs/>
          <w:spacing w:val="-4"/>
        </w:rPr>
        <w:t>NF Kolečko</w:t>
      </w:r>
      <w:r w:rsidR="00E87069">
        <w:rPr>
          <w:bCs/>
          <w:spacing w:val="-4"/>
        </w:rPr>
        <w:t xml:space="preserve"> odpovídá v užívaných prostorách za bezpečnost práce, dodržování požárních a hygienických předpisů a předpisů z oblasti životního prostředí, jako např. likvidace odpadu apod. Dojde-li k porušení právních předpisů nebo povinností obsažených v této dohodě a byla-li takto způsobena </w:t>
      </w:r>
      <w:proofErr w:type="spellStart"/>
      <w:r w:rsidR="00E87069">
        <w:rPr>
          <w:bCs/>
          <w:spacing w:val="-4"/>
        </w:rPr>
        <w:t>MuMB</w:t>
      </w:r>
      <w:proofErr w:type="spellEnd"/>
      <w:r w:rsidR="00E87069">
        <w:rPr>
          <w:bCs/>
          <w:spacing w:val="-4"/>
        </w:rPr>
        <w:t xml:space="preserve"> škoda či uložena v této souvislosti sankce, má </w:t>
      </w:r>
      <w:r>
        <w:rPr>
          <w:bCs/>
          <w:spacing w:val="-4"/>
        </w:rPr>
        <w:t xml:space="preserve">NF Kolečko </w:t>
      </w:r>
      <w:r w:rsidR="00E87069">
        <w:rPr>
          <w:bCs/>
          <w:spacing w:val="-4"/>
        </w:rPr>
        <w:t xml:space="preserve">povinnost takovou škodu nebo sankci </w:t>
      </w:r>
      <w:proofErr w:type="spellStart"/>
      <w:r w:rsidR="00E87069">
        <w:rPr>
          <w:bCs/>
          <w:spacing w:val="-4"/>
        </w:rPr>
        <w:t>MuMB</w:t>
      </w:r>
      <w:proofErr w:type="spellEnd"/>
      <w:r w:rsidR="00E87069">
        <w:rPr>
          <w:bCs/>
          <w:spacing w:val="-4"/>
        </w:rPr>
        <w:t xml:space="preserve"> v plné výši uhradit.</w:t>
      </w:r>
    </w:p>
    <w:p w:rsidR="00E87069" w:rsidRPr="00595316" w:rsidRDefault="00E87069" w:rsidP="00DD4818">
      <w:pPr>
        <w:numPr>
          <w:ilvl w:val="0"/>
          <w:numId w:val="4"/>
        </w:numPr>
        <w:spacing w:after="120"/>
        <w:jc w:val="both"/>
        <w:rPr>
          <w:kern w:val="1"/>
        </w:rPr>
      </w:pPr>
      <w:proofErr w:type="spellStart"/>
      <w:r>
        <w:t>MuMB</w:t>
      </w:r>
      <w:proofErr w:type="spellEnd"/>
      <w:r>
        <w:t xml:space="preserve"> je oprávněno požadovat předčasné ukončení akce, pokud by během ní docházelo nebo mohlo docházet k vážným újmám na zdraví účastníků nebo k ničení a poškozování majetku a to i v návaznosti na lokální negativní vývoj počasí znemožňující standardní průběh akce (bouře, vichřice atd.).</w:t>
      </w:r>
    </w:p>
    <w:p w:rsidR="00595316" w:rsidRPr="00595316" w:rsidRDefault="00595316" w:rsidP="00DD4818">
      <w:pPr>
        <w:numPr>
          <w:ilvl w:val="0"/>
          <w:numId w:val="4"/>
        </w:numPr>
        <w:spacing w:after="120"/>
        <w:jc w:val="both"/>
        <w:rPr>
          <w:kern w:val="1"/>
        </w:rPr>
      </w:pPr>
      <w:r>
        <w:lastRenderedPageBreak/>
        <w:t xml:space="preserve">Pořadatel prohlašuje, že za účelem podpory traumatologických center v ČR má dle zákona č. 117/2001 Sb., o veřejných sbírkách a o změně některých zákonů, osvědčenu veřejnou sbírku na bankovním účtu </w:t>
      </w:r>
      <w:r w:rsidR="00C9140D">
        <w:rPr>
          <w:bCs/>
        </w:rPr>
        <w:t>č.260626069/5500</w:t>
      </w:r>
      <w:r>
        <w:rPr>
          <w:bCs/>
        </w:rPr>
        <w:t>. Kopie osvědčení veřejné sbírky je přílohou této smlouvy.</w:t>
      </w:r>
    </w:p>
    <w:p w:rsidR="00595316" w:rsidRDefault="00595316" w:rsidP="00DD4818">
      <w:pPr>
        <w:numPr>
          <w:ilvl w:val="0"/>
          <w:numId w:val="4"/>
        </w:numPr>
        <w:spacing w:after="120"/>
        <w:jc w:val="both"/>
        <w:rPr>
          <w:kern w:val="1"/>
        </w:rPr>
      </w:pPr>
      <w:r>
        <w:rPr>
          <w:bCs/>
        </w:rPr>
        <w:t>Pořadat</w:t>
      </w:r>
      <w:r w:rsidR="005738F3">
        <w:rPr>
          <w:bCs/>
        </w:rPr>
        <w:t>e</w:t>
      </w:r>
      <w:r>
        <w:rPr>
          <w:bCs/>
        </w:rPr>
        <w:t xml:space="preserve">l prohlašuje, že veškerý výtěžek z prodeje vstupenek na akci bude využit na podporu </w:t>
      </w:r>
      <w:r w:rsidR="00C9140D">
        <w:rPr>
          <w:bCs/>
        </w:rPr>
        <w:t>Centra dětské traumatologie Fakultní nemocnice v Brně</w:t>
      </w:r>
      <w:r>
        <w:rPr>
          <w:bCs/>
        </w:rPr>
        <w:t xml:space="preserve">, a </w:t>
      </w:r>
      <w:r w:rsidR="005738F3">
        <w:rPr>
          <w:bCs/>
        </w:rPr>
        <w:t>to nejpozději do konc</w:t>
      </w:r>
      <w:r w:rsidR="00BC1DCF">
        <w:rPr>
          <w:bCs/>
        </w:rPr>
        <w:t>e roku 2019</w:t>
      </w:r>
      <w:r>
        <w:rPr>
          <w:bCs/>
        </w:rPr>
        <w:t>.</w:t>
      </w:r>
    </w:p>
    <w:p w:rsidR="00E87069" w:rsidRPr="004171C7" w:rsidRDefault="00E87069" w:rsidP="00E87069">
      <w:pPr>
        <w:numPr>
          <w:ilvl w:val="0"/>
          <w:numId w:val="4"/>
        </w:numPr>
        <w:spacing w:after="120"/>
        <w:jc w:val="both"/>
      </w:pPr>
      <w:r>
        <w:rPr>
          <w:kern w:val="1"/>
        </w:rPr>
        <w:t>Smluvní strany se zavazují vzájemně se včas informovat o všech důležitých okolnostech souvisejících s plněním této smlouvy.</w:t>
      </w:r>
    </w:p>
    <w:p w:rsidR="004171C7" w:rsidRDefault="004171C7" w:rsidP="004171C7">
      <w:pPr>
        <w:numPr>
          <w:ilvl w:val="0"/>
          <w:numId w:val="4"/>
        </w:numPr>
        <w:tabs>
          <w:tab w:val="clear" w:pos="357"/>
          <w:tab w:val="num" w:pos="426"/>
        </w:tabs>
        <w:spacing w:after="120"/>
        <w:jc w:val="both"/>
      </w:pPr>
      <w:r>
        <w:t>NF Kolečko</w:t>
      </w:r>
      <w:r w:rsidRPr="00AD7A0A">
        <w:t xml:space="preserve"> bere na vědomí, že smlouvy s hodnotou předmětu převyšující 50.000 Kč bez DPH včetně dohod, na základě kterých se tyto smlouvy mění, nahrazují nebo ruší, zveřejní </w:t>
      </w:r>
      <w:proofErr w:type="spellStart"/>
      <w:r w:rsidRPr="00AD7A0A">
        <w:t>MuMB</w:t>
      </w:r>
      <w:proofErr w:type="spellEnd"/>
      <w:r w:rsidRPr="00AD7A0A">
        <w:t xml:space="preserve"> v Registru smluv zřízeném jako informační systém veřejné správy na základě zákona č. 340</w:t>
      </w:r>
      <w:r>
        <w:t>/2015 Sb., o registru smluv. NF Kolečko</w:t>
      </w:r>
      <w:r w:rsidRPr="00AD7A0A">
        <w:t xml:space="preserve"> výslovně souhlasí s tím, aby tato smlouva včetně případných dohod o její změně, nahrazení nebo zrušení byly v plném rozsahu v Registru smluv </w:t>
      </w:r>
      <w:proofErr w:type="spellStart"/>
      <w:r w:rsidRPr="00AD7A0A">
        <w:t>MuMB</w:t>
      </w:r>
      <w:proofErr w:type="spellEnd"/>
      <w:r w:rsidRPr="00AD7A0A">
        <w:t xml:space="preserve"> zveřejněny. 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  <w:r>
        <w:t>NF Kolečko</w:t>
      </w:r>
      <w:r w:rsidRPr="00AD7A0A">
        <w:t xml:space="preserve"> prohlašuje, že skutečnosti uvedené v této smlouvě nepovažuje za obchodní tajemství a uděluje svolení k jejich užití a zveřejnění bez stanovení jakýchkoliv dalších podmínek.</w:t>
      </w:r>
    </w:p>
    <w:p w:rsidR="00E87069" w:rsidRDefault="00E87069" w:rsidP="00E87069">
      <w:pPr>
        <w:pStyle w:val="Nadpis1"/>
        <w:jc w:val="left"/>
        <w:rPr>
          <w:rFonts w:ascii="Times New Roman" w:hAnsi="Times New Roman" w:cs="Times New Roman"/>
          <w:sz w:val="24"/>
          <w:szCs w:val="24"/>
        </w:rPr>
      </w:pPr>
    </w:p>
    <w:p w:rsidR="00E87069" w:rsidRDefault="0083622E" w:rsidP="00E87069">
      <w:pPr>
        <w:spacing w:after="120"/>
        <w:ind w:left="360" w:hanging="360"/>
        <w:jc w:val="center"/>
        <w:rPr>
          <w:bCs/>
        </w:rPr>
      </w:pPr>
      <w:r>
        <w:rPr>
          <w:b/>
          <w:bCs/>
        </w:rPr>
        <w:t>VI</w:t>
      </w:r>
      <w:r w:rsidR="00E87069">
        <w:rPr>
          <w:b/>
          <w:bCs/>
        </w:rPr>
        <w:t>.</w:t>
      </w:r>
      <w:r w:rsidR="00E87069">
        <w:rPr>
          <w:b/>
          <w:bCs/>
        </w:rPr>
        <w:br/>
        <w:t>Závěrečná ustanovení</w:t>
      </w:r>
    </w:p>
    <w:p w:rsidR="00252483" w:rsidRPr="00252483" w:rsidRDefault="00E87069" w:rsidP="00252483">
      <w:pPr>
        <w:numPr>
          <w:ilvl w:val="1"/>
          <w:numId w:val="4"/>
        </w:numPr>
        <w:spacing w:after="120"/>
        <w:jc w:val="both"/>
        <w:rPr>
          <w:bCs/>
        </w:rPr>
      </w:pPr>
      <w:r>
        <w:rPr>
          <w:bCs/>
        </w:rPr>
        <w:t xml:space="preserve">Tuto smlouvu lze měnit, jen dohodnou-li se na tom smluvní strany, a to písemnými číslovanými </w:t>
      </w:r>
      <w:r w:rsidRPr="00252483">
        <w:rPr>
          <w:bCs/>
        </w:rPr>
        <w:t>dodatky.</w:t>
      </w:r>
    </w:p>
    <w:p w:rsidR="00E87069" w:rsidRDefault="00E87069" w:rsidP="00E87069">
      <w:pPr>
        <w:numPr>
          <w:ilvl w:val="1"/>
          <w:numId w:val="4"/>
        </w:numPr>
        <w:spacing w:after="120"/>
        <w:jc w:val="both"/>
        <w:rPr>
          <w:bCs/>
        </w:rPr>
      </w:pPr>
      <w:r>
        <w:rPr>
          <w:bCs/>
        </w:rPr>
        <w:t>Tato smlouva se vyhotovuje ve dvou stejnopisech, z nichž každá strana obdrží po jednom</w:t>
      </w:r>
      <w:r w:rsidR="0067503B">
        <w:rPr>
          <w:bCs/>
        </w:rPr>
        <w:t xml:space="preserve"> </w:t>
      </w:r>
      <w:r w:rsidR="0037097E">
        <w:rPr>
          <w:bCs/>
        </w:rPr>
        <w:t>exempláři</w:t>
      </w:r>
      <w:r>
        <w:rPr>
          <w:bCs/>
        </w:rPr>
        <w:t>.</w:t>
      </w:r>
    </w:p>
    <w:p w:rsidR="00E87069" w:rsidRPr="0037097E" w:rsidRDefault="00E87069" w:rsidP="00E87069">
      <w:pPr>
        <w:numPr>
          <w:ilvl w:val="1"/>
          <w:numId w:val="4"/>
        </w:numPr>
        <w:spacing w:after="120"/>
        <w:jc w:val="both"/>
        <w:rPr>
          <w:bCs/>
        </w:rPr>
      </w:pPr>
      <w:r>
        <w:rPr>
          <w:bCs/>
        </w:rPr>
        <w:t xml:space="preserve">Smluvní strany prohlašují, že si smlouvu důkladně přečetly, že její obsah, se kterým souhlasí, je jim znám v plném rozsahu a jsou si vědomy povinností jim z této smlouvy vyplývajících. Dále prohlašují, že tato smlouva zachycuje jejich skutečnou, svobodnou a vážnou vůli, že byla uzavřena </w:t>
      </w:r>
      <w:r w:rsidRPr="0037097E">
        <w:rPr>
          <w:bCs/>
        </w:rPr>
        <w:t>nikoliv v tísni a za nápadně nevýhodných podmínek a na důkaz toho pod ni připojují své podpisy.</w:t>
      </w:r>
    </w:p>
    <w:p w:rsidR="0083622E" w:rsidRPr="0037097E" w:rsidRDefault="0083622E" w:rsidP="00E87069">
      <w:pPr>
        <w:spacing w:after="120"/>
        <w:jc w:val="both"/>
        <w:rPr>
          <w:bCs/>
        </w:rPr>
      </w:pPr>
    </w:p>
    <w:p w:rsidR="0083622E" w:rsidRPr="0037097E" w:rsidRDefault="0083622E" w:rsidP="00E87069">
      <w:pPr>
        <w:spacing w:after="120"/>
        <w:jc w:val="both"/>
        <w:rPr>
          <w:bCs/>
        </w:rPr>
      </w:pPr>
    </w:p>
    <w:p w:rsidR="0083622E" w:rsidRPr="0037097E" w:rsidRDefault="0083622E" w:rsidP="00E87069">
      <w:pPr>
        <w:spacing w:after="120"/>
        <w:jc w:val="both"/>
        <w:rPr>
          <w:bCs/>
        </w:rPr>
      </w:pPr>
    </w:p>
    <w:p w:rsidR="00E87069" w:rsidRDefault="00E87069" w:rsidP="00E87069">
      <w:pPr>
        <w:spacing w:after="120"/>
        <w:jc w:val="both"/>
        <w:rPr>
          <w:bCs/>
        </w:rPr>
      </w:pPr>
      <w:r w:rsidRPr="0037097E">
        <w:rPr>
          <w:bCs/>
        </w:rPr>
        <w:t>V Brně dne</w:t>
      </w:r>
      <w:r w:rsidR="006F6851">
        <w:rPr>
          <w:bCs/>
        </w:rPr>
        <w:t xml:space="preserve"> 20</w:t>
      </w:r>
      <w:r w:rsidR="004171C7">
        <w:rPr>
          <w:bCs/>
        </w:rPr>
        <w:t>. května 2019</w:t>
      </w:r>
    </w:p>
    <w:p w:rsidR="00D02C5A" w:rsidRDefault="00D02C5A" w:rsidP="00E87069">
      <w:pPr>
        <w:spacing w:after="120"/>
        <w:jc w:val="both"/>
        <w:rPr>
          <w:bCs/>
        </w:rPr>
      </w:pPr>
    </w:p>
    <w:p w:rsidR="00D02C5A" w:rsidRDefault="00D02C5A" w:rsidP="00E87069">
      <w:pPr>
        <w:spacing w:after="120"/>
        <w:jc w:val="both"/>
        <w:rPr>
          <w:bCs/>
        </w:rPr>
      </w:pPr>
    </w:p>
    <w:p w:rsidR="00E87069" w:rsidRDefault="00E87069" w:rsidP="00E87069">
      <w:pPr>
        <w:pStyle w:val="Zkladntext21"/>
        <w:jc w:val="both"/>
      </w:pPr>
      <w:r>
        <w:t>……………………………………….                         ……………………………………….</w:t>
      </w:r>
    </w:p>
    <w:p w:rsidR="00D02C5A" w:rsidRDefault="00E87069" w:rsidP="00D02C5A">
      <w:pPr>
        <w:pStyle w:val="Zkladntext21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2D19">
        <w:t xml:space="preserve"> </w:t>
      </w:r>
      <w:r w:rsidR="00C9140D">
        <w:t>Mgr.</w:t>
      </w:r>
      <w:r w:rsidR="00962D19">
        <w:t xml:space="preserve"> </w:t>
      </w:r>
      <w:r w:rsidR="00D86D77">
        <w:t>Linda Jandová</w:t>
      </w:r>
      <w:r>
        <w:tab/>
      </w:r>
      <w:r w:rsidR="00962D19">
        <w:tab/>
      </w:r>
      <w:r w:rsidR="00962D19">
        <w:tab/>
      </w:r>
      <w:r w:rsidR="00962D19">
        <w:tab/>
      </w:r>
      <w:r w:rsidR="00962D19">
        <w:tab/>
      </w:r>
      <w:r w:rsidR="00D02C5A">
        <w:t xml:space="preserve">     </w:t>
      </w:r>
      <w:r>
        <w:t>PhDr. Pavel Ciprian</w:t>
      </w:r>
    </w:p>
    <w:p w:rsidR="00962D19" w:rsidRDefault="001F0F15" w:rsidP="001F0F15">
      <w:pPr>
        <w:pStyle w:val="Zkladntext21"/>
        <w:ind w:left="708"/>
        <w:jc w:val="both"/>
      </w:pPr>
      <w:r>
        <w:t xml:space="preserve">výkonná ředitelka </w:t>
      </w:r>
      <w:r w:rsidR="00C9140D">
        <w:tab/>
      </w:r>
      <w:r w:rsidR="00C9140D">
        <w:tab/>
      </w:r>
      <w:r w:rsidR="00C9140D">
        <w:tab/>
        <w:t xml:space="preserve">           </w:t>
      </w:r>
      <w:r w:rsidR="00D02C5A">
        <w:t xml:space="preserve">             </w:t>
      </w:r>
      <w:r>
        <w:tab/>
      </w:r>
      <w:r w:rsidR="00C9140D">
        <w:t xml:space="preserve"> </w:t>
      </w:r>
      <w:r w:rsidR="00962D19">
        <w:t>ředitel</w:t>
      </w:r>
    </w:p>
    <w:p w:rsidR="00E87069" w:rsidRDefault="00D02C5A" w:rsidP="00D02C5A">
      <w:pPr>
        <w:ind w:firstLine="708"/>
        <w:jc w:val="both"/>
      </w:pPr>
      <w:r>
        <w:t>Nadační fond Kolečko</w:t>
      </w:r>
      <w:r>
        <w:tab/>
      </w:r>
      <w:r>
        <w:tab/>
      </w:r>
      <w:r>
        <w:tab/>
      </w:r>
      <w:r>
        <w:tab/>
      </w:r>
      <w:r w:rsidR="00962D19">
        <w:t xml:space="preserve">Muzeum města Brna, </w:t>
      </w:r>
      <w:proofErr w:type="spellStart"/>
      <w:proofErr w:type="gramStart"/>
      <w:r w:rsidR="00962D19">
        <w:t>p.o</w:t>
      </w:r>
      <w:proofErr w:type="spellEnd"/>
      <w:r w:rsidR="00962D19">
        <w:t>.</w:t>
      </w:r>
      <w:proofErr w:type="gramEnd"/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  <w:r w:rsidR="00E87069">
        <w:tab/>
      </w:r>
    </w:p>
    <w:p w:rsidR="00A95E50" w:rsidRDefault="00A95E50"/>
    <w:sectPr w:rsidR="00A95E50" w:rsidSect="005072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5">
    <w:nsid w:val="179322B4"/>
    <w:multiLevelType w:val="hybridMultilevel"/>
    <w:tmpl w:val="879CE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23B72"/>
    <w:multiLevelType w:val="hybridMultilevel"/>
    <w:tmpl w:val="A81A8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827B3"/>
    <w:multiLevelType w:val="hybridMultilevel"/>
    <w:tmpl w:val="4B44E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69"/>
    <w:rsid w:val="000201A6"/>
    <w:rsid w:val="00023093"/>
    <w:rsid w:val="00033280"/>
    <w:rsid w:val="00056AF7"/>
    <w:rsid w:val="00095745"/>
    <w:rsid w:val="00097E8B"/>
    <w:rsid w:val="00121498"/>
    <w:rsid w:val="0015543D"/>
    <w:rsid w:val="001617F8"/>
    <w:rsid w:val="00167EBC"/>
    <w:rsid w:val="00190E37"/>
    <w:rsid w:val="001B334D"/>
    <w:rsid w:val="001C22BA"/>
    <w:rsid w:val="001D6D88"/>
    <w:rsid w:val="001E324E"/>
    <w:rsid w:val="001F0F15"/>
    <w:rsid w:val="001F3AD6"/>
    <w:rsid w:val="00233FCC"/>
    <w:rsid w:val="00242873"/>
    <w:rsid w:val="00252483"/>
    <w:rsid w:val="002B591F"/>
    <w:rsid w:val="002D2D01"/>
    <w:rsid w:val="002E13B1"/>
    <w:rsid w:val="0037097E"/>
    <w:rsid w:val="00394BD7"/>
    <w:rsid w:val="003B5328"/>
    <w:rsid w:val="004171C7"/>
    <w:rsid w:val="004A589D"/>
    <w:rsid w:val="004A5ADB"/>
    <w:rsid w:val="005072AD"/>
    <w:rsid w:val="00541DC8"/>
    <w:rsid w:val="005663CE"/>
    <w:rsid w:val="005738F3"/>
    <w:rsid w:val="00575004"/>
    <w:rsid w:val="00595316"/>
    <w:rsid w:val="005B28E3"/>
    <w:rsid w:val="00633802"/>
    <w:rsid w:val="00661768"/>
    <w:rsid w:val="0067503B"/>
    <w:rsid w:val="00675550"/>
    <w:rsid w:val="006A34BC"/>
    <w:rsid w:val="006A435A"/>
    <w:rsid w:val="006C1B5C"/>
    <w:rsid w:val="006C45A7"/>
    <w:rsid w:val="006C50D3"/>
    <w:rsid w:val="006E6D20"/>
    <w:rsid w:val="006F6851"/>
    <w:rsid w:val="006F730E"/>
    <w:rsid w:val="00707D18"/>
    <w:rsid w:val="00721E51"/>
    <w:rsid w:val="00737CB3"/>
    <w:rsid w:val="00744658"/>
    <w:rsid w:val="0075176F"/>
    <w:rsid w:val="007608AA"/>
    <w:rsid w:val="00761529"/>
    <w:rsid w:val="0077590C"/>
    <w:rsid w:val="00796027"/>
    <w:rsid w:val="007C3213"/>
    <w:rsid w:val="008030A8"/>
    <w:rsid w:val="00805A8A"/>
    <w:rsid w:val="0083622E"/>
    <w:rsid w:val="00897C1A"/>
    <w:rsid w:val="008D3B9D"/>
    <w:rsid w:val="00917A9A"/>
    <w:rsid w:val="00962D19"/>
    <w:rsid w:val="00982136"/>
    <w:rsid w:val="009A23AD"/>
    <w:rsid w:val="009A567B"/>
    <w:rsid w:val="009E264C"/>
    <w:rsid w:val="009E7201"/>
    <w:rsid w:val="00A04C95"/>
    <w:rsid w:val="00A5321D"/>
    <w:rsid w:val="00A70BBF"/>
    <w:rsid w:val="00A95E50"/>
    <w:rsid w:val="00AA3084"/>
    <w:rsid w:val="00AC28A2"/>
    <w:rsid w:val="00AE6EA1"/>
    <w:rsid w:val="00B05A17"/>
    <w:rsid w:val="00B17C92"/>
    <w:rsid w:val="00B3487E"/>
    <w:rsid w:val="00B6131E"/>
    <w:rsid w:val="00B66721"/>
    <w:rsid w:val="00BC1DCF"/>
    <w:rsid w:val="00C000D3"/>
    <w:rsid w:val="00C330C6"/>
    <w:rsid w:val="00C51778"/>
    <w:rsid w:val="00C9140D"/>
    <w:rsid w:val="00CA4BF6"/>
    <w:rsid w:val="00CB56F0"/>
    <w:rsid w:val="00CB7CCA"/>
    <w:rsid w:val="00CC39D7"/>
    <w:rsid w:val="00CF57D8"/>
    <w:rsid w:val="00D018AE"/>
    <w:rsid w:val="00D02C5A"/>
    <w:rsid w:val="00D378CF"/>
    <w:rsid w:val="00D61F5C"/>
    <w:rsid w:val="00D7382C"/>
    <w:rsid w:val="00D76A48"/>
    <w:rsid w:val="00D86D77"/>
    <w:rsid w:val="00DB39A2"/>
    <w:rsid w:val="00DD4818"/>
    <w:rsid w:val="00DF683E"/>
    <w:rsid w:val="00E26FB3"/>
    <w:rsid w:val="00E466AD"/>
    <w:rsid w:val="00E7384E"/>
    <w:rsid w:val="00E87069"/>
    <w:rsid w:val="00EC0890"/>
    <w:rsid w:val="00EF4E0F"/>
    <w:rsid w:val="00F06C07"/>
    <w:rsid w:val="00F1026F"/>
    <w:rsid w:val="00F145B7"/>
    <w:rsid w:val="00F4240A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87069"/>
    <w:pPr>
      <w:keepNext/>
      <w:numPr>
        <w:numId w:val="1"/>
      </w:numPr>
      <w:jc w:val="center"/>
      <w:outlineLvl w:val="0"/>
    </w:pPr>
    <w:rPr>
      <w:rFonts w:ascii="Cambria" w:hAnsi="Cambria" w:cs="Cambria"/>
      <w:b/>
      <w:kern w:val="1"/>
      <w:sz w:val="32"/>
      <w:szCs w:val="20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0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7069"/>
    <w:rPr>
      <w:rFonts w:ascii="Cambria" w:eastAsia="Times New Roman" w:hAnsi="Cambria" w:cs="Cambria"/>
      <w:b/>
      <w:kern w:val="1"/>
      <w:sz w:val="32"/>
      <w:szCs w:val="20"/>
      <w:lang w:val="x-none" w:eastAsia="ar-SA"/>
    </w:rPr>
  </w:style>
  <w:style w:type="character" w:customStyle="1" w:styleId="FontStyle18">
    <w:name w:val="Font Style18"/>
    <w:rsid w:val="00E87069"/>
    <w:rPr>
      <w:rFonts w:ascii="Times New Roman" w:hAnsi="Times New Roman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E87069"/>
    <w:pPr>
      <w:jc w:val="both"/>
    </w:pPr>
    <w:rPr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E8706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kladntext21">
    <w:name w:val="Základní text 21"/>
    <w:basedOn w:val="Normln"/>
    <w:rsid w:val="00E87069"/>
    <w:rPr>
      <w:szCs w:val="20"/>
      <w:lang w:val="x-none"/>
    </w:rPr>
  </w:style>
  <w:style w:type="paragraph" w:styleId="Bezmezer">
    <w:name w:val="No Spacing"/>
    <w:uiPriority w:val="1"/>
    <w:qFormat/>
    <w:rsid w:val="00023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0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23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3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87069"/>
    <w:pPr>
      <w:keepNext/>
      <w:numPr>
        <w:numId w:val="1"/>
      </w:numPr>
      <w:jc w:val="center"/>
      <w:outlineLvl w:val="0"/>
    </w:pPr>
    <w:rPr>
      <w:rFonts w:ascii="Cambria" w:hAnsi="Cambria" w:cs="Cambria"/>
      <w:b/>
      <w:kern w:val="1"/>
      <w:sz w:val="32"/>
      <w:szCs w:val="20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0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7069"/>
    <w:rPr>
      <w:rFonts w:ascii="Cambria" w:eastAsia="Times New Roman" w:hAnsi="Cambria" w:cs="Cambria"/>
      <w:b/>
      <w:kern w:val="1"/>
      <w:sz w:val="32"/>
      <w:szCs w:val="20"/>
      <w:lang w:val="x-none" w:eastAsia="ar-SA"/>
    </w:rPr>
  </w:style>
  <w:style w:type="character" w:customStyle="1" w:styleId="FontStyle18">
    <w:name w:val="Font Style18"/>
    <w:rsid w:val="00E87069"/>
    <w:rPr>
      <w:rFonts w:ascii="Times New Roman" w:hAnsi="Times New Roman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E87069"/>
    <w:pPr>
      <w:jc w:val="both"/>
    </w:pPr>
    <w:rPr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E8706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kladntext21">
    <w:name w:val="Základní text 21"/>
    <w:basedOn w:val="Normln"/>
    <w:rsid w:val="00E87069"/>
    <w:rPr>
      <w:szCs w:val="20"/>
      <w:lang w:val="x-none"/>
    </w:rPr>
  </w:style>
  <w:style w:type="paragraph" w:styleId="Bezmezer">
    <w:name w:val="No Spacing"/>
    <w:uiPriority w:val="1"/>
    <w:qFormat/>
    <w:rsid w:val="00023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0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23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3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Veselovská, Eliška</dc:creator>
  <cp:lastModifiedBy>Šebestová, Eva</cp:lastModifiedBy>
  <cp:revision>2</cp:revision>
  <cp:lastPrinted>2016-06-23T11:27:00Z</cp:lastPrinted>
  <dcterms:created xsi:type="dcterms:W3CDTF">2019-05-14T11:26:00Z</dcterms:created>
  <dcterms:modified xsi:type="dcterms:W3CDTF">2019-05-14T11:26:00Z</dcterms:modified>
</cp:coreProperties>
</file>