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080AE9">
        <w:rPr>
          <w:rFonts w:ascii="Arial" w:hAnsi="Arial" w:cs="Arial"/>
          <w:b/>
          <w:sz w:val="36"/>
        </w:rPr>
        <w:t>MJ-SML/0288</w:t>
      </w:r>
      <w:r w:rsidR="00C82D35">
        <w:rPr>
          <w:rFonts w:ascii="Arial" w:hAnsi="Arial" w:cs="Arial"/>
          <w:b/>
          <w:sz w:val="36"/>
        </w:rPr>
        <w:t>/201</w:t>
      </w:r>
      <w:r w:rsidR="00B97BCB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B97BCB">
        <w:rPr>
          <w:rFonts w:ascii="Arial" w:hAnsi="Arial" w:cs="Arial"/>
          <w:sz w:val="22"/>
          <w:szCs w:val="22"/>
        </w:rPr>
        <w:t>Mgr. Bc. 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430F61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C94903" w:rsidRPr="00C94903" w:rsidRDefault="00C94903" w:rsidP="00C9490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C94903">
        <w:rPr>
          <w:rFonts w:ascii="Arial" w:hAnsi="Arial" w:cs="Arial"/>
          <w:b/>
          <w:sz w:val="22"/>
          <w:szCs w:val="22"/>
        </w:rPr>
        <w:t>MRC Krteček Jeseník z.s.</w:t>
      </w:r>
    </w:p>
    <w:p w:rsidR="00C94903" w:rsidRPr="00C94903" w:rsidRDefault="00C94903" w:rsidP="00C9490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C94903">
        <w:rPr>
          <w:rFonts w:ascii="Arial" w:hAnsi="Arial" w:cs="Arial"/>
          <w:sz w:val="22"/>
          <w:szCs w:val="22"/>
        </w:rPr>
        <w:t xml:space="preserve">sídlo: </w:t>
      </w:r>
      <w:r w:rsidRPr="00C94903">
        <w:rPr>
          <w:rFonts w:ascii="Arial" w:hAnsi="Arial" w:cs="Arial"/>
          <w:sz w:val="22"/>
          <w:szCs w:val="22"/>
        </w:rPr>
        <w:tab/>
      </w:r>
      <w:r w:rsidRPr="00C94903">
        <w:rPr>
          <w:rFonts w:ascii="Arial" w:hAnsi="Arial" w:cs="Arial"/>
          <w:sz w:val="22"/>
          <w:szCs w:val="22"/>
        </w:rPr>
        <w:tab/>
        <w:t>Kostelní 142/5, 790 01 Jeseník</w:t>
      </w:r>
    </w:p>
    <w:p w:rsidR="00C94903" w:rsidRPr="00C94903" w:rsidRDefault="00C94903" w:rsidP="00C9490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C94903">
        <w:rPr>
          <w:rFonts w:ascii="Arial" w:hAnsi="Arial" w:cs="Arial"/>
          <w:sz w:val="22"/>
          <w:szCs w:val="22"/>
        </w:rPr>
        <w:t xml:space="preserve">zastoupený: </w:t>
      </w:r>
      <w:r w:rsidRPr="00C94903">
        <w:rPr>
          <w:rFonts w:ascii="Arial" w:hAnsi="Arial" w:cs="Arial"/>
          <w:sz w:val="22"/>
          <w:szCs w:val="22"/>
        </w:rPr>
        <w:tab/>
        <w:t>Bc. Alenou</w:t>
      </w:r>
      <w:r>
        <w:rPr>
          <w:rFonts w:ascii="Arial" w:hAnsi="Arial" w:cs="Arial"/>
          <w:sz w:val="22"/>
          <w:szCs w:val="22"/>
        </w:rPr>
        <w:t xml:space="preserve"> Šosovou</w:t>
      </w:r>
      <w:r w:rsidRPr="00C94903">
        <w:rPr>
          <w:rFonts w:ascii="Arial" w:hAnsi="Arial" w:cs="Arial"/>
          <w:sz w:val="22"/>
          <w:szCs w:val="22"/>
        </w:rPr>
        <w:t xml:space="preserve"> Řehovou MBA</w:t>
      </w:r>
    </w:p>
    <w:p w:rsidR="00C94903" w:rsidRPr="00C94903" w:rsidRDefault="00C94903" w:rsidP="00C9490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C94903">
        <w:rPr>
          <w:rFonts w:ascii="Arial" w:hAnsi="Arial" w:cs="Arial"/>
          <w:sz w:val="22"/>
          <w:szCs w:val="22"/>
        </w:rPr>
        <w:t>IČO:</w:t>
      </w:r>
      <w:r w:rsidRPr="00C94903">
        <w:rPr>
          <w:rFonts w:ascii="Arial" w:hAnsi="Arial" w:cs="Arial"/>
          <w:sz w:val="22"/>
          <w:szCs w:val="22"/>
        </w:rPr>
        <w:tab/>
      </w:r>
      <w:r w:rsidRPr="00C94903">
        <w:rPr>
          <w:rFonts w:ascii="Arial" w:hAnsi="Arial" w:cs="Arial"/>
          <w:sz w:val="22"/>
          <w:szCs w:val="22"/>
        </w:rPr>
        <w:tab/>
        <w:t xml:space="preserve"> 26657821</w:t>
      </w:r>
    </w:p>
    <w:p w:rsidR="00C94903" w:rsidRPr="00C94903" w:rsidRDefault="00C94903" w:rsidP="00C9490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C94903">
        <w:rPr>
          <w:rFonts w:ascii="Arial" w:hAnsi="Arial" w:cs="Arial"/>
          <w:sz w:val="22"/>
          <w:szCs w:val="22"/>
        </w:rPr>
        <w:t xml:space="preserve">bankovní spojení: </w:t>
      </w:r>
      <w:r w:rsidR="00430F61">
        <w:rPr>
          <w:rFonts w:ascii="Arial" w:hAnsi="Arial" w:cs="Arial"/>
          <w:sz w:val="22"/>
          <w:szCs w:val="22"/>
        </w:rPr>
        <w:t>xxxxxxxxxxx</w:t>
      </w:r>
    </w:p>
    <w:p w:rsidR="00C94903" w:rsidRDefault="00C94903" w:rsidP="00C94903">
      <w:pPr>
        <w:pStyle w:val="Nadpis1"/>
        <w:spacing w:before="120" w:after="0"/>
        <w:ind w:left="360"/>
        <w:jc w:val="both"/>
        <w:rPr>
          <w:rFonts w:cs="Arial"/>
          <w:sz w:val="22"/>
          <w:szCs w:val="22"/>
        </w:rPr>
      </w:pPr>
    </w:p>
    <w:p w:rsidR="00DC1F19" w:rsidRPr="005C35FB" w:rsidRDefault="00C94903" w:rsidP="00C94903">
      <w:pPr>
        <w:pStyle w:val="Nadpis1"/>
        <w:spacing w:before="120" w:after="0"/>
        <w:ind w:left="36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 xml:space="preserve"> </w:t>
      </w:r>
      <w:r w:rsidR="00DC1F19" w:rsidRPr="005C35FB">
        <w:rPr>
          <w:rFonts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B97BCB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226C1C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Pr="00C94903" w:rsidRDefault="00B51FDD" w:rsidP="00C9490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080AE9">
        <w:rPr>
          <w:rFonts w:ascii="Arial" w:hAnsi="Arial" w:cs="Arial"/>
          <w:b/>
          <w:sz w:val="22"/>
          <w:szCs w:val="22"/>
        </w:rPr>
        <w:t>14</w:t>
      </w:r>
      <w:r w:rsidR="00C94903">
        <w:rPr>
          <w:rFonts w:ascii="Arial" w:hAnsi="Arial" w:cs="Arial"/>
          <w:b/>
          <w:sz w:val="22"/>
          <w:szCs w:val="22"/>
        </w:rPr>
        <w:t>0.</w:t>
      </w:r>
      <w:r w:rsidR="00C94903" w:rsidRPr="0080403C">
        <w:rPr>
          <w:rFonts w:ascii="Arial" w:hAnsi="Arial" w:cs="Arial"/>
          <w:b/>
          <w:sz w:val="22"/>
          <w:szCs w:val="22"/>
        </w:rPr>
        <w:t> 000,-</w:t>
      </w:r>
      <w:r w:rsidR="00C94903">
        <w:rPr>
          <w:rFonts w:ascii="Arial" w:hAnsi="Arial" w:cs="Arial"/>
          <w:sz w:val="22"/>
          <w:szCs w:val="22"/>
        </w:rPr>
        <w:t xml:space="preserve"> </w:t>
      </w:r>
      <w:r w:rsidR="00C94903" w:rsidRPr="00D322D7">
        <w:rPr>
          <w:rFonts w:ascii="Arial" w:hAnsi="Arial" w:cs="Arial"/>
          <w:b/>
          <w:sz w:val="22"/>
          <w:szCs w:val="22"/>
        </w:rPr>
        <w:t>Kč,</w:t>
      </w:r>
      <w:r w:rsidR="00080AE9">
        <w:rPr>
          <w:rFonts w:ascii="Arial" w:hAnsi="Arial" w:cs="Arial"/>
          <w:sz w:val="22"/>
          <w:szCs w:val="22"/>
        </w:rPr>
        <w:t xml:space="preserve"> slovy: jedno sto čtyřicet</w:t>
      </w:r>
      <w:r w:rsidR="00C94903">
        <w:rPr>
          <w:rFonts w:ascii="Arial" w:hAnsi="Arial" w:cs="Arial"/>
          <w:sz w:val="22"/>
          <w:szCs w:val="22"/>
        </w:rPr>
        <w:t xml:space="preserve"> tisíc</w:t>
      </w:r>
      <w:r w:rsidR="00C94903" w:rsidRPr="00D322D7">
        <w:rPr>
          <w:rFonts w:ascii="Arial" w:hAnsi="Arial" w:cs="Arial"/>
          <w:sz w:val="22"/>
          <w:szCs w:val="22"/>
        </w:rPr>
        <w:t xml:space="preserve"> korun českých (dále jen "dotace").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C94903" w:rsidRPr="00704CD1" w:rsidRDefault="00C94903" w:rsidP="00C94903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na </w:t>
      </w:r>
      <w:r w:rsidRPr="00590C0D">
        <w:rPr>
          <w:rFonts w:ascii="Arial" w:hAnsi="Arial" w:cs="Arial"/>
          <w:b/>
          <w:sz w:val="22"/>
          <w:szCs w:val="22"/>
        </w:rPr>
        <w:t>projekt: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94903" w:rsidRDefault="00C94903" w:rsidP="00C9490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Dofinancování projektu „ 15 let s Krtečkem “ z dotačního programu MPSV</w:t>
      </w:r>
    </w:p>
    <w:p w:rsidR="00C94903" w:rsidRPr="00720065" w:rsidRDefault="00C94903" w:rsidP="00C94903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(dále jen „projekt</w:t>
      </w:r>
      <w:r w:rsidRPr="00D322D7">
        <w:rPr>
          <w:rFonts w:ascii="Arial" w:hAnsi="Arial" w:cs="Arial"/>
          <w:sz w:val="22"/>
          <w:szCs w:val="22"/>
        </w:rPr>
        <w:t>“),</w:t>
      </w:r>
    </w:p>
    <w:p w:rsidR="00B51FDD" w:rsidRPr="005C35FB" w:rsidRDefault="00C94903" w:rsidP="00C949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v souladu s údaji uvedenými v žádosti příjemce o </w:t>
      </w:r>
      <w:r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>
        <w:rPr>
          <w:rFonts w:ascii="Arial" w:hAnsi="Arial" w:cs="Arial"/>
          <w:sz w:val="22"/>
          <w:szCs w:val="22"/>
        </w:rPr>
        <w:t>dotací</w:t>
      </w:r>
      <w:r w:rsidRPr="00D322D7">
        <w:rPr>
          <w:rFonts w:ascii="Arial" w:hAnsi="Arial" w:cs="Arial"/>
          <w:sz w:val="22"/>
          <w:szCs w:val="22"/>
        </w:rPr>
        <w:t xml:space="preserve"> z rozpočtu města </w:t>
      </w:r>
      <w:r>
        <w:rPr>
          <w:rFonts w:ascii="Arial" w:hAnsi="Arial" w:cs="Arial"/>
          <w:sz w:val="22"/>
          <w:szCs w:val="22"/>
        </w:rPr>
        <w:t xml:space="preserve">Jeseník </w:t>
      </w:r>
      <w:r w:rsidRPr="00D322D7">
        <w:rPr>
          <w:rFonts w:ascii="Arial" w:hAnsi="Arial" w:cs="Arial"/>
          <w:sz w:val="22"/>
          <w:szCs w:val="22"/>
        </w:rPr>
        <w:t xml:space="preserve">(dále jen "Pravidla"). Zisk nesmí být příjemcem kalkulován </w:t>
      </w:r>
      <w:r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C94903">
        <w:rPr>
          <w:rFonts w:ascii="Arial" w:hAnsi="Arial" w:cs="Arial"/>
          <w:i/>
          <w:sz w:val="22"/>
          <w:szCs w:val="22"/>
        </w:rPr>
        <w:t>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B97BCB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 xml:space="preserve">. </w:t>
      </w:r>
      <w:r w:rsidR="002C6387" w:rsidRPr="005C35FB">
        <w:rPr>
          <w:rFonts w:ascii="Arial" w:hAnsi="Arial" w:cs="Arial"/>
          <w:sz w:val="22"/>
          <w:szCs w:val="22"/>
        </w:rPr>
        <w:lastRenderedPageBreak/>
        <w:t>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061470" w:rsidRPr="005C35FB" w:rsidRDefault="00061470" w:rsidP="00226C1C">
      <w:pPr>
        <w:jc w:val="both"/>
        <w:rPr>
          <w:rFonts w:ascii="Arial" w:hAnsi="Arial" w:cs="Arial"/>
          <w:sz w:val="22"/>
          <w:szCs w:val="22"/>
        </w:rPr>
      </w:pPr>
    </w:p>
    <w:p w:rsidR="00226C1C" w:rsidRPr="00226C1C" w:rsidRDefault="00226C1C" w:rsidP="00226C1C">
      <w:pPr>
        <w:pStyle w:val="Odstavecseseznamem"/>
        <w:keepNext/>
        <w:numPr>
          <w:ilvl w:val="0"/>
          <w:numId w:val="13"/>
        </w:numPr>
        <w:spacing w:before="240" w:after="60"/>
        <w:jc w:val="center"/>
        <w:outlineLvl w:val="1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226C1C">
        <w:rPr>
          <w:rFonts w:ascii="Arial" w:hAnsi="Arial" w:cs="Arial"/>
          <w:b/>
          <w:bCs/>
          <w:color w:val="000000"/>
          <w:kern w:val="36"/>
        </w:rPr>
        <w:lastRenderedPageBreak/>
        <w:t>Závěrečná ustanovení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5C6A77">
        <w:rPr>
          <w:rFonts w:ascii="Arial" w:hAnsi="Arial" w:cs="Arial"/>
          <w:color w:val="000000"/>
          <w:sz w:val="22"/>
          <w:szCs w:val="22"/>
        </w:rPr>
        <w:t>Tato smlouva nabývá platnosti a účinnosti dnem podpisu oběma smluvními stranami</w:t>
      </w:r>
      <w:r w:rsidR="00C94903" w:rsidRPr="00C94903">
        <w:rPr>
          <w:rFonts w:ascii="Arial" w:hAnsi="Arial" w:cs="Arial"/>
          <w:color w:val="000000"/>
          <w:sz w:val="22"/>
          <w:szCs w:val="22"/>
        </w:rPr>
        <w:t>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Default="00226C1C" w:rsidP="00226C1C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5.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 Příjemce bere na vědomí, že tato smlouva bude také zveřejněna postupem dle § 10d zákona č. 250/2000 Sb., o rozpočtových pravidlech územních rozpočtů, ve znění</w:t>
      </w:r>
      <w:r w:rsidR="00C94903">
        <w:rPr>
          <w:rFonts w:ascii="Arial" w:hAnsi="Arial" w:cs="Arial"/>
          <w:color w:val="000000"/>
          <w:sz w:val="22"/>
          <w:szCs w:val="22"/>
        </w:rPr>
        <w:t xml:space="preserve"> pozdějších právních předpisů.</w:t>
      </w:r>
    </w:p>
    <w:p w:rsidR="00226C1C" w:rsidRDefault="00226C1C" w:rsidP="00226C1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26C1C" w:rsidRPr="00D83826" w:rsidRDefault="00226C1C" w:rsidP="00226C1C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6.    Příjemce bere na vědomí, že osobní údaje poskytnuté Městu Jeseník v </w:t>
      </w:r>
      <w:r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226C1C" w:rsidRPr="00D83826" w:rsidRDefault="00226C1C" w:rsidP="00226C1C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7.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8.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226C1C" w:rsidRPr="00D83826" w:rsidRDefault="00226C1C" w:rsidP="00226C1C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9.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C94903">
        <w:rPr>
          <w:rFonts w:ascii="Arial" w:hAnsi="Arial" w:cs="Arial"/>
          <w:color w:val="000000"/>
          <w:sz w:val="22"/>
          <w:szCs w:val="22"/>
        </w:rPr>
        <w:t xml:space="preserve"> na 3. zasedání Zastupitelstva </w:t>
      </w:r>
      <w:r w:rsidRPr="00D83826">
        <w:rPr>
          <w:rFonts w:ascii="Arial" w:hAnsi="Arial" w:cs="Arial"/>
          <w:color w:val="000000"/>
          <w:sz w:val="22"/>
          <w:szCs w:val="22"/>
        </w:rPr>
        <w:t>města Jeseník č</w:t>
      </w:r>
      <w:r w:rsidR="00C94903">
        <w:rPr>
          <w:rFonts w:ascii="Arial" w:hAnsi="Arial" w:cs="Arial"/>
          <w:color w:val="000000"/>
          <w:sz w:val="22"/>
          <w:szCs w:val="22"/>
        </w:rPr>
        <w:t>. 125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C94903">
        <w:rPr>
          <w:rFonts w:ascii="Arial" w:hAnsi="Arial" w:cs="Arial"/>
          <w:color w:val="000000"/>
          <w:sz w:val="22"/>
          <w:szCs w:val="22"/>
        </w:rPr>
        <w:t>25.4.2019.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430F61">
        <w:rPr>
          <w:rFonts w:ascii="Arial" w:hAnsi="Arial" w:cs="Arial"/>
          <w:color w:val="000000"/>
          <w:sz w:val="22"/>
          <w:szCs w:val="22"/>
        </w:rPr>
        <w:t>13.5.2019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                       V Jeseníku dne </w:t>
      </w:r>
      <w:r w:rsidR="00430F61">
        <w:rPr>
          <w:rFonts w:ascii="Arial" w:hAnsi="Arial" w:cs="Arial"/>
          <w:color w:val="000000"/>
          <w:sz w:val="22"/>
          <w:szCs w:val="22"/>
        </w:rPr>
        <w:t>13.5.2019</w:t>
      </w:r>
      <w:bookmarkStart w:id="0" w:name="_GoBack"/>
      <w:bookmarkEnd w:id="0"/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226C1C" w:rsidRPr="00D83826" w:rsidRDefault="00226C1C" w:rsidP="00226C1C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72174E" w:rsidRPr="005C35FB" w:rsidRDefault="0072174E" w:rsidP="00226C1C">
      <w:pPr>
        <w:pStyle w:val="Nadpis1"/>
        <w:rPr>
          <w:rFonts w:cs="Arial"/>
          <w:sz w:val="22"/>
          <w:szCs w:val="22"/>
        </w:rPr>
      </w:pPr>
    </w:p>
    <w:sectPr w:rsidR="0072174E" w:rsidRPr="005C35FB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DC03FF">
      <w:t xml:space="preserve">IŽ </w:t>
    </w:r>
    <w:r>
      <w:t>na projekt - akci</w:t>
    </w:r>
    <w:r>
      <w:tab/>
      <w:t xml:space="preserve">Stránka </w:t>
    </w:r>
    <w:r w:rsidR="00095CAC">
      <w:rPr>
        <w:b/>
      </w:rPr>
      <w:fldChar w:fldCharType="begin"/>
    </w:r>
    <w:r>
      <w:rPr>
        <w:b/>
      </w:rPr>
      <w:instrText>PAGE</w:instrText>
    </w:r>
    <w:r w:rsidR="00095CAC">
      <w:rPr>
        <w:b/>
      </w:rPr>
      <w:fldChar w:fldCharType="separate"/>
    </w:r>
    <w:r w:rsidR="00430F61">
      <w:rPr>
        <w:b/>
        <w:noProof/>
      </w:rPr>
      <w:t>4</w:t>
    </w:r>
    <w:r w:rsidR="00095CAC">
      <w:rPr>
        <w:b/>
      </w:rPr>
      <w:fldChar w:fldCharType="end"/>
    </w:r>
    <w:r>
      <w:t xml:space="preserve"> z </w:t>
    </w:r>
    <w:r w:rsidR="00095CAC">
      <w:rPr>
        <w:b/>
      </w:rPr>
      <w:fldChar w:fldCharType="begin"/>
    </w:r>
    <w:r>
      <w:rPr>
        <w:b/>
      </w:rPr>
      <w:instrText>NUMPAGES</w:instrText>
    </w:r>
    <w:r w:rsidR="00095CAC">
      <w:rPr>
        <w:b/>
      </w:rPr>
      <w:fldChar w:fldCharType="separate"/>
    </w:r>
    <w:r w:rsidR="00430F61">
      <w:rPr>
        <w:b/>
        <w:noProof/>
      </w:rPr>
      <w:t>4</w:t>
    </w:r>
    <w:r w:rsidR="00095CAC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F" w:rsidRDefault="00DC03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1B7E2CD2"/>
    <w:lvl w:ilvl="0" w:tplc="0276A2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0AE9"/>
    <w:rsid w:val="000817D8"/>
    <w:rsid w:val="00095CAC"/>
    <w:rsid w:val="0009798C"/>
    <w:rsid w:val="000B7038"/>
    <w:rsid w:val="000D12A8"/>
    <w:rsid w:val="000D25F3"/>
    <w:rsid w:val="000D45A0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26C1C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0F61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5C6A77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B97BCB"/>
    <w:rsid w:val="00C0121A"/>
    <w:rsid w:val="00C03402"/>
    <w:rsid w:val="00C12C3A"/>
    <w:rsid w:val="00C170A6"/>
    <w:rsid w:val="00C30320"/>
    <w:rsid w:val="00C372C8"/>
    <w:rsid w:val="00C40885"/>
    <w:rsid w:val="00C408DE"/>
    <w:rsid w:val="00C44E59"/>
    <w:rsid w:val="00C82D35"/>
    <w:rsid w:val="00C94903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03FF"/>
    <w:rsid w:val="00DC1F19"/>
    <w:rsid w:val="00DD0942"/>
    <w:rsid w:val="00E16E6A"/>
    <w:rsid w:val="00E40D47"/>
    <w:rsid w:val="00E70C8A"/>
    <w:rsid w:val="00E71CFF"/>
    <w:rsid w:val="00E8146B"/>
    <w:rsid w:val="00EC489B"/>
    <w:rsid w:val="00EC4FFA"/>
    <w:rsid w:val="00EE79F6"/>
    <w:rsid w:val="00F12327"/>
    <w:rsid w:val="00F1295B"/>
    <w:rsid w:val="00F41327"/>
    <w:rsid w:val="00F54540"/>
    <w:rsid w:val="00F603A7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4BC6-E1B6-4CB6-BF3A-20BC20B3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1658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11419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2019-05-13T08:50:00Z</dcterms:created>
  <dcterms:modified xsi:type="dcterms:W3CDTF">2019-05-13T08:50:00Z</dcterms:modified>
</cp:coreProperties>
</file>