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4E" w:rsidRDefault="00AD744E"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644CF5">
        <w:rPr>
          <w:b/>
          <w:bCs/>
          <w:sz w:val="28"/>
          <w:szCs w:val="28"/>
        </w:rPr>
        <w:t>70393</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C45279">
        <w:rPr>
          <w:b/>
          <w:bCs/>
        </w:rPr>
        <w:t>vedoucí</w:t>
      </w:r>
      <w:r w:rsidR="007D64F8" w:rsidRPr="00E97E16">
        <w:rPr>
          <w:b/>
          <w:bCs/>
        </w:rPr>
        <w:t xml:space="preserve"> odboru</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B95B47">
        <w:rPr>
          <w:bCs/>
        </w:rPr>
        <w:t>XXXXXXXXX/XXXX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44CF5">
        <w:t xml:space="preserve"> 17216001</w:t>
      </w:r>
    </w:p>
    <w:p w:rsidR="007D64F8" w:rsidRDefault="00644CF5"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Okresní soud v Uherském Hradišti</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1A64F4">
        <w:t>686 69 Uherské Hradiště, Svatováclavská 568</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1A64F4">
        <w:t>00025151</w:t>
      </w:r>
    </w:p>
    <w:p w:rsidR="00761F86" w:rsidRDefault="002A18DC" w:rsidP="001A64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z</w:t>
      </w:r>
      <w:r w:rsidR="00761F86">
        <w:t>astoupen:</w:t>
      </w:r>
      <w:r w:rsidR="00761F86">
        <w:tab/>
      </w:r>
      <w:r w:rsidR="001A64F4">
        <w:rPr>
          <w:b/>
        </w:rPr>
        <w:t xml:space="preserve">Mgr. Tomášem Gargulákem, předsedou </w:t>
      </w:r>
      <w:r w:rsidR="001A64F4">
        <w:rPr>
          <w:b/>
        </w:rPr>
        <w:br/>
        <w:t>Okresního soudu v Uherském Hradišti</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1A64F4">
        <w:t>Česká národní banka</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B95B47">
        <w:t>XXXXXXXXX/XXXX</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1A64F4" w:rsidRDefault="001A64F4"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1A64F4" w:rsidRDefault="00BB5C51" w:rsidP="001A64F4">
      <w:pPr>
        <w:pStyle w:val="Odstavecseseznamem"/>
        <w:numPr>
          <w:ilvl w:val="1"/>
          <w:numId w:val="36"/>
        </w:numPr>
        <w:spacing w:before="240" w:line="300" w:lineRule="exact"/>
        <w:jc w:val="both"/>
      </w:pPr>
      <w:r>
        <w:t>Zhotovitel se zavazuje pro úč</w:t>
      </w:r>
      <w:r w:rsidR="001A64F4">
        <w:t>ty</w:t>
      </w:r>
      <w:r>
        <w:t xml:space="preserve"> </w:t>
      </w:r>
      <w:r w:rsidR="00C62BB3">
        <w:t>O</w:t>
      </w:r>
      <w:r>
        <w:t xml:space="preserve">bjednatele </w:t>
      </w:r>
      <w:proofErr w:type="gramStart"/>
      <w:r>
        <w:t>číslo</w:t>
      </w:r>
      <w:proofErr w:type="gramEnd"/>
      <w:r>
        <w:t xml:space="preserve">: </w:t>
      </w:r>
    </w:p>
    <w:p w:rsidR="001A64F4" w:rsidRDefault="007B32F7" w:rsidP="001A64F4">
      <w:pPr>
        <w:pStyle w:val="Odstavecseseznamem"/>
        <w:spacing w:before="120" w:line="300" w:lineRule="exact"/>
        <w:ind w:left="539"/>
        <w:jc w:val="both"/>
        <w:rPr>
          <w:b/>
          <w:bCs/>
        </w:rPr>
      </w:pPr>
      <w:r>
        <w:rPr>
          <w:b/>
          <w:bCs/>
        </w:rPr>
        <w:t>XXXXXXXXX/XXXX</w:t>
      </w:r>
      <w:r w:rsidR="001A64F4">
        <w:rPr>
          <w:b/>
          <w:bCs/>
        </w:rPr>
        <w:tab/>
      </w:r>
      <w:r>
        <w:rPr>
          <w:b/>
          <w:bCs/>
        </w:rPr>
        <w:t>XXXXXXXXX/XXXX</w:t>
      </w:r>
    </w:p>
    <w:p w:rsidR="001A64F4" w:rsidRDefault="007B32F7" w:rsidP="001A64F4">
      <w:pPr>
        <w:pStyle w:val="Odstavecseseznamem"/>
        <w:spacing w:line="300" w:lineRule="exact"/>
        <w:ind w:left="539"/>
        <w:jc w:val="both"/>
        <w:rPr>
          <w:b/>
          <w:bCs/>
        </w:rPr>
      </w:pPr>
      <w:r>
        <w:rPr>
          <w:b/>
          <w:bCs/>
        </w:rPr>
        <w:t>XXXXXXXXX/XXXX</w:t>
      </w:r>
      <w:r w:rsidR="001A64F4">
        <w:rPr>
          <w:b/>
          <w:bCs/>
        </w:rPr>
        <w:tab/>
      </w:r>
      <w:r>
        <w:rPr>
          <w:b/>
          <w:bCs/>
        </w:rPr>
        <w:t>XXXXXXXXX/XXXX</w:t>
      </w:r>
    </w:p>
    <w:p w:rsidR="00BB5C51" w:rsidRDefault="00B44387" w:rsidP="001A64F4">
      <w:pPr>
        <w:pStyle w:val="Odstavecseseznamem"/>
        <w:spacing w:before="120" w:line="300" w:lineRule="exact"/>
        <w:ind w:left="539"/>
        <w:jc w:val="both"/>
      </w:pPr>
      <w:r w:rsidRPr="001A64F4">
        <w:rPr>
          <w:bCs/>
        </w:rPr>
        <w:t>vyhotovovat</w:t>
      </w:r>
      <w:r w:rsidRPr="001A64F4">
        <w:rPr>
          <w:b/>
          <w:bCs/>
        </w:rPr>
        <w:t xml:space="preserve"> </w:t>
      </w:r>
      <w:r w:rsidRPr="001A64F4">
        <w:rPr>
          <w:bCs/>
        </w:rPr>
        <w:t xml:space="preserve">způsobem uvedeným v čl. II. této </w:t>
      </w:r>
      <w:r w:rsidR="002E0449" w:rsidRPr="001A64F4">
        <w:rPr>
          <w:bCs/>
        </w:rPr>
        <w:t>Smlouvy</w:t>
      </w:r>
      <w:r w:rsidRPr="001A64F4">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rsidR="00BB5C51" w:rsidRDefault="00BB5C51">
      <w:pPr>
        <w:tabs>
          <w:tab w:val="num" w:pos="540"/>
        </w:tabs>
        <w:spacing w:line="300" w:lineRule="exact"/>
        <w:ind w:left="540"/>
      </w:pPr>
      <w:r>
        <w:t xml:space="preserve">- soubor </w:t>
      </w:r>
      <w:r w:rsidR="00652422">
        <w:t>s označením odesílatele</w:t>
      </w:r>
    </w:p>
    <w:p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6B4F9A" w:rsidRPr="006B4F9A" w:rsidRDefault="006B4F9A" w:rsidP="006B4F9A">
      <w:pPr>
        <w:pStyle w:val="Zkladntext3"/>
        <w:tabs>
          <w:tab w:val="clear" w:pos="360"/>
        </w:tabs>
        <w:spacing w:before="120" w:line="300" w:lineRule="exact"/>
        <w:ind w:left="539"/>
        <w:rPr>
          <w:b w:val="0"/>
        </w:rPr>
      </w:pPr>
      <w:r>
        <w:rPr>
          <w:b w:val="0"/>
        </w:rPr>
        <w:t>- všech poukázek</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8" w:history="1">
        <w:proofErr w:type="gramStart"/>
        <w:r w:rsidR="00F96923">
          <w:rPr>
            <w:rStyle w:val="Hypertextovodkaz"/>
            <w:b/>
            <w:color w:val="auto"/>
          </w:rPr>
          <w:t>XXXXXXXXXXXX</w:t>
        </w:r>
      </w:hyperlink>
      <w:r>
        <w:t xml:space="preserve"> .</w:t>
      </w:r>
      <w:proofErr w:type="gramEnd"/>
    </w:p>
    <w:p w:rsidR="00A9556F" w:rsidRDefault="00A9556F" w:rsidP="00A9556F">
      <w:pPr>
        <w:widowControl w:val="0"/>
        <w:autoSpaceDE w:val="0"/>
        <w:autoSpaceDN w:val="0"/>
        <w:adjustRightInd w:val="0"/>
        <w:spacing w:line="300" w:lineRule="exact"/>
        <w:ind w:left="539" w:hanging="539"/>
        <w:jc w:val="both"/>
      </w:pPr>
      <w:r>
        <w:tab/>
      </w:r>
    </w:p>
    <w:p w:rsidR="00BB5C51" w:rsidRDefault="00BB5C51" w:rsidP="001A64F4">
      <w:pPr>
        <w:widowControl w:val="0"/>
        <w:autoSpaceDE w:val="0"/>
        <w:autoSpaceDN w:val="0"/>
        <w:adjustRightInd w:val="0"/>
        <w:spacing w:line="300" w:lineRule="exact"/>
        <w:ind w:left="539" w:hanging="539"/>
        <w:jc w:val="both"/>
        <w:rPr>
          <w:b/>
          <w:bCs/>
          <w:iCs/>
        </w:rPr>
      </w:pPr>
      <w:proofErr w:type="gramStart"/>
      <w:r>
        <w:t>2.</w:t>
      </w:r>
      <w:r w:rsidR="00A9556F">
        <w:t>3</w:t>
      </w:r>
      <w:proofErr w:type="gramEnd"/>
      <w:r>
        <w:t>.</w:t>
      </w:r>
      <w:r>
        <w:tab/>
        <w:t xml:space="preserve">Objednatel </w:t>
      </w:r>
      <w:r w:rsidR="00D81C59">
        <w:t xml:space="preserve">se se </w:t>
      </w:r>
      <w:r w:rsidR="004D2980">
        <w:t>Z</w:t>
      </w:r>
      <w:r w:rsidR="00D81C59">
        <w:t xml:space="preserve">hotovitelem dohodli, že </w:t>
      </w:r>
      <w:r>
        <w:t>soubor dle čl. II. odstavce 2.1.</w:t>
      </w:r>
      <w:r w:rsidR="001A64F4">
        <w:t xml:space="preserve"> písmeno a), b) </w:t>
      </w:r>
      <w:r w:rsidR="00B6268F">
        <w:t>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1A64F4" w:rsidRPr="001A64F4" w:rsidRDefault="001A64F4" w:rsidP="001A64F4">
      <w:pPr>
        <w:widowControl w:val="0"/>
        <w:autoSpaceDE w:val="0"/>
        <w:autoSpaceDN w:val="0"/>
        <w:adjustRightInd w:val="0"/>
        <w:spacing w:before="120" w:line="300" w:lineRule="exact"/>
        <w:ind w:left="539" w:hanging="539"/>
        <w:jc w:val="both"/>
        <w:rPr>
          <w:u w:val="single"/>
        </w:rPr>
      </w:pPr>
      <w:r>
        <w:rPr>
          <w:b/>
          <w:bCs/>
          <w:iCs/>
        </w:rPr>
        <w:tab/>
      </w:r>
      <w:r w:rsidR="00F96923">
        <w:rPr>
          <w:b/>
          <w:bCs/>
          <w:iCs/>
          <w:u w:val="single"/>
        </w:rPr>
        <w:t>XXXXXXXXXXXXXXXXXXX</w:t>
      </w:r>
    </w:p>
    <w:p w:rsidR="00111D43" w:rsidRDefault="00111D43">
      <w:pPr>
        <w:tabs>
          <w:tab w:val="left" w:pos="532"/>
        </w:tabs>
        <w:spacing w:line="300" w:lineRule="exact"/>
        <w:ind w:left="540"/>
        <w:jc w:val="both"/>
        <w:rPr>
          <w:b/>
          <w:bCs/>
          <w:iCs/>
        </w:rPr>
      </w:pPr>
    </w:p>
    <w:p w:rsidR="00111D43" w:rsidRDefault="00111D43">
      <w:pPr>
        <w:tabs>
          <w:tab w:val="left" w:pos="532"/>
        </w:tabs>
        <w:spacing w:line="300" w:lineRule="exact"/>
        <w:ind w:left="540"/>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lastRenderedPageBreak/>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96923">
        <w:t>XXXXXXXXXXX</w:t>
      </w:r>
      <w:r w:rsidR="001661AF">
        <w:tab/>
        <w:t>tel.:</w:t>
      </w:r>
      <w:r w:rsidR="001A64F4">
        <w:t xml:space="preserve"> </w:t>
      </w:r>
      <w:r w:rsidR="00F96923">
        <w:t xml:space="preserve">XXX </w:t>
      </w:r>
      <w:proofErr w:type="spellStart"/>
      <w:r w:rsidR="00F96923">
        <w:t>XXX</w:t>
      </w:r>
      <w:proofErr w:type="spellEnd"/>
      <w:r w:rsidR="00F96923">
        <w:t xml:space="preserve"> </w:t>
      </w:r>
      <w:proofErr w:type="spellStart"/>
      <w:r w:rsidR="00F96923">
        <w:t>XXX</w:t>
      </w:r>
      <w:proofErr w:type="spellEnd"/>
    </w:p>
    <w:p w:rsidR="001A64F4" w:rsidRDefault="001A64F4"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96923">
        <w:t>XXXXXXXXXXXXXX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96923">
        <w:t>XXXXXXXXXXX</w:t>
      </w:r>
      <w:r>
        <w:tab/>
        <w:t>tel.:</w:t>
      </w:r>
      <w:r w:rsidR="001A64F4">
        <w:t xml:space="preserve"> </w:t>
      </w:r>
      <w:r w:rsidR="00F96923">
        <w:t xml:space="preserve">XXX </w:t>
      </w:r>
      <w:proofErr w:type="spellStart"/>
      <w:r w:rsidR="00F96923">
        <w:t>XXX</w:t>
      </w:r>
      <w:proofErr w:type="spellEnd"/>
      <w:r w:rsidR="00F96923">
        <w:t xml:space="preserve"> </w:t>
      </w:r>
      <w:proofErr w:type="spellStart"/>
      <w:r w:rsidR="00F96923">
        <w:t>XXX</w:t>
      </w:r>
      <w:proofErr w:type="spellEnd"/>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96923">
        <w:t>XXXXXXXXXXXXXX</w:t>
      </w:r>
      <w:r w:rsidR="001A64F4">
        <w:tab/>
      </w:r>
    </w:p>
    <w:p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F96923" w:rsidP="00D8429E">
      <w:pPr>
        <w:tabs>
          <w:tab w:val="left" w:pos="4395"/>
        </w:tabs>
        <w:spacing w:before="60" w:line="300" w:lineRule="exact"/>
        <w:ind w:firstLine="539"/>
        <w:rPr>
          <w:bCs/>
        </w:rPr>
      </w:pPr>
      <w:r>
        <w:t>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BB5C51" w:rsidRPr="00FE400C" w:rsidRDefault="00A7733D" w:rsidP="00D8429E">
      <w:pPr>
        <w:pStyle w:val="Zkladntextodsazen"/>
        <w:tabs>
          <w:tab w:val="clear" w:pos="720"/>
          <w:tab w:val="clear" w:pos="2700"/>
          <w:tab w:val="clear" w:pos="4860"/>
          <w:tab w:val="left" w:pos="4395"/>
        </w:tabs>
        <w:spacing w:line="300" w:lineRule="exact"/>
        <w:ind w:left="567" w:firstLine="0"/>
        <w:rPr>
          <w:b w:val="0"/>
          <w:bCs/>
          <w:i w:val="0"/>
          <w:iCs/>
        </w:rPr>
      </w:pPr>
      <w:hyperlink r:id="rId9" w:history="1">
        <w:r w:rsidR="00F96923">
          <w:rPr>
            <w:rStyle w:val="Hypertextovodkaz"/>
            <w:b w:val="0"/>
            <w:i w:val="0"/>
            <w:snapToGrid w:val="0"/>
            <w:color w:val="auto"/>
            <w:u w:val="none"/>
          </w:rPr>
          <w:t>XXXXXXXXXXXXXX</w:t>
        </w:r>
      </w:hyperlink>
      <w:r w:rsidR="00D8429E">
        <w:rPr>
          <w:b w:val="0"/>
          <w:i w:val="0"/>
        </w:rPr>
        <w:tab/>
      </w:r>
    </w:p>
    <w:p w:rsidR="00BB5C51" w:rsidRPr="00FE400C" w:rsidRDefault="00F96923"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F96923" w:rsidRDefault="00F96923" w:rsidP="00FE400C">
      <w:pPr>
        <w:pStyle w:val="Zkladntextodsazen"/>
        <w:tabs>
          <w:tab w:val="clear" w:pos="720"/>
          <w:tab w:val="clear" w:pos="2700"/>
          <w:tab w:val="clear" w:pos="4860"/>
        </w:tabs>
        <w:spacing w:line="300" w:lineRule="exact"/>
        <w:ind w:hanging="181"/>
        <w:rPr>
          <w:b w:val="0"/>
          <w:i w:val="0"/>
        </w:rPr>
      </w:pPr>
      <w:r>
        <w:rPr>
          <w:b w:val="0"/>
          <w:i w:val="0"/>
        </w:rPr>
        <w:t>XXXXXXXXXXXXXX</w:t>
      </w:r>
    </w:p>
    <w:p w:rsidR="00BB5C51" w:rsidRPr="00FE400C" w:rsidRDefault="00F96923"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rsidR="00D63B13" w:rsidRDefault="00F96923"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t>XXXXXXXXXXXXX</w:t>
      </w:r>
      <w:r w:rsidR="00A7733D">
        <w:t>X</w:t>
      </w:r>
      <w:bookmarkStart w:id="0" w:name="_GoBack"/>
      <w:bookmarkEnd w:id="0"/>
      <w:r w:rsidR="00D8429E">
        <w:rPr>
          <w:bCs/>
        </w:rPr>
        <w:tab/>
      </w:r>
    </w:p>
    <w:p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F93194">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4926DA" w:rsidRPr="001A64F4" w:rsidRDefault="00877EB9" w:rsidP="001A64F4">
      <w:pPr>
        <w:pStyle w:val="Odstavecseseznamem"/>
        <w:spacing w:before="240"/>
        <w:ind w:left="539" w:hanging="539"/>
        <w:jc w:val="both"/>
        <w:rPr>
          <w:b/>
        </w:rPr>
      </w:pPr>
      <w:proofErr w:type="gramStart"/>
      <w:r>
        <w:t>4</w:t>
      </w:r>
      <w:r w:rsidR="004926DA">
        <w:t>.2</w:t>
      </w:r>
      <w:proofErr w:type="gramEnd"/>
      <w:r w:rsidR="004926DA">
        <w:t>.</w:t>
      </w:r>
      <w:r w:rsidR="004926DA">
        <w:tab/>
        <w:t>Smlouva se uza</w:t>
      </w:r>
      <w:r w:rsidR="001A64F4">
        <w:t xml:space="preserve">vírá na dobu neurčitou. </w:t>
      </w:r>
      <w:r w:rsidR="003E6518" w:rsidRPr="00F93194">
        <w:t xml:space="preserve">Smlouva je uzavřena </w:t>
      </w:r>
      <w:r w:rsidR="003E6518" w:rsidRPr="001A64F4">
        <w:rPr>
          <w:b/>
        </w:rPr>
        <w:t xml:space="preserve">dnem podpisu Smluvními stranami. Uzavřením této Smlouvy </w:t>
      </w:r>
      <w:r w:rsidR="00DD1FBA" w:rsidRPr="001A64F4">
        <w:rPr>
          <w:b/>
        </w:rPr>
        <w:t>se ruší</w:t>
      </w:r>
      <w:r w:rsidR="003E6518" w:rsidRPr="001A64F4">
        <w:rPr>
          <w:b/>
        </w:rPr>
        <w:t xml:space="preserve"> Smlouva </w:t>
      </w:r>
      <w:r w:rsidR="001A64F4">
        <w:rPr>
          <w:b/>
        </w:rPr>
        <w:t>č. 70393</w:t>
      </w:r>
      <w:r w:rsidR="003E6518" w:rsidRPr="001A64F4">
        <w:rPr>
          <w:b/>
        </w:rPr>
        <w:t xml:space="preserve"> uzavřená dne </w:t>
      </w:r>
      <w:proofErr w:type="gramStart"/>
      <w:r w:rsidR="00F93194">
        <w:rPr>
          <w:b/>
        </w:rPr>
        <w:t>22.5.2000</w:t>
      </w:r>
      <w:proofErr w:type="gramEnd"/>
      <w:r w:rsidR="003E6518" w:rsidRPr="001A64F4">
        <w:rPr>
          <w:b/>
        </w:rPr>
        <w:t xml:space="preserve">, </w:t>
      </w:r>
      <w:r w:rsidR="00DD1FBA" w:rsidRPr="001A64F4">
        <w:rPr>
          <w:b/>
        </w:rPr>
        <w:t xml:space="preserve">upravující </w:t>
      </w:r>
      <w:r w:rsidR="003E6518" w:rsidRPr="001A64F4">
        <w:rPr>
          <w:b/>
        </w:rPr>
        <w:t>shodný předmět činnosti.</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lastRenderedPageBreak/>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4.17</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1661AF" w:rsidP="00F93194">
      <w:pPr>
        <w:pStyle w:val="Import26"/>
        <w:tabs>
          <w:tab w:val="clear" w:pos="5184"/>
          <w:tab w:val="left" w:leader="dot" w:pos="3544"/>
          <w:tab w:val="left" w:pos="5400"/>
          <w:tab w:val="left" w:leader="dot" w:pos="8931"/>
        </w:tabs>
        <w:spacing w:before="240" w:line="300" w:lineRule="exact"/>
        <w:ind w:firstLine="0"/>
      </w:pPr>
      <w:r>
        <w:t>V………………..</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F93194">
      <w:pPr>
        <w:pStyle w:val="Import26"/>
        <w:tabs>
          <w:tab w:val="clear" w:pos="5184"/>
          <w:tab w:val="left" w:leader="dot" w:pos="3544"/>
          <w:tab w:val="left" w:pos="5400"/>
          <w:tab w:val="left" w:leader="dot" w:pos="8931"/>
        </w:tabs>
        <w:spacing w:before="600" w:line="300" w:lineRule="exact"/>
        <w:ind w:firstLine="0"/>
      </w:pPr>
      <w:r>
        <w:tab/>
      </w:r>
      <w:r>
        <w:tab/>
      </w:r>
      <w:r>
        <w:tab/>
      </w:r>
    </w:p>
    <w:p w:rsidR="00BB5C51" w:rsidRDefault="00F93194">
      <w:pPr>
        <w:pStyle w:val="Import27"/>
        <w:tabs>
          <w:tab w:val="left" w:pos="5400"/>
        </w:tabs>
        <w:spacing w:before="60" w:line="300" w:lineRule="exact"/>
        <w:ind w:firstLine="0"/>
      </w:pPr>
      <w:r>
        <w:t>Mgr. Tomáš Gargulák</w:t>
      </w:r>
      <w:r w:rsidR="006C5393">
        <w:tab/>
      </w:r>
      <w:r w:rsidR="0074262C">
        <w:t>Eliška Marečková</w:t>
      </w:r>
      <w:r w:rsidR="00BB5C51">
        <w:tab/>
      </w:r>
    </w:p>
    <w:p w:rsidR="00BB5C51" w:rsidRDefault="00F93194"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Okresního soudu</w:t>
      </w:r>
      <w:r w:rsidR="006C5393">
        <w:rPr>
          <w:rFonts w:ascii="Times New Roman" w:hAnsi="Times New Roman"/>
        </w:rPr>
        <w:tab/>
      </w:r>
      <w:r w:rsidR="00C45279">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F93194" w:rsidP="00F93194">
      <w:pPr>
        <w:tabs>
          <w:tab w:val="left" w:pos="5400"/>
        </w:tabs>
        <w:spacing w:line="300" w:lineRule="exact"/>
      </w:pPr>
      <w:r>
        <w:t>v Uherském Hradišti</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7733D">
      <w:rPr>
        <w:noProof/>
      </w:rPr>
      <w:t>3</w:t>
    </w:r>
    <w:r w:rsidRPr="00436E96">
      <w:fldChar w:fldCharType="end"/>
    </w:r>
    <w:r w:rsidRPr="00436E96">
      <w:t xml:space="preserve"> </w:t>
    </w:r>
    <w:r>
      <w:t>(celkem</w:t>
    </w:r>
    <w:r w:rsidRPr="00436E96">
      <w:t xml:space="preserve"> </w:t>
    </w:r>
    <w:fldSimple w:instr="NUMPAGES  \* Arabic  \* MERGEFORMAT">
      <w:r w:rsidR="00A7733D">
        <w:rPr>
          <w:noProof/>
        </w:rPr>
        <w:t>6</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D14234">
      <w:rPr>
        <w:rFonts w:ascii="Arial" w:hAnsi="Arial" w:cs="Arial"/>
        <w:noProof/>
      </w:rPr>
      <w:br/>
    </w:r>
    <w:r>
      <w:rPr>
        <w:rFonts w:ascii="Arial" w:hAnsi="Arial" w:cs="Arial"/>
        <w:noProof/>
      </w:rPr>
      <w:t>č.</w:t>
    </w:r>
    <w:r w:rsidR="00D14234">
      <w:rPr>
        <w:rFonts w:ascii="Arial" w:hAnsi="Arial" w:cs="Arial"/>
        <w:noProof/>
      </w:rPr>
      <w:t xml:space="preserve"> 70393</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C6519"/>
    <w:multiLevelType w:val="multilevel"/>
    <w:tmpl w:val="5DD4E0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10"/>
  </w:num>
  <w:num w:numId="4">
    <w:abstractNumId w:val="21"/>
  </w:num>
  <w:num w:numId="5">
    <w:abstractNumId w:val="18"/>
  </w:num>
  <w:num w:numId="6">
    <w:abstractNumId w:val="14"/>
  </w:num>
  <w:num w:numId="7">
    <w:abstractNumId w:val="9"/>
  </w:num>
  <w:num w:numId="8">
    <w:abstractNumId w:val="29"/>
  </w:num>
  <w:num w:numId="9">
    <w:abstractNumId w:val="1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
  </w:num>
  <w:num w:numId="17">
    <w:abstractNumId w:val="11"/>
  </w:num>
  <w:num w:numId="18">
    <w:abstractNumId w:val="16"/>
  </w:num>
  <w:num w:numId="19">
    <w:abstractNumId w:val="0"/>
  </w:num>
  <w:num w:numId="20">
    <w:abstractNumId w:val="4"/>
  </w:num>
  <w:num w:numId="21">
    <w:abstractNumId w:val="22"/>
  </w:num>
  <w:num w:numId="22">
    <w:abstractNumId w:val="28"/>
  </w:num>
  <w:num w:numId="23">
    <w:abstractNumId w:val="13"/>
  </w:num>
  <w:num w:numId="24">
    <w:abstractNumId w:val="3"/>
  </w:num>
  <w:num w:numId="25">
    <w:abstractNumId w:val="27"/>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7"/>
  </w:num>
  <w:num w:numId="34">
    <w:abstractNumId w:val="20"/>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661AF"/>
    <w:rsid w:val="00176556"/>
    <w:rsid w:val="00183FE3"/>
    <w:rsid w:val="00197494"/>
    <w:rsid w:val="001A64F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1254"/>
    <w:rsid w:val="003267BC"/>
    <w:rsid w:val="00353F92"/>
    <w:rsid w:val="00384CAF"/>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4CF5"/>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32F7"/>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7733D"/>
    <w:rsid w:val="00A9556F"/>
    <w:rsid w:val="00AA17DD"/>
    <w:rsid w:val="00AA2477"/>
    <w:rsid w:val="00AB30EC"/>
    <w:rsid w:val="00AB3ABA"/>
    <w:rsid w:val="00AD744E"/>
    <w:rsid w:val="00AE230F"/>
    <w:rsid w:val="00B07626"/>
    <w:rsid w:val="00B168F5"/>
    <w:rsid w:val="00B32DA8"/>
    <w:rsid w:val="00B36535"/>
    <w:rsid w:val="00B44387"/>
    <w:rsid w:val="00B46401"/>
    <w:rsid w:val="00B46D00"/>
    <w:rsid w:val="00B56D30"/>
    <w:rsid w:val="00B6268F"/>
    <w:rsid w:val="00B81549"/>
    <w:rsid w:val="00B8168E"/>
    <w:rsid w:val="00B95B47"/>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14234"/>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3194"/>
    <w:rsid w:val="00F96923"/>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597F4"/>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EF97-0A3E-4F40-9666-4FCB4F34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1723</Words>
  <Characters>10172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11872</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6</cp:revision>
  <cp:lastPrinted>2019-05-02T12:57:00Z</cp:lastPrinted>
  <dcterms:created xsi:type="dcterms:W3CDTF">2019-05-13T08:19:00Z</dcterms:created>
  <dcterms:modified xsi:type="dcterms:W3CDTF">2019-05-13T08:22:00Z</dcterms:modified>
</cp:coreProperties>
</file>