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64" w:rsidRDefault="00100D2E">
      <w:pPr>
        <w:framePr w:hSpace="141" w:wrap="around" w:vAnchor="text" w:hAnchor="page" w:x="9211" w:y="-129"/>
      </w:pPr>
      <w:r>
        <w:rPr>
          <w:noProof/>
        </w:rPr>
        <w:drawing>
          <wp:inline distT="0" distB="0" distL="0" distR="0">
            <wp:extent cx="1057275" cy="12573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57300"/>
                    </a:xfrm>
                    <a:prstGeom prst="rect">
                      <a:avLst/>
                    </a:prstGeom>
                    <a:noFill/>
                    <a:ln>
                      <a:noFill/>
                    </a:ln>
                  </pic:spPr>
                </pic:pic>
              </a:graphicData>
            </a:graphic>
          </wp:inline>
        </w:drawing>
      </w:r>
    </w:p>
    <w:p w:rsidR="003D5C64" w:rsidRDefault="003D5C64">
      <w:pPr>
        <w:rPr>
          <w:b/>
          <w:sz w:val="36"/>
        </w:rPr>
      </w:pPr>
      <w:r>
        <w:rPr>
          <w:b/>
          <w:sz w:val="36"/>
        </w:rPr>
        <w:lastRenderedPageBreak/>
        <w:t>Městská část Praha 7</w:t>
      </w:r>
    </w:p>
    <w:p w:rsidR="003D5C64" w:rsidRDefault="003D5C64">
      <w:pPr>
        <w:rPr>
          <w:b/>
          <w:sz w:val="32"/>
        </w:rPr>
      </w:pPr>
      <w:r>
        <w:rPr>
          <w:b/>
          <w:sz w:val="32"/>
        </w:rPr>
        <w:t>Úřad městské části</w:t>
      </w:r>
    </w:p>
    <w:p w:rsidR="003D5C64" w:rsidRDefault="003D5C64">
      <w:pPr>
        <w:rPr>
          <w:b/>
          <w:sz w:val="28"/>
        </w:rPr>
      </w:pPr>
      <w:r>
        <w:rPr>
          <w:b/>
          <w:sz w:val="28"/>
        </w:rPr>
        <w:t xml:space="preserve">odbor </w:t>
      </w:r>
      <w:r w:rsidR="002E73A5">
        <w:rPr>
          <w:b/>
          <w:sz w:val="28"/>
        </w:rPr>
        <w:fldChar w:fldCharType="begin">
          <w:ffData>
            <w:name w:val="Text14"/>
            <w:enabled/>
            <w:calcOnExit w:val="0"/>
            <w:textInput>
              <w:default w:val="OIVZ"/>
            </w:textInput>
          </w:ffData>
        </w:fldChar>
      </w:r>
      <w:bookmarkStart w:id="0" w:name="Text14"/>
      <w:r w:rsidR="002E73A5">
        <w:rPr>
          <w:b/>
          <w:sz w:val="28"/>
        </w:rPr>
        <w:instrText xml:space="preserve"> FORMTEXT </w:instrText>
      </w:r>
      <w:r w:rsidR="002E73A5">
        <w:rPr>
          <w:b/>
          <w:sz w:val="28"/>
        </w:rPr>
      </w:r>
      <w:r w:rsidR="002E73A5">
        <w:rPr>
          <w:b/>
          <w:sz w:val="28"/>
        </w:rPr>
        <w:fldChar w:fldCharType="separate"/>
      </w:r>
      <w:r w:rsidR="002E73A5">
        <w:rPr>
          <w:b/>
          <w:noProof/>
          <w:sz w:val="28"/>
        </w:rPr>
        <w:t>OIVZ</w:t>
      </w:r>
      <w:r w:rsidR="002E73A5">
        <w:rPr>
          <w:b/>
          <w:sz w:val="28"/>
        </w:rPr>
        <w:fldChar w:fldCharType="end"/>
      </w:r>
      <w:bookmarkEnd w:id="0"/>
    </w:p>
    <w:p w:rsidR="003D5C64" w:rsidRDefault="003D5C64">
      <w:pPr>
        <w:rPr>
          <w:b/>
          <w:sz w:val="28"/>
        </w:rPr>
      </w:pPr>
      <w:r>
        <w:rPr>
          <w:b/>
          <w:sz w:val="28"/>
        </w:rPr>
        <w:t>nábř. Kpt. Jaroše 1000</w:t>
      </w:r>
    </w:p>
    <w:p w:rsidR="003D5C64" w:rsidRDefault="003D5C64">
      <w:pPr>
        <w:rPr>
          <w:b/>
          <w:sz w:val="28"/>
        </w:rPr>
      </w:pPr>
      <w:proofErr w:type="gramStart"/>
      <w:r>
        <w:rPr>
          <w:b/>
          <w:sz w:val="28"/>
        </w:rPr>
        <w:t>170 00  Praha</w:t>
      </w:r>
      <w:proofErr w:type="gramEnd"/>
      <w:r>
        <w:rPr>
          <w:b/>
          <w:sz w:val="28"/>
        </w:rPr>
        <w:t xml:space="preserve"> 7</w:t>
      </w:r>
    </w:p>
    <w:p w:rsidR="003D5C64" w:rsidRDefault="003D5C64">
      <w:pPr>
        <w:pBdr>
          <w:bottom w:val="single" w:sz="12" w:space="1" w:color="auto"/>
        </w:pBdr>
      </w:pPr>
    </w:p>
    <w:p w:rsidR="003D5C64" w:rsidRDefault="003D5C64">
      <w:pPr>
        <w:pBdr>
          <w:bottom w:val="single" w:sz="12" w:space="1" w:color="auto"/>
        </w:pBdr>
      </w:pPr>
    </w:p>
    <w:p w:rsidR="003D5C64" w:rsidRDefault="003D5C64"/>
    <w:p w:rsidR="003D5C64" w:rsidRDefault="003D5C64">
      <w:pPr>
        <w:sectPr w:rsidR="003D5C64">
          <w:footerReference w:type="default" r:id="rId9"/>
          <w:pgSz w:w="11907" w:h="16840" w:code="9"/>
          <w:pgMar w:top="851" w:right="1134" w:bottom="1418" w:left="1134" w:header="708" w:footer="708" w:gutter="0"/>
          <w:cols w:space="708"/>
        </w:sectPr>
      </w:pPr>
    </w:p>
    <w:p w:rsidR="003D5C64" w:rsidRDefault="003D5C64"/>
    <w:p w:rsidR="002E73A5" w:rsidRDefault="002E73A5" w:rsidP="002E73A5">
      <w:pPr>
        <w:jc w:val="center"/>
        <w:outlineLvl w:val="0"/>
        <w:rPr>
          <w:rFonts w:cs="Arial"/>
          <w:b/>
          <w:bCs/>
          <w:sz w:val="32"/>
          <w:szCs w:val="32"/>
        </w:rPr>
      </w:pPr>
      <w:r>
        <w:rPr>
          <w:rFonts w:cs="Arial"/>
          <w:b/>
          <w:bCs/>
          <w:sz w:val="32"/>
          <w:szCs w:val="32"/>
        </w:rPr>
        <w:t xml:space="preserve">OBCHODNÍ PODMÍNKY </w:t>
      </w:r>
    </w:p>
    <w:p w:rsidR="002E73A5" w:rsidRDefault="002E73A5" w:rsidP="002E73A5">
      <w:pPr>
        <w:pStyle w:val="Normlnweb"/>
        <w:spacing w:before="0" w:beforeAutospacing="0" w:after="0" w:afterAutospacing="0" w:line="276" w:lineRule="auto"/>
        <w:jc w:val="center"/>
        <w:rPr>
          <w:rFonts w:ascii="Arial" w:hAnsi="Arial" w:cs="Arial"/>
          <w:b/>
          <w:bCs/>
        </w:rPr>
      </w:pPr>
      <w:r>
        <w:rPr>
          <w:rFonts w:ascii="Arial" w:hAnsi="Arial" w:cs="Arial"/>
          <w:b/>
          <w:bCs/>
        </w:rPr>
        <w:t xml:space="preserve">k objednávce na dodávku č. 016/OIVZ/2019 </w:t>
      </w:r>
    </w:p>
    <w:p w:rsidR="002E73A5" w:rsidRDefault="002E73A5" w:rsidP="002E73A5">
      <w:pPr>
        <w:pStyle w:val="Normlnweb"/>
        <w:spacing w:before="0" w:beforeAutospacing="0" w:after="0" w:afterAutospacing="0" w:line="276" w:lineRule="auto"/>
        <w:jc w:val="center"/>
        <w:rPr>
          <w:rFonts w:ascii="Arial" w:hAnsi="Arial" w:cs="Arial"/>
          <w:b/>
          <w:bCs/>
        </w:rPr>
      </w:pPr>
      <w:r>
        <w:rPr>
          <w:rFonts w:ascii="Arial" w:hAnsi="Arial" w:cs="Arial"/>
          <w:b/>
          <w:bCs/>
        </w:rPr>
        <w:t xml:space="preserve">na akci MŠ Na výšinách – výměna malého výtahu </w:t>
      </w:r>
    </w:p>
    <w:p w:rsidR="002E73A5" w:rsidRDefault="002E73A5" w:rsidP="002E73A5">
      <w:pPr>
        <w:shd w:val="clear" w:color="auto" w:fill="FFFFFF"/>
        <w:suppressAutoHyphens/>
        <w:jc w:val="both"/>
        <w:rPr>
          <w:rFonts w:ascii="Arial" w:hAnsi="Arial" w:cs="Arial"/>
          <w:szCs w:val="22"/>
          <w:lang w:eastAsia="ar-SA"/>
        </w:rPr>
      </w:pPr>
    </w:p>
    <w:p w:rsidR="002E73A5" w:rsidRDefault="002E73A5" w:rsidP="002E73A5">
      <w:pPr>
        <w:pStyle w:val="Odstavecseseznamem"/>
        <w:numPr>
          <w:ilvl w:val="0"/>
          <w:numId w:val="1"/>
        </w:numPr>
        <w:ind w:left="0"/>
        <w:contextualSpacing/>
        <w:jc w:val="both"/>
        <w:rPr>
          <w:rFonts w:cs="Arial"/>
          <w:b/>
          <w:bCs/>
          <w:sz w:val="20"/>
          <w:szCs w:val="20"/>
        </w:rPr>
      </w:pPr>
      <w:r>
        <w:rPr>
          <w:rFonts w:cs="Arial"/>
          <w:b/>
          <w:bCs/>
          <w:sz w:val="20"/>
          <w:szCs w:val="20"/>
        </w:rPr>
        <w:t>Účel a předmět objednávky</w:t>
      </w:r>
    </w:p>
    <w:p w:rsidR="002E73A5" w:rsidRDefault="002E73A5" w:rsidP="002E73A5">
      <w:pPr>
        <w:pStyle w:val="Odstavecseseznamem"/>
        <w:numPr>
          <w:ilvl w:val="1"/>
          <w:numId w:val="1"/>
        </w:numPr>
        <w:ind w:left="0"/>
        <w:contextualSpacing/>
        <w:rPr>
          <w:rFonts w:cs="Arial"/>
          <w:sz w:val="20"/>
          <w:szCs w:val="20"/>
        </w:rPr>
      </w:pPr>
      <w:r>
        <w:rPr>
          <w:rFonts w:cs="Arial"/>
          <w:sz w:val="20"/>
          <w:szCs w:val="20"/>
        </w:rPr>
        <w:t>Účelem objednávky je zajištění nového funkčního jídelního výtahu.</w:t>
      </w:r>
    </w:p>
    <w:p w:rsidR="002E73A5" w:rsidRDefault="002E73A5" w:rsidP="002E73A5">
      <w:pPr>
        <w:rPr>
          <w:rFonts w:cs="Arial"/>
        </w:rPr>
      </w:pPr>
      <w:r>
        <w:rPr>
          <w:rFonts w:cs="Arial"/>
          <w:bCs/>
        </w:rPr>
        <w:t xml:space="preserve">Předmět dodávky je </w:t>
      </w:r>
      <w:r>
        <w:rPr>
          <w:rFonts w:cs="Arial"/>
        </w:rPr>
        <w:t>výměna malého nákladního výtahu typu MB 100 (jídelní), který tvoří dopravní trasu z </w:t>
      </w:r>
      <w:proofErr w:type="spellStart"/>
      <w:r>
        <w:rPr>
          <w:rFonts w:cs="Arial"/>
        </w:rPr>
        <w:t>gastro</w:t>
      </w:r>
      <w:proofErr w:type="spellEnd"/>
      <w:r>
        <w:rPr>
          <w:rFonts w:cs="Arial"/>
        </w:rPr>
        <w:t xml:space="preserve"> provozu do výdejových kuchyněk mateřské školy. Vlastní výtahová šachta je stávající, beze změny zůstává i umístění a počet nástupišť, technologie tedy musí být sladěna s rozměry stávající šachty.</w:t>
      </w:r>
    </w:p>
    <w:p w:rsidR="002E73A5" w:rsidRDefault="002E73A5" w:rsidP="002E73A5">
      <w:pPr>
        <w:rPr>
          <w:rFonts w:cs="Arial"/>
        </w:rPr>
      </w:pPr>
      <w:r>
        <w:rPr>
          <w:rFonts w:cs="Arial"/>
        </w:rPr>
        <w:t xml:space="preserve">Rekonstrukce zahrnuje výměnu technologie výtahu včetně elektroinstalace, včetně demontáže stávající technologie a dále stavební připravenost a drobné stavební práce související s šachtou jako úpravy dveřních otvorů výtahové šachty a strojovny a provedení nových povrchů dotčených konstrukcí – vše v rozsahu projektové dokumentace ve stupni DPS a zadávacího výkazu výměr, zpracované společností PLAN PLUS s.r.o., Horňátecká 1772/19, Praha 8, IČO 629 17 544, hlavní projektant Ing </w:t>
      </w:r>
      <w:r w:rsidR="00D47172">
        <w:rPr>
          <w:rFonts w:cs="Arial"/>
        </w:rPr>
        <w:t>xxxxxxxxxxxxxx</w:t>
      </w:r>
      <w:bookmarkStart w:id="1" w:name="_GoBack"/>
      <w:bookmarkEnd w:id="1"/>
      <w:r>
        <w:rPr>
          <w:rFonts w:cs="Arial"/>
        </w:rPr>
        <w:t xml:space="preserve">; ve 3. Q 2018. </w:t>
      </w:r>
    </w:p>
    <w:p w:rsidR="002E73A5" w:rsidRDefault="002E73A5" w:rsidP="002E73A5">
      <w:pPr>
        <w:rPr>
          <w:rFonts w:cs="Arial"/>
        </w:rPr>
      </w:pPr>
      <w:r>
        <w:rPr>
          <w:rFonts w:cs="Arial"/>
        </w:rPr>
        <w:t>Součástí díla je také zajištění dokumentace výrobní a dokumentace skutečného provedení.</w:t>
      </w:r>
    </w:p>
    <w:p w:rsidR="002E73A5" w:rsidRDefault="002E73A5" w:rsidP="002E73A5">
      <w:pPr>
        <w:rPr>
          <w:rFonts w:cs="Arial"/>
        </w:rPr>
      </w:pPr>
      <w:r>
        <w:rPr>
          <w:rFonts w:eastAsia="Calibri" w:cs="Arial"/>
        </w:rPr>
        <w:t>Elektroinstalace výtahu bude napojena na stávající rozvody.</w:t>
      </w:r>
      <w:r>
        <w:rPr>
          <w:rFonts w:cs="Arial"/>
        </w:rPr>
        <w:t xml:space="preserve"> </w:t>
      </w:r>
    </w:p>
    <w:p w:rsidR="002E73A5" w:rsidRDefault="002E73A5" w:rsidP="002E73A5">
      <w:pPr>
        <w:rPr>
          <w:rFonts w:eastAsia="Calibri" w:cs="Arial"/>
        </w:rPr>
      </w:pPr>
      <w:r>
        <w:rPr>
          <w:rFonts w:cs="Arial"/>
        </w:rPr>
        <w:t>Dodávka bude ukončena zkušebním provozem nového výtahu.</w:t>
      </w:r>
    </w:p>
    <w:p w:rsidR="002E73A5" w:rsidRDefault="002E73A5" w:rsidP="002E73A5">
      <w:pPr>
        <w:rPr>
          <w:rFonts w:eastAsia="Calibri" w:cs="Arial"/>
        </w:rPr>
      </w:pPr>
      <w:r>
        <w:rPr>
          <w:rFonts w:eastAsia="Calibri" w:cs="Arial"/>
        </w:rPr>
        <w:t>Práce budou probíhat bez přerušení provozu mateřské školy.</w:t>
      </w:r>
    </w:p>
    <w:p w:rsidR="002E73A5" w:rsidRDefault="002E73A5" w:rsidP="002E73A5">
      <w:pPr>
        <w:pStyle w:val="Odstavecseseznamem"/>
        <w:numPr>
          <w:ilvl w:val="1"/>
          <w:numId w:val="1"/>
        </w:numPr>
        <w:ind w:left="0"/>
        <w:contextualSpacing/>
        <w:jc w:val="both"/>
        <w:rPr>
          <w:rFonts w:cs="Arial"/>
          <w:bCs/>
          <w:sz w:val="20"/>
          <w:szCs w:val="20"/>
        </w:rPr>
      </w:pPr>
      <w:r>
        <w:rPr>
          <w:rFonts w:cs="Arial"/>
          <w:bCs/>
          <w:sz w:val="20"/>
          <w:szCs w:val="20"/>
        </w:rPr>
        <w:t xml:space="preserve">Cenová a technická specifikace dodávky (DPS a zadávací výkazy) je uvedena v příloze č. 1 této objednávky, oceněný výkaz výměr je uveden v příloze č. 2 objednávky. </w:t>
      </w:r>
    </w:p>
    <w:p w:rsidR="002E73A5" w:rsidRDefault="002E73A5" w:rsidP="002E73A5">
      <w:pPr>
        <w:pStyle w:val="Odstavecseseznamem"/>
        <w:numPr>
          <w:ilvl w:val="1"/>
          <w:numId w:val="1"/>
        </w:numPr>
        <w:ind w:left="0"/>
        <w:contextualSpacing/>
        <w:jc w:val="both"/>
        <w:rPr>
          <w:rFonts w:cs="Arial"/>
          <w:bCs/>
          <w:sz w:val="20"/>
          <w:szCs w:val="20"/>
        </w:rPr>
      </w:pPr>
      <w:r>
        <w:rPr>
          <w:rFonts w:cs="Arial"/>
          <w:sz w:val="20"/>
          <w:szCs w:val="20"/>
        </w:rPr>
        <w:t>Prodávající se zavazuje v této objednávce specifikovaný předmět plnění dodat včas a řádně za podmínek uvedených v této objednávce a v souladu s těmito obchodními podmínkami.</w:t>
      </w:r>
    </w:p>
    <w:p w:rsidR="002E73A5" w:rsidRDefault="002E73A5" w:rsidP="002E73A5">
      <w:pPr>
        <w:jc w:val="both"/>
        <w:rPr>
          <w:rFonts w:cs="Arial"/>
        </w:rPr>
      </w:pPr>
    </w:p>
    <w:p w:rsidR="002E73A5" w:rsidRDefault="002E73A5" w:rsidP="002E73A5">
      <w:pPr>
        <w:pStyle w:val="Odstavecseseznamem"/>
        <w:numPr>
          <w:ilvl w:val="0"/>
          <w:numId w:val="1"/>
        </w:numPr>
        <w:ind w:left="0"/>
        <w:contextualSpacing/>
        <w:jc w:val="both"/>
        <w:rPr>
          <w:rFonts w:cs="Arial"/>
          <w:b/>
          <w:bCs/>
          <w:sz w:val="20"/>
          <w:szCs w:val="20"/>
        </w:rPr>
      </w:pPr>
      <w:r>
        <w:rPr>
          <w:rFonts w:cs="Arial"/>
          <w:b/>
          <w:bCs/>
          <w:sz w:val="20"/>
          <w:szCs w:val="20"/>
        </w:rPr>
        <w:t>Cena předmětu dodávky</w:t>
      </w:r>
    </w:p>
    <w:p w:rsidR="002E73A5" w:rsidRDefault="002E73A5" w:rsidP="002E73A5">
      <w:pPr>
        <w:pStyle w:val="Odstavecseseznamem"/>
        <w:ind w:left="0"/>
        <w:contextualSpacing/>
        <w:jc w:val="both"/>
        <w:rPr>
          <w:rFonts w:cs="Arial"/>
          <w:b/>
          <w:bCs/>
          <w:sz w:val="20"/>
          <w:szCs w:val="20"/>
        </w:rPr>
      </w:pPr>
      <w:r>
        <w:rPr>
          <w:rFonts w:cs="Arial"/>
          <w:bCs/>
          <w:sz w:val="20"/>
          <w:szCs w:val="20"/>
        </w:rPr>
        <w:t>K</w:t>
      </w:r>
      <w:r>
        <w:rPr>
          <w:rFonts w:cs="Arial"/>
          <w:color w:val="000000"/>
          <w:sz w:val="20"/>
          <w:szCs w:val="20"/>
        </w:rPr>
        <w:t xml:space="preserve">upní cena byla stanovena dohodou smluvních stran, v souladu s platnými cenovými předpisy na základě celkového součtu oceněných jednotlivých položek dodávek a prací uvedených v příloze č. 1 </w:t>
      </w:r>
      <w:r>
        <w:rPr>
          <w:rFonts w:cs="Arial"/>
          <w:sz w:val="20"/>
          <w:szCs w:val="20"/>
        </w:rPr>
        <w:t>Cenová a technická specifikace objednávky</w:t>
      </w:r>
      <w:r>
        <w:rPr>
          <w:rFonts w:cs="Arial"/>
          <w:color w:val="000000"/>
          <w:sz w:val="20"/>
          <w:szCs w:val="20"/>
        </w:rPr>
        <w:t xml:space="preserve">. Cena obsahuje </w:t>
      </w:r>
      <w:r>
        <w:rPr>
          <w:rFonts w:cs="Arial"/>
          <w:sz w:val="20"/>
          <w:szCs w:val="20"/>
        </w:rPr>
        <w:t xml:space="preserve">veškeré náklady spojené s dodávkou </w:t>
      </w:r>
      <w:r>
        <w:rPr>
          <w:rFonts w:cs="Arial"/>
          <w:snapToGrid w:val="0"/>
          <w:sz w:val="20"/>
          <w:szCs w:val="20"/>
        </w:rPr>
        <w:t>do</w:t>
      </w:r>
      <w:r>
        <w:rPr>
          <w:rFonts w:cs="Arial"/>
          <w:sz w:val="20"/>
          <w:szCs w:val="20"/>
        </w:rPr>
        <w:t xml:space="preserve"> místa plnění, demontáž stávajícího výtahu, montáž a zabezpečení a činí:</w:t>
      </w:r>
    </w:p>
    <w:tbl>
      <w:tblPr>
        <w:tblW w:w="8363" w:type="dxa"/>
        <w:tblInd w:w="779" w:type="dxa"/>
        <w:tblCellMar>
          <w:left w:w="70" w:type="dxa"/>
          <w:right w:w="70" w:type="dxa"/>
        </w:tblCellMar>
        <w:tblLook w:val="04A0" w:firstRow="1" w:lastRow="0" w:firstColumn="1" w:lastColumn="0" w:noHBand="0" w:noVBand="1"/>
      </w:tblPr>
      <w:tblGrid>
        <w:gridCol w:w="4253"/>
        <w:gridCol w:w="567"/>
        <w:gridCol w:w="3543"/>
      </w:tblGrid>
      <w:tr w:rsidR="002E73A5" w:rsidTr="002E73A5">
        <w:trPr>
          <w:trHeight w:val="300"/>
        </w:trPr>
        <w:tc>
          <w:tcPr>
            <w:tcW w:w="4253" w:type="dxa"/>
            <w:tcBorders>
              <w:top w:val="single" w:sz="4" w:space="0" w:color="auto"/>
              <w:left w:val="single" w:sz="8" w:space="0" w:color="auto"/>
              <w:bottom w:val="single" w:sz="4" w:space="0" w:color="auto"/>
              <w:right w:val="single" w:sz="8" w:space="0" w:color="000000"/>
            </w:tcBorders>
            <w:shd w:val="clear" w:color="auto" w:fill="DDD9C4"/>
            <w:noWrap/>
            <w:vAlign w:val="center"/>
            <w:hideMark/>
          </w:tcPr>
          <w:p w:rsidR="002E73A5" w:rsidRDefault="002E73A5">
            <w:pPr>
              <w:rPr>
                <w:rFonts w:ascii="Arial" w:hAnsi="Arial" w:cs="Arial"/>
                <w:b/>
                <w:bCs/>
                <w:color w:val="000000"/>
              </w:rPr>
            </w:pPr>
            <w:r>
              <w:rPr>
                <w:rFonts w:cs="Arial"/>
                <w:b/>
                <w:bCs/>
                <w:color w:val="000000"/>
              </w:rPr>
              <w:t>Cena celkem bez DPH</w:t>
            </w:r>
          </w:p>
        </w:tc>
        <w:tc>
          <w:tcPr>
            <w:tcW w:w="567" w:type="dxa"/>
            <w:tcBorders>
              <w:top w:val="single" w:sz="4" w:space="0" w:color="auto"/>
              <w:left w:val="nil"/>
              <w:bottom w:val="single" w:sz="4" w:space="0" w:color="auto"/>
              <w:right w:val="single" w:sz="4" w:space="0" w:color="auto"/>
            </w:tcBorders>
            <w:shd w:val="clear" w:color="auto" w:fill="DDD9C4"/>
            <w:noWrap/>
            <w:vAlign w:val="center"/>
            <w:hideMark/>
          </w:tcPr>
          <w:p w:rsidR="002E73A5" w:rsidRDefault="002E73A5"/>
        </w:tc>
        <w:tc>
          <w:tcPr>
            <w:tcW w:w="3543" w:type="dxa"/>
            <w:tcBorders>
              <w:top w:val="single" w:sz="4" w:space="0" w:color="auto"/>
              <w:left w:val="nil"/>
              <w:bottom w:val="single" w:sz="4" w:space="0" w:color="auto"/>
              <w:right w:val="single" w:sz="8" w:space="0" w:color="000000"/>
            </w:tcBorders>
            <w:shd w:val="clear" w:color="auto" w:fill="DDD9C4"/>
            <w:noWrap/>
            <w:vAlign w:val="center"/>
            <w:hideMark/>
          </w:tcPr>
          <w:p w:rsidR="002E73A5" w:rsidRDefault="002E73A5">
            <w:pPr>
              <w:jc w:val="right"/>
              <w:rPr>
                <w:rFonts w:ascii="Arial" w:hAnsi="Arial" w:cs="Arial"/>
                <w:b/>
                <w:bCs/>
                <w:color w:val="000000"/>
              </w:rPr>
            </w:pPr>
            <w:r>
              <w:rPr>
                <w:rFonts w:cs="Arial"/>
                <w:b/>
                <w:bCs/>
                <w:color w:val="000000"/>
                <w:lang w:eastAsia="en-US"/>
              </w:rPr>
              <w:t>419.044,00 Kč</w:t>
            </w:r>
          </w:p>
        </w:tc>
      </w:tr>
      <w:tr w:rsidR="002E73A5" w:rsidTr="002E73A5">
        <w:trPr>
          <w:trHeight w:val="300"/>
        </w:trPr>
        <w:tc>
          <w:tcPr>
            <w:tcW w:w="4253" w:type="dxa"/>
            <w:tcBorders>
              <w:top w:val="single" w:sz="4" w:space="0" w:color="auto"/>
              <w:left w:val="single" w:sz="8" w:space="0" w:color="auto"/>
              <w:bottom w:val="single" w:sz="4" w:space="0" w:color="auto"/>
              <w:right w:val="single" w:sz="8" w:space="0" w:color="000000"/>
            </w:tcBorders>
            <w:shd w:val="clear" w:color="auto" w:fill="DDD9C4"/>
            <w:noWrap/>
            <w:vAlign w:val="center"/>
            <w:hideMark/>
          </w:tcPr>
          <w:p w:rsidR="002E73A5" w:rsidRDefault="002E73A5">
            <w:pPr>
              <w:rPr>
                <w:rFonts w:ascii="Arial" w:hAnsi="Arial" w:cs="Arial"/>
                <w:b/>
                <w:bCs/>
                <w:color w:val="000000"/>
              </w:rPr>
            </w:pPr>
            <w:r>
              <w:rPr>
                <w:rFonts w:cs="Arial"/>
                <w:b/>
                <w:bCs/>
                <w:color w:val="000000"/>
              </w:rPr>
              <w:t>DPH 21%</w:t>
            </w:r>
          </w:p>
        </w:tc>
        <w:tc>
          <w:tcPr>
            <w:tcW w:w="567" w:type="dxa"/>
            <w:tcBorders>
              <w:top w:val="single" w:sz="4" w:space="0" w:color="auto"/>
              <w:left w:val="nil"/>
              <w:bottom w:val="single" w:sz="4" w:space="0" w:color="auto"/>
              <w:right w:val="single" w:sz="4" w:space="0" w:color="auto"/>
            </w:tcBorders>
            <w:shd w:val="clear" w:color="auto" w:fill="DDD9C4"/>
            <w:noWrap/>
            <w:vAlign w:val="center"/>
          </w:tcPr>
          <w:p w:rsidR="002E73A5" w:rsidRDefault="002E73A5">
            <w:pPr>
              <w:jc w:val="center"/>
              <w:rPr>
                <w:rFonts w:ascii="Arial" w:hAnsi="Arial" w:cs="Arial"/>
                <w:b/>
                <w:bCs/>
                <w:color w:val="000000"/>
              </w:rPr>
            </w:pPr>
          </w:p>
        </w:tc>
        <w:tc>
          <w:tcPr>
            <w:tcW w:w="3543" w:type="dxa"/>
            <w:tcBorders>
              <w:top w:val="single" w:sz="4" w:space="0" w:color="auto"/>
              <w:left w:val="nil"/>
              <w:bottom w:val="single" w:sz="4" w:space="0" w:color="auto"/>
              <w:right w:val="single" w:sz="8" w:space="0" w:color="000000"/>
            </w:tcBorders>
            <w:shd w:val="clear" w:color="auto" w:fill="DDD9C4"/>
            <w:noWrap/>
            <w:vAlign w:val="center"/>
            <w:hideMark/>
          </w:tcPr>
          <w:p w:rsidR="002E73A5" w:rsidRDefault="002E73A5">
            <w:pPr>
              <w:jc w:val="right"/>
              <w:rPr>
                <w:rFonts w:ascii="Arial" w:hAnsi="Arial" w:cs="Arial"/>
                <w:b/>
                <w:bCs/>
                <w:color w:val="000000"/>
              </w:rPr>
            </w:pPr>
            <w:r>
              <w:rPr>
                <w:rFonts w:cs="Arial"/>
                <w:b/>
                <w:bCs/>
                <w:color w:val="000000"/>
                <w:lang w:eastAsia="en-US"/>
              </w:rPr>
              <w:t xml:space="preserve">87.999,24 Kč </w:t>
            </w:r>
          </w:p>
        </w:tc>
      </w:tr>
      <w:tr w:rsidR="002E73A5" w:rsidTr="002E73A5">
        <w:trPr>
          <w:trHeight w:val="315"/>
        </w:trPr>
        <w:tc>
          <w:tcPr>
            <w:tcW w:w="4253" w:type="dxa"/>
            <w:tcBorders>
              <w:top w:val="single" w:sz="4" w:space="0" w:color="auto"/>
              <w:left w:val="single" w:sz="8" w:space="0" w:color="auto"/>
              <w:bottom w:val="single" w:sz="8" w:space="0" w:color="auto"/>
              <w:right w:val="single" w:sz="8" w:space="0" w:color="000000"/>
            </w:tcBorders>
            <w:shd w:val="clear" w:color="auto" w:fill="DDD9C4"/>
            <w:noWrap/>
            <w:vAlign w:val="center"/>
            <w:hideMark/>
          </w:tcPr>
          <w:p w:rsidR="002E73A5" w:rsidRDefault="002E73A5">
            <w:pPr>
              <w:rPr>
                <w:rFonts w:ascii="Arial" w:hAnsi="Arial" w:cs="Arial"/>
                <w:b/>
                <w:bCs/>
                <w:color w:val="000000"/>
              </w:rPr>
            </w:pPr>
            <w:r>
              <w:rPr>
                <w:rFonts w:cs="Arial"/>
                <w:b/>
                <w:bCs/>
                <w:color w:val="000000"/>
              </w:rPr>
              <w:t>Cena celkem s DPH</w:t>
            </w:r>
          </w:p>
        </w:tc>
        <w:tc>
          <w:tcPr>
            <w:tcW w:w="567" w:type="dxa"/>
            <w:tcBorders>
              <w:top w:val="single" w:sz="4" w:space="0" w:color="auto"/>
              <w:left w:val="nil"/>
              <w:bottom w:val="single" w:sz="8" w:space="0" w:color="auto"/>
              <w:right w:val="single" w:sz="4" w:space="0" w:color="auto"/>
            </w:tcBorders>
            <w:shd w:val="clear" w:color="auto" w:fill="DDD9C4"/>
            <w:noWrap/>
            <w:vAlign w:val="center"/>
            <w:hideMark/>
          </w:tcPr>
          <w:p w:rsidR="002E73A5" w:rsidRDefault="002E73A5"/>
        </w:tc>
        <w:tc>
          <w:tcPr>
            <w:tcW w:w="3543" w:type="dxa"/>
            <w:tcBorders>
              <w:top w:val="single" w:sz="4" w:space="0" w:color="auto"/>
              <w:left w:val="nil"/>
              <w:bottom w:val="single" w:sz="8" w:space="0" w:color="auto"/>
              <w:right w:val="single" w:sz="8" w:space="0" w:color="000000"/>
            </w:tcBorders>
            <w:shd w:val="clear" w:color="auto" w:fill="DDD9C4"/>
            <w:noWrap/>
            <w:vAlign w:val="center"/>
            <w:hideMark/>
          </w:tcPr>
          <w:p w:rsidR="002E73A5" w:rsidRDefault="002E73A5">
            <w:pPr>
              <w:jc w:val="right"/>
              <w:rPr>
                <w:rFonts w:ascii="Arial" w:hAnsi="Arial" w:cs="Arial"/>
                <w:b/>
                <w:bCs/>
                <w:color w:val="000000"/>
              </w:rPr>
            </w:pPr>
            <w:r>
              <w:rPr>
                <w:rFonts w:cs="Arial"/>
                <w:b/>
                <w:bCs/>
                <w:color w:val="000000"/>
                <w:lang w:eastAsia="en-US"/>
              </w:rPr>
              <w:t>507.043,24 Kč</w:t>
            </w:r>
          </w:p>
        </w:tc>
      </w:tr>
    </w:tbl>
    <w:p w:rsidR="002E73A5" w:rsidRDefault="002E73A5" w:rsidP="002E73A5">
      <w:pPr>
        <w:pStyle w:val="Normlnweb"/>
        <w:spacing w:before="0" w:beforeAutospacing="0" w:after="0" w:afterAutospacing="0"/>
        <w:rPr>
          <w:rFonts w:ascii="Arial" w:hAnsi="Arial" w:cs="Arial"/>
          <w:b/>
          <w:bCs/>
          <w:sz w:val="20"/>
          <w:szCs w:val="20"/>
        </w:rPr>
      </w:pPr>
    </w:p>
    <w:p w:rsidR="002E73A5" w:rsidRDefault="002E73A5" w:rsidP="002E73A5">
      <w:pPr>
        <w:pStyle w:val="Odstavecseseznamem"/>
        <w:numPr>
          <w:ilvl w:val="0"/>
          <w:numId w:val="1"/>
        </w:numPr>
        <w:ind w:left="0"/>
        <w:contextualSpacing/>
        <w:jc w:val="both"/>
        <w:rPr>
          <w:rFonts w:cs="Arial"/>
          <w:b/>
          <w:bCs/>
          <w:sz w:val="20"/>
          <w:szCs w:val="20"/>
        </w:rPr>
      </w:pPr>
      <w:r>
        <w:rPr>
          <w:rFonts w:cs="Arial"/>
          <w:b/>
          <w:bCs/>
          <w:sz w:val="20"/>
          <w:szCs w:val="20"/>
        </w:rPr>
        <w:t>Platební podmínky</w:t>
      </w:r>
    </w:p>
    <w:p w:rsidR="002E73A5" w:rsidRDefault="002E73A5" w:rsidP="002E73A5">
      <w:pPr>
        <w:numPr>
          <w:ilvl w:val="1"/>
          <w:numId w:val="1"/>
        </w:numPr>
        <w:overflowPunct/>
        <w:autoSpaceDE/>
        <w:autoSpaceDN/>
        <w:adjustRightInd/>
        <w:ind w:left="0"/>
        <w:jc w:val="both"/>
        <w:textAlignment w:val="auto"/>
        <w:rPr>
          <w:rFonts w:cs="Arial"/>
        </w:rPr>
      </w:pPr>
      <w:r>
        <w:rPr>
          <w:rFonts w:cs="Arial"/>
        </w:rPr>
        <w:t xml:space="preserve">Kupující bude hradit kupní cenu na základě daňového dokladu – faktury zaslaného prodávajícím na adresu kupujícího uvedenou v záhlaví této objednávky. Splatnost faktury je </w:t>
      </w:r>
      <w:r>
        <w:rPr>
          <w:rFonts w:cs="Arial"/>
          <w:b/>
        </w:rPr>
        <w:t>21</w:t>
      </w:r>
      <w:r>
        <w:rPr>
          <w:rFonts w:cs="Arial"/>
        </w:rPr>
        <w:t xml:space="preserve"> (slovy: dvacet jedna) </w:t>
      </w:r>
      <w:r>
        <w:rPr>
          <w:rFonts w:cs="Arial"/>
          <w:b/>
        </w:rPr>
        <w:t>dnů</w:t>
      </w:r>
      <w:r>
        <w:rPr>
          <w:rFonts w:cs="Arial"/>
        </w:rPr>
        <w:t xml:space="preserve"> ode dne doručení kupujícímu. Faktura musí obsahovat všechny náležitosti řádného daňového a účetního dokladu ve smyslu příslušných platných právních předpisů, číslo této objednávky a nedílnou součástí faktury bude </w:t>
      </w:r>
      <w:r>
        <w:rPr>
          <w:rFonts w:cs="Arial"/>
          <w:b/>
        </w:rPr>
        <w:t>soupis prací, dodávek poskytnutých v příslušném kalendářním měsíci.</w:t>
      </w:r>
      <w:r>
        <w:rPr>
          <w:rFonts w:cs="Arial"/>
        </w:rPr>
        <w:t xml:space="preserve"> Podkladem k vystavení faktury - daňového dokladu - jsou soupisy skutečně provedených prací a dodávek a služeb v uplynulém kalendářním měsíci zhotovitelem. Prodávající je povinen předat soupis skutečně provedených prací a dodávek technickému dozoru stavebníka (dále jen „TDS) /objednatele k odsouhlasení nejpozději k 25. dni příslušného měsíce. TDS připojí své stanovisko k soupisům provedených prací a dodávek a vrátí jej zpět prodávajícímu nejpozději do 3 pracovních dnů od jejich obdržení. </w:t>
      </w:r>
    </w:p>
    <w:p w:rsidR="002E73A5" w:rsidRDefault="002E73A5" w:rsidP="002E73A5">
      <w:pPr>
        <w:tabs>
          <w:tab w:val="center" w:pos="709"/>
          <w:tab w:val="center" w:pos="4536"/>
          <w:tab w:val="right" w:pos="9072"/>
        </w:tabs>
        <w:ind w:hanging="709"/>
        <w:jc w:val="both"/>
        <w:rPr>
          <w:rFonts w:cs="Arial"/>
        </w:rPr>
      </w:pPr>
    </w:p>
    <w:p w:rsidR="002E73A5" w:rsidRDefault="002E73A5" w:rsidP="002E73A5">
      <w:pPr>
        <w:numPr>
          <w:ilvl w:val="1"/>
          <w:numId w:val="1"/>
        </w:numPr>
        <w:overflowPunct/>
        <w:autoSpaceDE/>
        <w:autoSpaceDN/>
        <w:adjustRightInd/>
        <w:ind w:left="0"/>
        <w:jc w:val="both"/>
        <w:textAlignment w:val="auto"/>
        <w:rPr>
          <w:rFonts w:cs="Arial"/>
        </w:rPr>
      </w:pPr>
      <w:r>
        <w:rPr>
          <w:rFonts w:cs="Arial"/>
        </w:rPr>
        <w:t xml:space="preserve">Soupis skutečně provedených prací a dodávek v příslušném kalendářním měsíci musí vycházet z nabídkového rozpočtu prodávajícího, oceněného výkazu výměr, který byl vypracován oceněním soupisu prací, dodávek prodávajícího a je jako příloha č. 1 nedílnou součástí této objednávky / smlouvy.  Soupis skutečně provedených dodávek a prací, který bude prodávající předkládat TDS ke kontrole před vystavením faktury, bude předložen TDS v tištěné podobě a současně </w:t>
      </w:r>
      <w:r>
        <w:rPr>
          <w:rFonts w:cs="Arial"/>
        </w:rPr>
        <w:lastRenderedPageBreak/>
        <w:t>v datové podobě. Částky v soupisu provedených prací budou uvedeny na 2 desetinná místa a číselně musí s přesností a korespondovat s nabídkovým rozpočtem, který je uveden v příloze č. 1 této smlouvy.</w:t>
      </w:r>
    </w:p>
    <w:p w:rsidR="002E73A5" w:rsidRDefault="002E73A5" w:rsidP="002E73A5">
      <w:pPr>
        <w:pStyle w:val="Odstavecseseznamem"/>
        <w:ind w:left="0"/>
        <w:contextualSpacing/>
        <w:jc w:val="both"/>
        <w:rPr>
          <w:rFonts w:cs="Arial"/>
          <w:sz w:val="20"/>
          <w:szCs w:val="20"/>
        </w:rPr>
      </w:pPr>
    </w:p>
    <w:p w:rsidR="002E73A5" w:rsidRDefault="002E73A5" w:rsidP="002E73A5">
      <w:pPr>
        <w:pStyle w:val="Odstavecseseznamem"/>
        <w:numPr>
          <w:ilvl w:val="1"/>
          <w:numId w:val="1"/>
        </w:numPr>
        <w:ind w:left="0"/>
        <w:contextualSpacing/>
        <w:jc w:val="both"/>
        <w:rPr>
          <w:rFonts w:cs="Arial"/>
          <w:sz w:val="20"/>
          <w:szCs w:val="20"/>
        </w:rPr>
      </w:pPr>
      <w:r>
        <w:rPr>
          <w:rFonts w:cs="Arial"/>
          <w:sz w:val="20"/>
          <w:szCs w:val="20"/>
        </w:rPr>
        <w:t xml:space="preserve">Splatnost faktur je </w:t>
      </w:r>
      <w:r>
        <w:rPr>
          <w:rFonts w:cs="Arial"/>
          <w:b/>
          <w:sz w:val="20"/>
          <w:szCs w:val="20"/>
        </w:rPr>
        <w:t>21 dnů</w:t>
      </w:r>
      <w:r>
        <w:rPr>
          <w:rFonts w:cs="Arial"/>
          <w:sz w:val="20"/>
          <w:szCs w:val="20"/>
        </w:rPr>
        <w:t xml:space="preserve"> ode dne doručení faktury kupujícímu.</w:t>
      </w:r>
    </w:p>
    <w:p w:rsidR="002E73A5" w:rsidRDefault="002E73A5" w:rsidP="002E73A5">
      <w:pPr>
        <w:pStyle w:val="Odstavecseseznamem"/>
        <w:rPr>
          <w:rFonts w:cs="Arial"/>
          <w:sz w:val="20"/>
          <w:szCs w:val="20"/>
        </w:rPr>
      </w:pPr>
    </w:p>
    <w:p w:rsidR="002E73A5" w:rsidRDefault="002E73A5" w:rsidP="002E73A5">
      <w:pPr>
        <w:pStyle w:val="Odstavecseseznamem"/>
        <w:ind w:left="0"/>
        <w:contextualSpacing/>
        <w:jc w:val="both"/>
        <w:rPr>
          <w:rFonts w:cs="Arial"/>
          <w:sz w:val="20"/>
          <w:szCs w:val="20"/>
        </w:rPr>
      </w:pPr>
    </w:p>
    <w:p w:rsidR="002E73A5" w:rsidRDefault="002E73A5" w:rsidP="002E73A5">
      <w:pPr>
        <w:pStyle w:val="Odstavecseseznamem"/>
        <w:numPr>
          <w:ilvl w:val="0"/>
          <w:numId w:val="2"/>
        </w:numPr>
        <w:contextualSpacing/>
        <w:rPr>
          <w:rFonts w:cs="Arial"/>
          <w:sz w:val="20"/>
          <w:szCs w:val="20"/>
        </w:rPr>
      </w:pPr>
      <w:r>
        <w:rPr>
          <w:rFonts w:cs="Arial"/>
          <w:b/>
          <w:sz w:val="20"/>
          <w:szCs w:val="20"/>
        </w:rPr>
        <w:t>Doba a místo plnění</w:t>
      </w:r>
    </w:p>
    <w:p w:rsidR="002E73A5" w:rsidRDefault="002E73A5" w:rsidP="002E73A5">
      <w:pPr>
        <w:pStyle w:val="Odstavecseseznamem"/>
        <w:numPr>
          <w:ilvl w:val="1"/>
          <w:numId w:val="2"/>
        </w:numPr>
        <w:contextualSpacing/>
        <w:rPr>
          <w:rFonts w:cs="Arial"/>
          <w:sz w:val="20"/>
          <w:szCs w:val="20"/>
        </w:rPr>
      </w:pPr>
      <w:r>
        <w:rPr>
          <w:rFonts w:cs="Arial"/>
          <w:b/>
          <w:sz w:val="20"/>
          <w:szCs w:val="20"/>
        </w:rPr>
        <w:t>Zahájení dodávky: následujícího dne po účinnosti objednávky / dodávky.</w:t>
      </w:r>
    </w:p>
    <w:p w:rsidR="002E73A5" w:rsidRDefault="002E73A5" w:rsidP="002E73A5">
      <w:pPr>
        <w:pStyle w:val="Odstavecseseznamem"/>
        <w:ind w:left="-37"/>
        <w:contextualSpacing/>
        <w:rPr>
          <w:rFonts w:cs="Arial"/>
          <w:b/>
          <w:sz w:val="20"/>
          <w:szCs w:val="20"/>
        </w:rPr>
      </w:pPr>
      <w:r>
        <w:rPr>
          <w:rFonts w:cs="Arial"/>
          <w:b/>
          <w:sz w:val="20"/>
          <w:szCs w:val="20"/>
        </w:rPr>
        <w:t xml:space="preserve">Termín dodání: </w:t>
      </w:r>
      <w:r>
        <w:rPr>
          <w:rFonts w:cs="Arial"/>
          <w:b/>
          <w:sz w:val="20"/>
          <w:szCs w:val="20"/>
        </w:rPr>
        <w:tab/>
      </w:r>
      <w:r>
        <w:rPr>
          <w:rFonts w:cs="Arial"/>
          <w:sz w:val="20"/>
          <w:szCs w:val="20"/>
        </w:rPr>
        <w:t xml:space="preserve">nejpozději </w:t>
      </w:r>
      <w:r>
        <w:rPr>
          <w:rFonts w:cs="Arial"/>
          <w:b/>
          <w:sz w:val="20"/>
          <w:szCs w:val="20"/>
        </w:rPr>
        <w:t>do 8,5 týdnů od účinnosti objednávky / smlouvy, tj. do 5. 7. 2019.</w:t>
      </w:r>
    </w:p>
    <w:p w:rsidR="002E73A5" w:rsidRDefault="002E73A5" w:rsidP="002E73A5">
      <w:pPr>
        <w:pStyle w:val="Odstavecseseznamem"/>
        <w:ind w:left="0"/>
        <w:contextualSpacing/>
        <w:jc w:val="both"/>
        <w:rPr>
          <w:rFonts w:cs="Arial"/>
          <w:sz w:val="20"/>
          <w:szCs w:val="20"/>
        </w:rPr>
      </w:pPr>
      <w:r>
        <w:rPr>
          <w:rFonts w:cs="Arial"/>
          <w:sz w:val="20"/>
          <w:szCs w:val="20"/>
        </w:rPr>
        <w:t xml:space="preserve">Kupující se zavazuje </w:t>
      </w:r>
      <w:r>
        <w:rPr>
          <w:rFonts w:cs="Arial"/>
          <w:b/>
          <w:sz w:val="20"/>
          <w:szCs w:val="20"/>
        </w:rPr>
        <w:t xml:space="preserve">převzít dodávku bez vad a nedodělků </w:t>
      </w:r>
      <w:r>
        <w:rPr>
          <w:rFonts w:cs="Arial"/>
          <w:sz w:val="20"/>
          <w:szCs w:val="20"/>
        </w:rPr>
        <w:t>i před dohodnutým termínem plnění.</w:t>
      </w:r>
    </w:p>
    <w:p w:rsidR="002E73A5" w:rsidRDefault="002E73A5" w:rsidP="002E73A5">
      <w:pPr>
        <w:pStyle w:val="Odstavecseseznamem"/>
        <w:numPr>
          <w:ilvl w:val="1"/>
          <w:numId w:val="2"/>
        </w:numPr>
        <w:contextualSpacing/>
        <w:jc w:val="both"/>
        <w:rPr>
          <w:rFonts w:cs="Arial"/>
          <w:sz w:val="20"/>
          <w:szCs w:val="20"/>
        </w:rPr>
      </w:pPr>
      <w:r>
        <w:rPr>
          <w:rFonts w:cs="Arial"/>
          <w:sz w:val="20"/>
          <w:szCs w:val="20"/>
        </w:rPr>
        <w:t xml:space="preserve">Místem plnění je objekt občanské vybavenosti, MŠ č. 1075 na pozemku </w:t>
      </w:r>
      <w:proofErr w:type="spellStart"/>
      <w:r>
        <w:rPr>
          <w:rFonts w:cs="Arial"/>
          <w:sz w:val="20"/>
          <w:szCs w:val="20"/>
        </w:rPr>
        <w:t>parc</w:t>
      </w:r>
      <w:proofErr w:type="spellEnd"/>
      <w:r>
        <w:rPr>
          <w:rFonts w:cs="Arial"/>
          <w:sz w:val="20"/>
          <w:szCs w:val="20"/>
        </w:rPr>
        <w:t xml:space="preserve">. </w:t>
      </w:r>
      <w:proofErr w:type="gramStart"/>
      <w:r>
        <w:rPr>
          <w:rFonts w:cs="Arial"/>
          <w:sz w:val="20"/>
          <w:szCs w:val="20"/>
        </w:rPr>
        <w:t>č.</w:t>
      </w:r>
      <w:proofErr w:type="gramEnd"/>
      <w:r>
        <w:rPr>
          <w:rFonts w:cs="Arial"/>
          <w:sz w:val="20"/>
          <w:szCs w:val="20"/>
        </w:rPr>
        <w:t xml:space="preserve"> 603/4 v k. </w:t>
      </w:r>
      <w:proofErr w:type="spellStart"/>
      <w:r>
        <w:rPr>
          <w:rFonts w:cs="Arial"/>
          <w:sz w:val="20"/>
          <w:szCs w:val="20"/>
        </w:rPr>
        <w:t>ú.</w:t>
      </w:r>
      <w:proofErr w:type="spellEnd"/>
      <w:r>
        <w:rPr>
          <w:rFonts w:cs="Arial"/>
          <w:sz w:val="20"/>
          <w:szCs w:val="20"/>
        </w:rPr>
        <w:t xml:space="preserve"> Bubeneč, </w:t>
      </w:r>
    </w:p>
    <w:p w:rsidR="002E73A5" w:rsidRDefault="002E73A5" w:rsidP="002E73A5">
      <w:pPr>
        <w:pStyle w:val="Odstavecseseznamem"/>
        <w:ind w:left="-37"/>
        <w:contextualSpacing/>
        <w:jc w:val="both"/>
        <w:rPr>
          <w:rFonts w:cs="Arial"/>
          <w:sz w:val="20"/>
          <w:szCs w:val="20"/>
        </w:rPr>
      </w:pPr>
      <w:proofErr w:type="gramStart"/>
      <w:r>
        <w:rPr>
          <w:rFonts w:cs="Arial"/>
          <w:sz w:val="20"/>
          <w:szCs w:val="20"/>
        </w:rPr>
        <w:t>zapsaném</w:t>
      </w:r>
      <w:proofErr w:type="gramEnd"/>
      <w:r>
        <w:rPr>
          <w:rFonts w:cs="Arial"/>
          <w:sz w:val="20"/>
          <w:szCs w:val="20"/>
        </w:rPr>
        <w:t xml:space="preserve"> na LV č. 652, na adrese MŠ Na výšinách 3/1075, Praha 7. Kupující vykonává svěřenou správu nemovitostí ve vlastnictví obce.</w:t>
      </w:r>
    </w:p>
    <w:p w:rsidR="002E73A5" w:rsidRDefault="002E73A5" w:rsidP="002E73A5">
      <w:pPr>
        <w:pStyle w:val="Odstavecseseznamem"/>
        <w:ind w:left="0"/>
        <w:contextualSpacing/>
        <w:jc w:val="both"/>
        <w:rPr>
          <w:rFonts w:cs="Arial"/>
          <w:sz w:val="20"/>
          <w:szCs w:val="20"/>
        </w:rPr>
      </w:pPr>
    </w:p>
    <w:p w:rsidR="002E73A5" w:rsidRDefault="002E73A5" w:rsidP="002E73A5">
      <w:pPr>
        <w:pStyle w:val="Odstavecseseznamem"/>
        <w:ind w:left="-397"/>
        <w:contextualSpacing/>
        <w:jc w:val="both"/>
        <w:rPr>
          <w:rFonts w:cs="Arial"/>
          <w:b/>
          <w:bCs/>
          <w:snapToGrid w:val="0"/>
          <w:sz w:val="20"/>
          <w:szCs w:val="20"/>
        </w:rPr>
      </w:pPr>
      <w:r>
        <w:rPr>
          <w:rFonts w:cs="Arial"/>
          <w:b/>
          <w:bCs/>
          <w:snapToGrid w:val="0"/>
          <w:sz w:val="20"/>
          <w:szCs w:val="20"/>
        </w:rPr>
        <w:t xml:space="preserve">5.  Záruční doba  </w:t>
      </w:r>
    </w:p>
    <w:p w:rsidR="002E73A5" w:rsidRDefault="002E73A5" w:rsidP="002E73A5">
      <w:pPr>
        <w:pStyle w:val="Odstavecseseznamem"/>
        <w:ind w:left="-397"/>
        <w:contextualSpacing/>
        <w:jc w:val="both"/>
        <w:rPr>
          <w:rFonts w:cs="Arial"/>
          <w:snapToGrid w:val="0"/>
          <w:sz w:val="20"/>
          <w:szCs w:val="20"/>
        </w:rPr>
      </w:pPr>
      <w:r>
        <w:rPr>
          <w:rFonts w:cs="Arial"/>
          <w:bCs/>
          <w:snapToGrid w:val="0"/>
          <w:sz w:val="20"/>
          <w:szCs w:val="20"/>
        </w:rPr>
        <w:t>5.1 P</w:t>
      </w:r>
      <w:r>
        <w:rPr>
          <w:rFonts w:cs="Arial"/>
          <w:snapToGrid w:val="0"/>
          <w:sz w:val="20"/>
          <w:szCs w:val="20"/>
        </w:rPr>
        <w:t xml:space="preserve">rodávající poskytuje kupujícímu na dodávku dle této objednávky / smlouvy záruční dobu v délce </w:t>
      </w:r>
    </w:p>
    <w:p w:rsidR="002E73A5" w:rsidRDefault="002E73A5" w:rsidP="002E73A5">
      <w:pPr>
        <w:pStyle w:val="Odstavecseseznamem"/>
        <w:ind w:left="-397"/>
        <w:contextualSpacing/>
        <w:jc w:val="both"/>
        <w:rPr>
          <w:rFonts w:cs="Arial"/>
          <w:b/>
          <w:snapToGrid w:val="0"/>
          <w:sz w:val="20"/>
          <w:szCs w:val="20"/>
        </w:rPr>
      </w:pPr>
      <w:r>
        <w:rPr>
          <w:rFonts w:cs="Arial"/>
          <w:snapToGrid w:val="0"/>
          <w:sz w:val="20"/>
          <w:szCs w:val="20"/>
        </w:rPr>
        <w:t xml:space="preserve">      </w:t>
      </w:r>
      <w:r>
        <w:rPr>
          <w:rFonts w:cs="Arial"/>
          <w:b/>
          <w:snapToGrid w:val="0"/>
          <w:sz w:val="20"/>
          <w:szCs w:val="20"/>
        </w:rPr>
        <w:t>36 měsíců od řádného předání a převzetí dodávky na základě protokolu o předání a převzetí</w:t>
      </w:r>
    </w:p>
    <w:p w:rsidR="002E73A5" w:rsidRDefault="002E73A5" w:rsidP="002E73A5">
      <w:pPr>
        <w:pStyle w:val="Odstavecseseznamem"/>
        <w:ind w:left="-397"/>
        <w:contextualSpacing/>
        <w:jc w:val="both"/>
        <w:rPr>
          <w:rFonts w:cs="Arial"/>
          <w:snapToGrid w:val="0"/>
          <w:sz w:val="20"/>
          <w:szCs w:val="20"/>
        </w:rPr>
      </w:pPr>
      <w:r>
        <w:rPr>
          <w:rFonts w:cs="Arial"/>
          <w:b/>
          <w:snapToGrid w:val="0"/>
          <w:sz w:val="20"/>
          <w:szCs w:val="20"/>
        </w:rPr>
        <w:t xml:space="preserve">      dodávky bez vad a nedodělků</w:t>
      </w:r>
      <w:r>
        <w:rPr>
          <w:rFonts w:cs="Arial"/>
          <w:snapToGrid w:val="0"/>
          <w:sz w:val="20"/>
          <w:szCs w:val="20"/>
        </w:rPr>
        <w:t>. Záruka počíná běžet dnem následujícím po protokolárním předání</w:t>
      </w:r>
    </w:p>
    <w:p w:rsidR="002E73A5" w:rsidRDefault="002E73A5" w:rsidP="002E73A5">
      <w:pPr>
        <w:pStyle w:val="Odstavecseseznamem"/>
        <w:ind w:left="-397"/>
        <w:contextualSpacing/>
        <w:jc w:val="both"/>
        <w:rPr>
          <w:rFonts w:cs="Arial"/>
          <w:snapToGrid w:val="0"/>
          <w:sz w:val="20"/>
          <w:szCs w:val="20"/>
        </w:rPr>
      </w:pPr>
      <w:r>
        <w:rPr>
          <w:rFonts w:cs="Arial"/>
          <w:b/>
          <w:snapToGrid w:val="0"/>
          <w:sz w:val="20"/>
          <w:szCs w:val="20"/>
        </w:rPr>
        <w:t xml:space="preserve">     </w:t>
      </w:r>
      <w:r>
        <w:rPr>
          <w:rFonts w:cs="Arial"/>
          <w:snapToGrid w:val="0"/>
          <w:sz w:val="20"/>
          <w:szCs w:val="20"/>
        </w:rPr>
        <w:t xml:space="preserve"> řádné dodávky bez vad kupujícímu. </w:t>
      </w:r>
    </w:p>
    <w:p w:rsidR="002E73A5" w:rsidRDefault="002E73A5" w:rsidP="002E73A5">
      <w:pPr>
        <w:pStyle w:val="Odstavecseseznamem"/>
        <w:numPr>
          <w:ilvl w:val="1"/>
          <w:numId w:val="3"/>
        </w:numPr>
        <w:ind w:left="0"/>
        <w:contextualSpacing/>
        <w:jc w:val="both"/>
        <w:rPr>
          <w:rFonts w:cs="Arial"/>
          <w:snapToGrid w:val="0"/>
          <w:sz w:val="20"/>
          <w:szCs w:val="20"/>
        </w:rPr>
      </w:pPr>
      <w:r>
        <w:rPr>
          <w:rFonts w:cs="Arial"/>
          <w:snapToGrid w:val="0"/>
          <w:sz w:val="20"/>
          <w:szCs w:val="20"/>
        </w:rPr>
        <w:t xml:space="preserve">Prodávající zaručuje kupujícímu, že předmět plnění si po dobu záruky zachová své obvyklé vlastnosti a vlastnosti deklarované v technických listech a může po celou dobu sloužit účelu, ke kterému byl určen. </w:t>
      </w:r>
    </w:p>
    <w:p w:rsidR="002E73A5" w:rsidRDefault="002E73A5" w:rsidP="002E73A5">
      <w:pPr>
        <w:pStyle w:val="Odstavecseseznamem"/>
        <w:numPr>
          <w:ilvl w:val="1"/>
          <w:numId w:val="3"/>
        </w:numPr>
        <w:ind w:left="0"/>
        <w:contextualSpacing/>
        <w:jc w:val="both"/>
        <w:rPr>
          <w:rFonts w:cs="Arial"/>
          <w:b/>
          <w:bCs/>
          <w:sz w:val="20"/>
          <w:szCs w:val="20"/>
        </w:rPr>
      </w:pPr>
      <w:r>
        <w:rPr>
          <w:rFonts w:cs="Arial"/>
          <w:snapToGrid w:val="0"/>
          <w:sz w:val="20"/>
          <w:szCs w:val="20"/>
        </w:rPr>
        <w:t xml:space="preserve">V případě výskytu vad dodávky po dobu poskytnuté záruky za jakost uvedené v odst. 5.1 tohoto článku oznámí kupující tyto vady prodávajícímu. Prodávající je povinen tyto vady odstranit nejpozději do 24 hodin od písemného oznámení kupujícím, případně jiném, oběma stranami prokazatelně odsouhlaseném termínu. Za písemné oznámení se považuje prokazatelné zaslání oznámení emailem. </w:t>
      </w:r>
    </w:p>
    <w:p w:rsidR="002E73A5" w:rsidRDefault="002E73A5" w:rsidP="002E73A5">
      <w:pPr>
        <w:pStyle w:val="Odstavecseseznamem"/>
        <w:ind w:left="0"/>
        <w:contextualSpacing/>
        <w:jc w:val="both"/>
        <w:rPr>
          <w:rFonts w:cs="Arial"/>
          <w:b/>
          <w:bCs/>
          <w:sz w:val="20"/>
          <w:szCs w:val="20"/>
        </w:rPr>
      </w:pPr>
    </w:p>
    <w:p w:rsidR="002E73A5" w:rsidRDefault="002E73A5" w:rsidP="002E73A5">
      <w:pPr>
        <w:pStyle w:val="Odstavecseseznamem"/>
        <w:numPr>
          <w:ilvl w:val="0"/>
          <w:numId w:val="3"/>
        </w:numPr>
        <w:ind w:left="0"/>
        <w:contextualSpacing/>
        <w:jc w:val="both"/>
        <w:rPr>
          <w:rFonts w:cs="Arial"/>
          <w:b/>
          <w:bCs/>
          <w:sz w:val="20"/>
          <w:szCs w:val="20"/>
        </w:rPr>
      </w:pPr>
      <w:r>
        <w:rPr>
          <w:rFonts w:cs="Arial"/>
          <w:b/>
          <w:bCs/>
          <w:sz w:val="20"/>
          <w:szCs w:val="20"/>
        </w:rPr>
        <w:t>Sankční ujednání</w:t>
      </w:r>
    </w:p>
    <w:p w:rsidR="002E73A5" w:rsidRDefault="002E73A5" w:rsidP="002E73A5">
      <w:pPr>
        <w:pStyle w:val="Odstavecseseznamem"/>
        <w:numPr>
          <w:ilvl w:val="1"/>
          <w:numId w:val="3"/>
        </w:numPr>
        <w:ind w:left="0"/>
        <w:contextualSpacing/>
        <w:jc w:val="both"/>
        <w:rPr>
          <w:rFonts w:cs="Arial"/>
          <w:bCs/>
          <w:sz w:val="20"/>
          <w:szCs w:val="20"/>
        </w:rPr>
      </w:pPr>
      <w:r>
        <w:rPr>
          <w:rFonts w:cs="Arial"/>
          <w:sz w:val="20"/>
          <w:szCs w:val="20"/>
        </w:rPr>
        <w:t xml:space="preserve">Prodávající není v prodlení s plněním a nevzniká mu povinnost k úhradě smluvní pokuty, dojde-li k prodlení z důvodů na straně kupujícího. </w:t>
      </w:r>
    </w:p>
    <w:p w:rsidR="002E73A5" w:rsidRDefault="002E73A5" w:rsidP="002E73A5">
      <w:pPr>
        <w:pStyle w:val="Odstavecseseznamem"/>
        <w:numPr>
          <w:ilvl w:val="1"/>
          <w:numId w:val="3"/>
        </w:numPr>
        <w:ind w:left="0"/>
        <w:contextualSpacing/>
        <w:jc w:val="both"/>
        <w:rPr>
          <w:rFonts w:cs="Arial"/>
          <w:bCs/>
          <w:sz w:val="20"/>
          <w:szCs w:val="20"/>
        </w:rPr>
      </w:pPr>
      <w:r>
        <w:rPr>
          <w:rFonts w:cs="Arial"/>
          <w:sz w:val="20"/>
          <w:szCs w:val="20"/>
        </w:rPr>
        <w:t xml:space="preserve">V případě nedodržení termínu dodávky nebo lhůty pro odstranění reklamovaných vad dodávky po dobu poskytnuté záruky, je prodávající povinen zaplatit kupujícímu smluvní pokutu ve výši 1000 Kč za každý den prodlení. </w:t>
      </w:r>
    </w:p>
    <w:p w:rsidR="002E73A5" w:rsidRDefault="002E73A5" w:rsidP="002E73A5">
      <w:pPr>
        <w:pStyle w:val="Odstavecseseznamem"/>
        <w:numPr>
          <w:ilvl w:val="1"/>
          <w:numId w:val="3"/>
        </w:numPr>
        <w:ind w:left="0"/>
        <w:contextualSpacing/>
        <w:jc w:val="both"/>
        <w:rPr>
          <w:rFonts w:cs="Arial"/>
          <w:bCs/>
          <w:sz w:val="20"/>
          <w:szCs w:val="20"/>
        </w:rPr>
      </w:pPr>
      <w:r>
        <w:rPr>
          <w:rFonts w:cs="Arial"/>
          <w:sz w:val="20"/>
          <w:szCs w:val="20"/>
        </w:rPr>
        <w:t xml:space="preserve">Smluvní strany se dohodly, že započtení pohledávek Objednatele vůči Zhotoviteli vzniklých při plnění závazků a ujednání této </w:t>
      </w:r>
      <w:r>
        <w:rPr>
          <w:rFonts w:cs="Arial"/>
          <w:snapToGrid w:val="0"/>
          <w:sz w:val="20"/>
          <w:szCs w:val="20"/>
        </w:rPr>
        <w:t>objednávky</w:t>
      </w:r>
      <w:r>
        <w:rPr>
          <w:rFonts w:cs="Arial"/>
          <w:sz w:val="20"/>
          <w:szCs w:val="20"/>
        </w:rPr>
        <w:t xml:space="preserve"> / smlouvy je přípustné.</w:t>
      </w:r>
    </w:p>
    <w:p w:rsidR="002E73A5" w:rsidRDefault="002E73A5" w:rsidP="002E73A5">
      <w:pPr>
        <w:pStyle w:val="Odstavecseseznamem"/>
        <w:numPr>
          <w:ilvl w:val="1"/>
          <w:numId w:val="3"/>
        </w:numPr>
        <w:ind w:left="0"/>
        <w:contextualSpacing/>
        <w:jc w:val="both"/>
        <w:rPr>
          <w:rFonts w:cs="Arial"/>
          <w:bCs/>
          <w:sz w:val="20"/>
          <w:szCs w:val="20"/>
        </w:rPr>
      </w:pPr>
      <w:r>
        <w:rPr>
          <w:rFonts w:cs="Arial"/>
          <w:sz w:val="20"/>
          <w:szCs w:val="20"/>
        </w:rPr>
        <w:t>Zaplacením smluvní pokuty není dotčeno právo kupujícího na náhradu škody, která může být účtována v plné výši.</w:t>
      </w:r>
    </w:p>
    <w:p w:rsidR="002E73A5" w:rsidRDefault="002E73A5" w:rsidP="002E73A5">
      <w:pPr>
        <w:pStyle w:val="Odstavecseseznamem"/>
        <w:numPr>
          <w:ilvl w:val="1"/>
          <w:numId w:val="3"/>
        </w:numPr>
        <w:ind w:left="0"/>
        <w:contextualSpacing/>
        <w:jc w:val="both"/>
        <w:rPr>
          <w:rFonts w:cs="Arial"/>
          <w:bCs/>
          <w:sz w:val="20"/>
          <w:szCs w:val="20"/>
        </w:rPr>
      </w:pPr>
      <w:r>
        <w:rPr>
          <w:rFonts w:cs="Arial"/>
          <w:sz w:val="20"/>
          <w:szCs w:val="20"/>
        </w:rPr>
        <w:t xml:space="preserve">V případě, že je prodávající v prodlení s dodáním </w:t>
      </w:r>
      <w:r>
        <w:rPr>
          <w:rFonts w:cs="Arial"/>
          <w:snapToGrid w:val="0"/>
          <w:sz w:val="20"/>
          <w:szCs w:val="20"/>
        </w:rPr>
        <w:t xml:space="preserve">předmětu </w:t>
      </w:r>
      <w:r>
        <w:rPr>
          <w:rFonts w:cs="Arial"/>
          <w:sz w:val="20"/>
          <w:szCs w:val="20"/>
        </w:rPr>
        <w:t xml:space="preserve">plnění dle této </w:t>
      </w:r>
      <w:r>
        <w:rPr>
          <w:rFonts w:cs="Arial"/>
          <w:snapToGrid w:val="0"/>
          <w:sz w:val="20"/>
          <w:szCs w:val="20"/>
        </w:rPr>
        <w:t>objednávky</w:t>
      </w:r>
      <w:r>
        <w:rPr>
          <w:rFonts w:cs="Arial"/>
          <w:sz w:val="20"/>
          <w:szCs w:val="20"/>
        </w:rPr>
        <w:t xml:space="preserve"> déle než 15 dní, je kupující oprávněn od této </w:t>
      </w:r>
      <w:r>
        <w:rPr>
          <w:rFonts w:cs="Arial"/>
          <w:snapToGrid w:val="0"/>
          <w:sz w:val="20"/>
          <w:szCs w:val="20"/>
        </w:rPr>
        <w:t>objednávky / smlouvy</w:t>
      </w:r>
      <w:r>
        <w:rPr>
          <w:rFonts w:cs="Arial"/>
          <w:sz w:val="20"/>
          <w:szCs w:val="20"/>
        </w:rPr>
        <w:t xml:space="preserve"> odstoupit. Odstoupením od objednávky / smlouvy se </w:t>
      </w:r>
      <w:r>
        <w:rPr>
          <w:rFonts w:cs="Arial"/>
          <w:snapToGrid w:val="0"/>
          <w:sz w:val="20"/>
          <w:szCs w:val="20"/>
        </w:rPr>
        <w:t>objednávka / smlouva</w:t>
      </w:r>
      <w:r>
        <w:rPr>
          <w:rFonts w:cs="Arial"/>
          <w:sz w:val="20"/>
          <w:szCs w:val="20"/>
        </w:rPr>
        <w:t xml:space="preserve"> ruší dnem doručení písemného oznámení o odstoupení prodávajícímu. </w:t>
      </w:r>
    </w:p>
    <w:p w:rsidR="002E73A5" w:rsidRDefault="002E73A5" w:rsidP="002E73A5">
      <w:pPr>
        <w:pStyle w:val="Odstavecseseznamem"/>
        <w:ind w:left="0"/>
        <w:contextualSpacing/>
        <w:jc w:val="both"/>
        <w:rPr>
          <w:rFonts w:cs="Arial"/>
          <w:b/>
          <w:bCs/>
          <w:sz w:val="20"/>
          <w:szCs w:val="20"/>
        </w:rPr>
      </w:pPr>
    </w:p>
    <w:p w:rsidR="002E73A5" w:rsidRDefault="002E73A5" w:rsidP="002E73A5">
      <w:pPr>
        <w:pStyle w:val="Odstavecseseznamem"/>
        <w:numPr>
          <w:ilvl w:val="0"/>
          <w:numId w:val="3"/>
        </w:numPr>
        <w:ind w:left="0"/>
        <w:contextualSpacing/>
        <w:jc w:val="both"/>
        <w:rPr>
          <w:rFonts w:cs="Arial"/>
          <w:b/>
          <w:sz w:val="20"/>
          <w:szCs w:val="20"/>
        </w:rPr>
      </w:pPr>
      <w:r>
        <w:rPr>
          <w:rFonts w:cs="Arial"/>
          <w:b/>
          <w:sz w:val="20"/>
          <w:szCs w:val="20"/>
        </w:rPr>
        <w:t>Závěrečná ustanovení</w:t>
      </w:r>
    </w:p>
    <w:p w:rsidR="002E73A5" w:rsidRDefault="002E73A5" w:rsidP="002E73A5">
      <w:pPr>
        <w:pStyle w:val="Odstavecseseznamem"/>
        <w:numPr>
          <w:ilvl w:val="1"/>
          <w:numId w:val="3"/>
        </w:numPr>
        <w:ind w:left="0"/>
        <w:contextualSpacing/>
        <w:jc w:val="both"/>
        <w:rPr>
          <w:rFonts w:cs="Arial"/>
          <w:b/>
          <w:sz w:val="20"/>
          <w:szCs w:val="20"/>
        </w:rPr>
      </w:pPr>
      <w:r>
        <w:rPr>
          <w:rFonts w:cs="Arial"/>
          <w:sz w:val="20"/>
          <w:szCs w:val="20"/>
        </w:rPr>
        <w:t>Prodávající není oprávněn pověřit provedením díla ani jeho části třetí osobu bez písemného souhlasu kupujícího.</w:t>
      </w:r>
    </w:p>
    <w:p w:rsidR="002E73A5" w:rsidRDefault="002E73A5" w:rsidP="002E73A5">
      <w:pPr>
        <w:numPr>
          <w:ilvl w:val="1"/>
          <w:numId w:val="3"/>
        </w:numPr>
        <w:overflowPunct/>
        <w:autoSpaceDE/>
        <w:autoSpaceDN/>
        <w:adjustRightInd/>
        <w:ind w:left="0"/>
        <w:textAlignment w:val="auto"/>
        <w:rPr>
          <w:rFonts w:cs="Arial"/>
        </w:rPr>
      </w:pPr>
      <w:r>
        <w:rPr>
          <w:rFonts w:cs="Arial"/>
        </w:rPr>
        <w:t>Objednávka / smlouva nabývá  platnosti dnem podpisu oběma smluvními stranami a  účinnosti dnem uveřejnění v registru smluv dle zák. č. 340/2015 Sb., o zvláštních podmínkách účinnosti některých smluv, uveřejňování těchto smluv a registru smluv, v platném znění (zákon o registru smluv). Kupující se zavazuje zajistit uveřejnění objednávky / smlouvy a o této skutečnosti neprodleně informovat druhou smluvní stranu.</w:t>
      </w:r>
    </w:p>
    <w:p w:rsidR="002E73A5" w:rsidRDefault="002E73A5" w:rsidP="002E73A5">
      <w:pPr>
        <w:numPr>
          <w:ilvl w:val="1"/>
          <w:numId w:val="3"/>
        </w:numPr>
        <w:overflowPunct/>
        <w:autoSpaceDE/>
        <w:autoSpaceDN/>
        <w:adjustRightInd/>
        <w:ind w:left="0"/>
        <w:jc w:val="both"/>
        <w:textAlignment w:val="auto"/>
        <w:rPr>
          <w:rFonts w:cs="Arial"/>
        </w:rPr>
      </w:pPr>
      <w:r>
        <w:rPr>
          <w:rFonts w:cs="Arial"/>
        </w:rPr>
        <w:t>Veškeré změny a doplňky lze činit pouze písemnou formou vzestupně číslovaných dodatků podepsaných oprávněnými zástupci smluvních stran.</w:t>
      </w:r>
    </w:p>
    <w:p w:rsidR="002E73A5" w:rsidRDefault="002E73A5" w:rsidP="002E73A5">
      <w:pPr>
        <w:numPr>
          <w:ilvl w:val="1"/>
          <w:numId w:val="3"/>
        </w:numPr>
        <w:overflowPunct/>
        <w:autoSpaceDE/>
        <w:autoSpaceDN/>
        <w:adjustRightInd/>
        <w:ind w:left="0"/>
        <w:jc w:val="both"/>
        <w:textAlignment w:val="auto"/>
        <w:rPr>
          <w:rFonts w:cs="Arial"/>
        </w:rPr>
      </w:pPr>
      <w:r>
        <w:rPr>
          <w:rFonts w:cs="Arial"/>
        </w:rPr>
        <w:t>Pokud není ve smlouvě uvedeno jinak, řídí se vzájemné vztahy smluvních stran příslušnými ustanoveními zákona č. 89/2012 Sb., občanský zákoník, ve znění pozdějších předpisů, a ostatními souvisejícími právními předpisy.</w:t>
      </w:r>
    </w:p>
    <w:p w:rsidR="002E73A5" w:rsidRDefault="002E73A5" w:rsidP="002E73A5">
      <w:pPr>
        <w:numPr>
          <w:ilvl w:val="1"/>
          <w:numId w:val="3"/>
        </w:numPr>
        <w:overflowPunct/>
        <w:autoSpaceDE/>
        <w:autoSpaceDN/>
        <w:adjustRightInd/>
        <w:ind w:left="0"/>
        <w:jc w:val="both"/>
        <w:textAlignment w:val="auto"/>
        <w:rPr>
          <w:rFonts w:cs="Arial"/>
        </w:rPr>
      </w:pPr>
      <w:r>
        <w:rPr>
          <w:rFonts w:cs="Arial"/>
        </w:rPr>
        <w:t>Tato objednávka je vyhotovena v 2 stejnopisech, z nichž 1 obdrží prodávající a 1 kupující.</w:t>
      </w:r>
    </w:p>
    <w:p w:rsidR="002E73A5" w:rsidRDefault="002E73A5" w:rsidP="002E73A5">
      <w:pPr>
        <w:pStyle w:val="Odstavecseseznamem"/>
        <w:ind w:left="0"/>
        <w:contextualSpacing/>
        <w:jc w:val="both"/>
        <w:rPr>
          <w:rFonts w:cs="Arial"/>
          <w:sz w:val="20"/>
          <w:szCs w:val="20"/>
        </w:rPr>
      </w:pPr>
    </w:p>
    <w:p w:rsidR="002E73A5" w:rsidRDefault="002E73A5" w:rsidP="002E73A5">
      <w:pPr>
        <w:pStyle w:val="Odstavecseseznamem"/>
        <w:numPr>
          <w:ilvl w:val="0"/>
          <w:numId w:val="3"/>
        </w:numPr>
        <w:ind w:left="0"/>
        <w:contextualSpacing/>
        <w:jc w:val="both"/>
        <w:rPr>
          <w:rFonts w:cs="Arial"/>
          <w:b/>
          <w:sz w:val="20"/>
          <w:szCs w:val="20"/>
        </w:rPr>
      </w:pPr>
      <w:r>
        <w:rPr>
          <w:rFonts w:cs="Arial"/>
          <w:b/>
          <w:sz w:val="20"/>
          <w:szCs w:val="20"/>
        </w:rPr>
        <w:t>Přílohy obchodních podmínek:</w:t>
      </w:r>
    </w:p>
    <w:p w:rsidR="002E73A5" w:rsidRDefault="002E73A5" w:rsidP="002E73A5">
      <w:pPr>
        <w:pStyle w:val="Odstavecseseznamem"/>
        <w:ind w:left="0"/>
        <w:contextualSpacing/>
        <w:jc w:val="both"/>
        <w:rPr>
          <w:rFonts w:cs="Arial"/>
          <w:bCs/>
          <w:sz w:val="20"/>
          <w:szCs w:val="20"/>
        </w:rPr>
      </w:pPr>
      <w:r>
        <w:rPr>
          <w:rFonts w:cs="Arial"/>
          <w:sz w:val="20"/>
          <w:szCs w:val="20"/>
        </w:rPr>
        <w:t xml:space="preserve">Příloha </w:t>
      </w:r>
      <w:proofErr w:type="gramStart"/>
      <w:r>
        <w:rPr>
          <w:rFonts w:cs="Arial"/>
          <w:sz w:val="20"/>
          <w:szCs w:val="20"/>
        </w:rPr>
        <w:t xml:space="preserve">č.1 – </w:t>
      </w:r>
      <w:r>
        <w:rPr>
          <w:rFonts w:cs="Arial"/>
          <w:bCs/>
          <w:sz w:val="20"/>
          <w:szCs w:val="20"/>
        </w:rPr>
        <w:t>Cenová</w:t>
      </w:r>
      <w:proofErr w:type="gramEnd"/>
      <w:r>
        <w:rPr>
          <w:rFonts w:cs="Arial"/>
          <w:bCs/>
          <w:sz w:val="20"/>
          <w:szCs w:val="20"/>
        </w:rPr>
        <w:t xml:space="preserve"> a technická specifikace dodávky (DPS a zadávací výkazy) </w:t>
      </w:r>
    </w:p>
    <w:p w:rsidR="002E73A5" w:rsidRDefault="002E73A5" w:rsidP="002E73A5">
      <w:pPr>
        <w:pStyle w:val="Odstavecseseznamem"/>
        <w:ind w:left="0"/>
        <w:contextualSpacing/>
        <w:jc w:val="both"/>
        <w:rPr>
          <w:rFonts w:cs="Arial"/>
          <w:bCs/>
          <w:sz w:val="20"/>
          <w:szCs w:val="20"/>
        </w:rPr>
      </w:pPr>
      <w:r>
        <w:rPr>
          <w:rFonts w:cs="Arial"/>
          <w:bCs/>
          <w:sz w:val="20"/>
          <w:szCs w:val="20"/>
        </w:rPr>
        <w:t>Příloha č. 2 – Oceněný výkaz výměr</w:t>
      </w:r>
    </w:p>
    <w:p w:rsidR="00612F93" w:rsidRDefault="00612F93" w:rsidP="00612F93"/>
    <w:p w:rsidR="00612F93" w:rsidRPr="00612F93" w:rsidRDefault="00612F93" w:rsidP="00612F93"/>
    <w:p w:rsidR="00612F93" w:rsidRDefault="00612F93" w:rsidP="00612F93"/>
    <w:p w:rsidR="003D5C64" w:rsidRPr="00612F93" w:rsidRDefault="003D5C64" w:rsidP="00612F93">
      <w:pPr>
        <w:ind w:firstLine="708"/>
      </w:pPr>
    </w:p>
    <w:sectPr w:rsidR="003D5C64" w:rsidRPr="00612F93">
      <w:type w:val="continuous"/>
      <w:pgSz w:w="11907" w:h="16840" w:code="9"/>
      <w:pgMar w:top="851" w:right="1134" w:bottom="1418" w:left="1134" w:header="708" w:footer="708"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0A" w:rsidRDefault="004A530A">
      <w:r>
        <w:separator/>
      </w:r>
    </w:p>
  </w:endnote>
  <w:endnote w:type="continuationSeparator" w:id="0">
    <w:p w:rsidR="004A530A" w:rsidRDefault="004A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2E" w:rsidRDefault="00100D2E" w:rsidP="00100D2E">
    <w:pPr>
      <w:pStyle w:val="Zpat"/>
      <w:jc w:val="center"/>
      <w:rPr>
        <w:sz w:val="16"/>
      </w:rPr>
    </w:pPr>
    <w:r>
      <w:rPr>
        <w:sz w:val="16"/>
      </w:rPr>
      <w:t>Městská část Praha 7, Úřad městské části Praha 7,  nábř. Kpt. Jaroše 1000, 170 00 Praha 7</w:t>
    </w:r>
  </w:p>
  <w:p w:rsidR="00100D2E" w:rsidRDefault="00100D2E" w:rsidP="00100D2E">
    <w:pPr>
      <w:pStyle w:val="Zpat"/>
      <w:jc w:val="center"/>
      <w:rPr>
        <w:sz w:val="16"/>
      </w:rPr>
    </w:pPr>
    <w:r>
      <w:rPr>
        <w:sz w:val="16"/>
      </w:rPr>
      <w:t xml:space="preserve">IČO: 000 63 754, </w:t>
    </w:r>
    <w:proofErr w:type="spellStart"/>
    <w:r w:rsidR="00D47172">
      <w:rPr>
        <w:sz w:val="16"/>
      </w:rPr>
      <w:t>xxxxxxxxxxxxxxxxxxx</w:t>
    </w:r>
    <w:proofErr w:type="spellEnd"/>
    <w:r>
      <w:rPr>
        <w:sz w:val="16"/>
      </w:rPr>
      <w:t>, www.praha7.cz</w:t>
    </w:r>
  </w:p>
  <w:p w:rsidR="003D5C64" w:rsidRDefault="00100D2E" w:rsidP="00100D2E">
    <w:pPr>
      <w:pStyle w:val="Zpat"/>
      <w:jc w:val="center"/>
      <w:rPr>
        <w:sz w:val="16"/>
      </w:rPr>
    </w:pPr>
    <w:r>
      <w:rPr>
        <w:sz w:val="16"/>
      </w:rPr>
      <w:t xml:space="preserve">tel.: </w:t>
    </w:r>
    <w:proofErr w:type="spellStart"/>
    <w:r w:rsidR="00D47172">
      <w:rPr>
        <w:sz w:val="16"/>
      </w:rPr>
      <w:t>xxxxxxxxxx</w:t>
    </w:r>
    <w:proofErr w:type="spellEnd"/>
    <w:r>
      <w:rPr>
        <w:sz w:val="16"/>
      </w:rPr>
      <w:t xml:space="preserve">, e-mail: </w:t>
    </w:r>
    <w:proofErr w:type="spellStart"/>
    <w:r w:rsidR="00D47172">
      <w:rPr>
        <w:sz w:val="16"/>
      </w:rPr>
      <w:t>xxxxxxxxxxxxx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0A" w:rsidRDefault="004A530A">
      <w:r>
        <w:separator/>
      </w:r>
    </w:p>
  </w:footnote>
  <w:footnote w:type="continuationSeparator" w:id="0">
    <w:p w:rsidR="004A530A" w:rsidRDefault="004A5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2F32"/>
    <w:multiLevelType w:val="multilevel"/>
    <w:tmpl w:val="AD402140"/>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53830A4"/>
    <w:multiLevelType w:val="multilevel"/>
    <w:tmpl w:val="7E0E7B72"/>
    <w:lvl w:ilvl="0">
      <w:start w:val="5"/>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A652F02"/>
    <w:multiLevelType w:val="multilevel"/>
    <w:tmpl w:val="D91C8830"/>
    <w:lvl w:ilvl="0">
      <w:start w:val="4"/>
      <w:numFmt w:val="decimal"/>
      <w:lvlText w:val="%1."/>
      <w:lvlJc w:val="left"/>
      <w:pPr>
        <w:ind w:left="-37" w:hanging="360"/>
      </w:pPr>
      <w:rPr>
        <w:b/>
      </w:rPr>
    </w:lvl>
    <w:lvl w:ilvl="1">
      <w:start w:val="1"/>
      <w:numFmt w:val="decimal"/>
      <w:isLgl/>
      <w:lvlText w:val="%1.%2"/>
      <w:lvlJc w:val="left"/>
      <w:pPr>
        <w:ind w:left="-37" w:hanging="360"/>
      </w:pPr>
    </w:lvl>
    <w:lvl w:ilvl="2">
      <w:start w:val="1"/>
      <w:numFmt w:val="decimal"/>
      <w:isLgl/>
      <w:lvlText w:val="%1.%2.%3"/>
      <w:lvlJc w:val="left"/>
      <w:pPr>
        <w:ind w:left="323" w:hanging="720"/>
      </w:pPr>
    </w:lvl>
    <w:lvl w:ilvl="3">
      <w:start w:val="1"/>
      <w:numFmt w:val="decimal"/>
      <w:isLgl/>
      <w:lvlText w:val="%1.%2.%3.%4"/>
      <w:lvlJc w:val="left"/>
      <w:pPr>
        <w:ind w:left="323" w:hanging="720"/>
      </w:pPr>
    </w:lvl>
    <w:lvl w:ilvl="4">
      <w:start w:val="1"/>
      <w:numFmt w:val="decimal"/>
      <w:isLgl/>
      <w:lvlText w:val="%1.%2.%3.%4.%5"/>
      <w:lvlJc w:val="left"/>
      <w:pPr>
        <w:ind w:left="683" w:hanging="1080"/>
      </w:pPr>
    </w:lvl>
    <w:lvl w:ilvl="5">
      <w:start w:val="1"/>
      <w:numFmt w:val="decimal"/>
      <w:isLgl/>
      <w:lvlText w:val="%1.%2.%3.%4.%5.%6"/>
      <w:lvlJc w:val="left"/>
      <w:pPr>
        <w:ind w:left="683" w:hanging="1080"/>
      </w:pPr>
    </w:lvl>
    <w:lvl w:ilvl="6">
      <w:start w:val="1"/>
      <w:numFmt w:val="decimal"/>
      <w:isLgl/>
      <w:lvlText w:val="%1.%2.%3.%4.%5.%6.%7"/>
      <w:lvlJc w:val="left"/>
      <w:pPr>
        <w:ind w:left="1043" w:hanging="1440"/>
      </w:pPr>
    </w:lvl>
    <w:lvl w:ilvl="7">
      <w:start w:val="1"/>
      <w:numFmt w:val="decimal"/>
      <w:isLgl/>
      <w:lvlText w:val="%1.%2.%3.%4.%5.%6.%7.%8"/>
      <w:lvlJc w:val="left"/>
      <w:pPr>
        <w:ind w:left="1043" w:hanging="1440"/>
      </w:pPr>
    </w:lvl>
    <w:lvl w:ilvl="8">
      <w:start w:val="1"/>
      <w:numFmt w:val="decimal"/>
      <w:isLgl/>
      <w:lvlText w:val="%1.%2.%3.%4.%5.%6.%7.%8.%9"/>
      <w:lvlJc w:val="left"/>
      <w:pPr>
        <w:ind w:left="1403"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0A"/>
    <w:rsid w:val="00100D2E"/>
    <w:rsid w:val="002E73A5"/>
    <w:rsid w:val="003D5C64"/>
    <w:rsid w:val="004A530A"/>
    <w:rsid w:val="00612F93"/>
    <w:rsid w:val="00C9679E"/>
    <w:rsid w:val="00CB6EE6"/>
    <w:rsid w:val="00D47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customStyle="1" w:styleId="ZpatChar">
    <w:name w:val="Zápatí Char"/>
    <w:link w:val="Zpat"/>
    <w:rsid w:val="00100D2E"/>
  </w:style>
  <w:style w:type="paragraph" w:styleId="Textbubliny">
    <w:name w:val="Balloon Text"/>
    <w:basedOn w:val="Normln"/>
    <w:link w:val="TextbublinyChar"/>
    <w:rsid w:val="002E73A5"/>
    <w:rPr>
      <w:rFonts w:ascii="Tahoma" w:hAnsi="Tahoma" w:cs="Tahoma"/>
      <w:sz w:val="16"/>
      <w:szCs w:val="16"/>
    </w:rPr>
  </w:style>
  <w:style w:type="character" w:customStyle="1" w:styleId="TextbublinyChar">
    <w:name w:val="Text bubliny Char"/>
    <w:basedOn w:val="Standardnpsmoodstavce"/>
    <w:link w:val="Textbubliny"/>
    <w:rsid w:val="002E73A5"/>
    <w:rPr>
      <w:rFonts w:ascii="Tahoma" w:hAnsi="Tahoma" w:cs="Tahoma"/>
      <w:sz w:val="16"/>
      <w:szCs w:val="16"/>
    </w:rPr>
  </w:style>
  <w:style w:type="paragraph" w:styleId="Normlnweb">
    <w:name w:val="Normal (Web)"/>
    <w:basedOn w:val="Normln"/>
    <w:uiPriority w:val="99"/>
    <w:unhideWhenUsed/>
    <w:rsid w:val="002E73A5"/>
    <w:pPr>
      <w:overflowPunct/>
      <w:autoSpaceDE/>
      <w:autoSpaceDN/>
      <w:adjustRightInd/>
      <w:spacing w:before="100" w:beforeAutospacing="1" w:after="100" w:afterAutospacing="1"/>
      <w:textAlignment w:val="auto"/>
    </w:pPr>
    <w:rPr>
      <w:sz w:val="24"/>
      <w:szCs w:val="24"/>
    </w:rPr>
  </w:style>
  <w:style w:type="paragraph" w:styleId="Odstavecseseznamem">
    <w:name w:val="List Paragraph"/>
    <w:basedOn w:val="Normln"/>
    <w:uiPriority w:val="34"/>
    <w:qFormat/>
    <w:rsid w:val="002E73A5"/>
    <w:pPr>
      <w:overflowPunct/>
      <w:autoSpaceDE/>
      <w:autoSpaceDN/>
      <w:adjustRightInd/>
      <w:ind w:left="708"/>
      <w:textAlignment w:val="auto"/>
    </w:pPr>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customStyle="1" w:styleId="ZpatChar">
    <w:name w:val="Zápatí Char"/>
    <w:link w:val="Zpat"/>
    <w:rsid w:val="00100D2E"/>
  </w:style>
  <w:style w:type="paragraph" w:styleId="Textbubliny">
    <w:name w:val="Balloon Text"/>
    <w:basedOn w:val="Normln"/>
    <w:link w:val="TextbublinyChar"/>
    <w:rsid w:val="002E73A5"/>
    <w:rPr>
      <w:rFonts w:ascii="Tahoma" w:hAnsi="Tahoma" w:cs="Tahoma"/>
      <w:sz w:val="16"/>
      <w:szCs w:val="16"/>
    </w:rPr>
  </w:style>
  <w:style w:type="character" w:customStyle="1" w:styleId="TextbublinyChar">
    <w:name w:val="Text bubliny Char"/>
    <w:basedOn w:val="Standardnpsmoodstavce"/>
    <w:link w:val="Textbubliny"/>
    <w:rsid w:val="002E73A5"/>
    <w:rPr>
      <w:rFonts w:ascii="Tahoma" w:hAnsi="Tahoma" w:cs="Tahoma"/>
      <w:sz w:val="16"/>
      <w:szCs w:val="16"/>
    </w:rPr>
  </w:style>
  <w:style w:type="paragraph" w:styleId="Normlnweb">
    <w:name w:val="Normal (Web)"/>
    <w:basedOn w:val="Normln"/>
    <w:uiPriority w:val="99"/>
    <w:unhideWhenUsed/>
    <w:rsid w:val="002E73A5"/>
    <w:pPr>
      <w:overflowPunct/>
      <w:autoSpaceDE/>
      <w:autoSpaceDN/>
      <w:adjustRightInd/>
      <w:spacing w:before="100" w:beforeAutospacing="1" w:after="100" w:afterAutospacing="1"/>
      <w:textAlignment w:val="auto"/>
    </w:pPr>
    <w:rPr>
      <w:sz w:val="24"/>
      <w:szCs w:val="24"/>
    </w:rPr>
  </w:style>
  <w:style w:type="paragraph" w:styleId="Odstavecseseznamem">
    <w:name w:val="List Paragraph"/>
    <w:basedOn w:val="Normln"/>
    <w:uiPriority w:val="34"/>
    <w:qFormat/>
    <w:rsid w:val="002E73A5"/>
    <w:pPr>
      <w:overflowPunct/>
      <w:autoSpaceDE/>
      <w:autoSpaceDN/>
      <w:adjustRightInd/>
      <w:ind w:left="708"/>
      <w:textAlignment w:val="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1094</Words>
  <Characters>6348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Městská část Praha 7</vt:lpstr>
    </vt:vector>
  </TitlesOfParts>
  <Company>ÚMČ Praha7</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7</dc:title>
  <dc:creator>Jasińská Lenka</dc:creator>
  <cp:lastModifiedBy>Šišková Jana</cp:lastModifiedBy>
  <cp:revision>3</cp:revision>
  <dcterms:created xsi:type="dcterms:W3CDTF">2019-05-10T11:40:00Z</dcterms:created>
  <dcterms:modified xsi:type="dcterms:W3CDTF">2019-05-13T08:25:00Z</dcterms:modified>
</cp:coreProperties>
</file>