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left"/>
      </w:pPr>
      <w:r>
        <mc:AlternateContent>
          <mc:Choice Requires="wps">
            <w:drawing>
              <wp:anchor distT="0" distB="0" distL="0" distR="0" simplePos="0" relativeHeight="125829378" behindDoc="0" locked="0" layoutInCell="1" allowOverlap="1">
                <wp:simplePos x="0" y="0"/>
                <wp:positionH relativeFrom="page">
                  <wp:posOffset>5262245</wp:posOffset>
                </wp:positionH>
                <wp:positionV relativeFrom="paragraph">
                  <wp:posOffset>12700</wp:posOffset>
                </wp:positionV>
                <wp:extent cx="745490" cy="466090"/>
                <wp:wrapSquare wrapText="right"/>
                <wp:docPr id="1" name="Shape 1"/>
                <a:graphic xmlns:a="http://schemas.openxmlformats.org/drawingml/2006/main">
                  <a:graphicData uri="http://schemas.microsoft.com/office/word/2010/wordprocessingShape">
                    <wps:wsp>
                      <wps:cNvSpPr txBox="1"/>
                      <wps:spPr>
                        <a:xfrm>
                          <a:ext cx="745490" cy="466090"/>
                        </a:xfrm>
                        <a:prstGeom prst="rect"/>
                        <a:noFill/>
                      </wps:spPr>
                      <wps:txbx>
                        <w:txbxContent>
                          <w:p>
                            <w:pPr>
                              <w:pStyle w:val="Style2"/>
                              <w:keepNext w:val="0"/>
                              <w:keepLines w:val="0"/>
                              <w:widowControl w:val="0"/>
                              <w:shd w:val="clear" w:color="auto" w:fill="auto"/>
                              <w:bidi w:val="0"/>
                              <w:spacing w:before="0" w:after="0" w:line="286" w:lineRule="auto"/>
                              <w:ind w:left="0" w:right="0" w:firstLine="0"/>
                              <w:jc w:val="both"/>
                              <w:rPr>
                                <w:sz w:val="15"/>
                                <w:szCs w:val="15"/>
                              </w:rPr>
                            </w:pPr>
                            <w:r>
                              <w:rPr>
                                <w:color w:val="000000"/>
                                <w:spacing w:val="0"/>
                                <w:w w:val="100"/>
                                <w:position w:val="0"/>
                                <w:sz w:val="15"/>
                                <w:szCs w:val="15"/>
                                <w:shd w:val="clear" w:color="auto" w:fill="auto"/>
                                <w:lang w:val="cs-CZ" w:eastAsia="cs-CZ" w:bidi="cs-CZ"/>
                              </w:rPr>
                              <w:t xml:space="preserve">KRAJSKÁ </w:t>
                            </w:r>
                            <w:r>
                              <w:rPr>
                                <w:smallCaps/>
                                <w:color w:val="000000"/>
                                <w:spacing w:val="0"/>
                                <w:w w:val="100"/>
                                <w:position w:val="0"/>
                                <w:sz w:val="19"/>
                                <w:szCs w:val="19"/>
                                <w:shd w:val="clear" w:color="auto" w:fill="auto"/>
                                <w:lang w:val="cs-CZ" w:eastAsia="cs-CZ" w:bidi="cs-CZ"/>
                              </w:rPr>
                              <w:t xml:space="preserve">správ, </w:t>
                            </w:r>
                            <w:r>
                              <w:rPr>
                                <w:color w:val="000000"/>
                                <w:spacing w:val="0"/>
                                <w:w w:val="100"/>
                                <w:position w:val="0"/>
                                <w:sz w:val="15"/>
                                <w:szCs w:val="15"/>
                                <w:shd w:val="clear" w:color="auto" w:fill="auto"/>
                                <w:lang w:val="cs-CZ" w:eastAsia="cs-CZ" w:bidi="cs-CZ"/>
                              </w:rPr>
                              <w:t>příspě-Ácv.í cp? SMLOUVA VO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4.35000000000002pt;margin-top:1.pt;width:58.700000000000003pt;height:36.700000000000003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86" w:lineRule="auto"/>
                        <w:ind w:left="0" w:right="0" w:firstLine="0"/>
                        <w:jc w:val="both"/>
                        <w:rPr>
                          <w:sz w:val="15"/>
                          <w:szCs w:val="15"/>
                        </w:rPr>
                      </w:pPr>
                      <w:r>
                        <w:rPr>
                          <w:color w:val="000000"/>
                          <w:spacing w:val="0"/>
                          <w:w w:val="100"/>
                          <w:position w:val="0"/>
                          <w:sz w:val="15"/>
                          <w:szCs w:val="15"/>
                          <w:shd w:val="clear" w:color="auto" w:fill="auto"/>
                          <w:lang w:val="cs-CZ" w:eastAsia="cs-CZ" w:bidi="cs-CZ"/>
                        </w:rPr>
                        <w:t xml:space="preserve">KRAJSKÁ </w:t>
                      </w:r>
                      <w:r>
                        <w:rPr>
                          <w:smallCaps/>
                          <w:color w:val="000000"/>
                          <w:spacing w:val="0"/>
                          <w:w w:val="100"/>
                          <w:position w:val="0"/>
                          <w:sz w:val="19"/>
                          <w:szCs w:val="19"/>
                          <w:shd w:val="clear" w:color="auto" w:fill="auto"/>
                          <w:lang w:val="cs-CZ" w:eastAsia="cs-CZ" w:bidi="cs-CZ"/>
                        </w:rPr>
                        <w:t xml:space="preserve">správ, </w:t>
                      </w:r>
                      <w:r>
                        <w:rPr>
                          <w:color w:val="000000"/>
                          <w:spacing w:val="0"/>
                          <w:w w:val="100"/>
                          <w:position w:val="0"/>
                          <w:sz w:val="15"/>
                          <w:szCs w:val="15"/>
                          <w:shd w:val="clear" w:color="auto" w:fill="auto"/>
                          <w:lang w:val="cs-CZ" w:eastAsia="cs-CZ" w:bidi="cs-CZ"/>
                        </w:rPr>
                        <w:t>příspě-Ácv.í cp? SMLOUVA VO</w:t>
                      </w:r>
                    </w:p>
                  </w:txbxContent>
                </v:textbox>
                <w10:wrap type="square" side="right" anchorx="page"/>
              </v:shape>
            </w:pict>
          </mc:Fallback>
        </mc:AlternateContent>
      </w:r>
      <w:r>
        <w:rPr>
          <w:color w:val="000000"/>
          <w:spacing w:val="0"/>
          <w:w w:val="100"/>
          <w:position w:val="0"/>
          <w:shd w:val="clear" w:color="auto" w:fill="auto"/>
          <w:lang w:val="cs-CZ" w:eastAsia="cs-CZ" w:bidi="cs-CZ"/>
        </w:rPr>
        <w:t>A i JDRČ3A SANIC VYSOČINY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-.■/aG'</w:t>
      </w:r>
    </w:p>
    <w:p>
      <w:pPr>
        <w:pStyle w:val="Style2"/>
        <w:keepNext w:val="0"/>
        <w:keepLines w:val="0"/>
        <w:widowControl w:val="0"/>
        <w:shd w:val="clear" w:color="auto" w:fill="auto"/>
        <w:bidi w:val="0"/>
        <w:spacing w:before="0" w:line="240" w:lineRule="auto"/>
        <w:ind w:left="0" w:right="0" w:firstLine="0"/>
        <w:jc w:val="left"/>
        <w:rPr>
          <w:sz w:val="15"/>
          <w:szCs w:val="15"/>
        </w:rPr>
      </w:pPr>
      <w:r>
        <w:rPr>
          <w:color w:val="000000"/>
          <w:spacing w:val="0"/>
          <w:w w:val="100"/>
          <w:position w:val="0"/>
          <w:sz w:val="15"/>
          <w:szCs w:val="15"/>
          <w:shd w:val="clear" w:color="auto" w:fill="auto"/>
          <w:vertAlign w:val="superscript"/>
          <w:lang w:val="cs-CZ" w:eastAsia="cs-CZ" w:bidi="cs-CZ"/>
        </w:rPr>
        <w:t>;</w:t>
      </w:r>
      <w:r>
        <w:rPr>
          <w:color w:val="000000"/>
          <w:spacing w:val="0"/>
          <w:w w:val="100"/>
          <w:position w:val="0"/>
          <w:sz w:val="15"/>
          <w:szCs w:val="15"/>
          <w:shd w:val="clear" w:color="auto" w:fill="auto"/>
          <w:lang w:val="cs-CZ" w:eastAsia="cs-CZ" w:bidi="cs-CZ"/>
        </w:rPr>
        <w:t xml:space="preserve"> 'A.jVANA</w:t>
      </w:r>
    </w:p>
    <w:p>
      <w:pPr>
        <w:pStyle w:val="Style6"/>
        <w:keepNext w:val="0"/>
        <w:keepLines w:val="0"/>
        <w:widowControl w:val="0"/>
        <w:shd w:val="clear" w:color="auto" w:fill="auto"/>
        <w:bidi w:val="0"/>
        <w:spacing w:before="0" w:after="240" w:line="240" w:lineRule="auto"/>
        <w:ind w:left="7280" w:right="0" w:firstLine="0"/>
        <w:jc w:val="left"/>
        <w:rPr>
          <w:sz w:val="30"/>
          <w:szCs w:val="30"/>
        </w:rPr>
      </w:pPr>
      <w:r>
        <w:rPr>
          <w:rFonts w:ascii="Arial" w:eastAsia="Arial" w:hAnsi="Arial" w:cs="Arial"/>
          <w:color w:val="000000"/>
          <w:spacing w:val="0"/>
          <w:w w:val="100"/>
          <w:position w:val="0"/>
          <w:sz w:val="30"/>
          <w:szCs w:val="30"/>
          <w:u w:val="single"/>
          <w:shd w:val="clear" w:color="auto" w:fill="auto"/>
          <w:lang w:val="cs-CZ" w:eastAsia="cs-CZ" w:bidi="cs-CZ"/>
        </w:rPr>
        <w:t>oodč ^ iQijMv</w:t>
      </w:r>
    </w:p>
    <w:p>
      <w:pPr>
        <w:pStyle w:val="Style26"/>
        <w:keepNext/>
        <w:keepLines/>
        <w:widowControl w:val="0"/>
        <w:shd w:val="clear" w:color="auto" w:fill="auto"/>
        <w:bidi w:val="0"/>
        <w:spacing w:before="0" w:after="36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zajištění výkonu technického dozoru</w:t>
        <w:br/>
        <w:t>stavebníka na staveništi</w:t>
      </w:r>
      <w:bookmarkEnd w:id="0"/>
      <w:bookmarkEnd w:id="1"/>
    </w:p>
    <w:p>
      <w:pPr>
        <w:pStyle w:val="Style6"/>
        <w:keepNext w:val="0"/>
        <w:keepLines w:val="0"/>
        <w:widowControl w:val="0"/>
        <w:shd w:val="clear" w:color="auto" w:fill="auto"/>
        <w:bidi w:val="0"/>
        <w:spacing w:before="0" w:after="240" w:line="240" w:lineRule="auto"/>
        <w:ind w:left="0" w:right="0" w:firstLine="0"/>
        <w:jc w:val="center"/>
        <w:rPr>
          <w:sz w:val="30"/>
          <w:szCs w:val="30"/>
        </w:rPr>
      </w:pPr>
      <w:r>
        <w:rPr>
          <w:color w:val="000000"/>
          <w:spacing w:val="0"/>
          <w:w w:val="100"/>
          <w:position w:val="0"/>
          <w:sz w:val="22"/>
          <w:szCs w:val="22"/>
          <w:shd w:val="clear" w:color="auto" w:fill="auto"/>
          <w:lang w:val="cs-CZ" w:eastAsia="cs-CZ" w:bidi="cs-CZ"/>
        </w:rPr>
        <w:t xml:space="preserve">na akci: </w:t>
      </w:r>
      <w:r>
        <w:rPr>
          <w:b/>
          <w:bCs/>
          <w:color w:val="000000"/>
          <w:spacing w:val="0"/>
          <w:w w:val="100"/>
          <w:position w:val="0"/>
          <w:sz w:val="30"/>
          <w:szCs w:val="30"/>
          <w:shd w:val="clear" w:color="auto" w:fill="auto"/>
          <w:lang w:val="cs-CZ" w:eastAsia="cs-CZ" w:bidi="cs-CZ"/>
        </w:rPr>
        <w:t>11/348 Chyška - most ev. č. 348-006</w:t>
      </w:r>
    </w:p>
    <w:p>
      <w:pPr>
        <w:pStyle w:val="Style12"/>
        <w:keepNext w:val="0"/>
        <w:keepLines w:val="0"/>
        <w:widowControl w:val="0"/>
        <w:shd w:val="clear" w:color="auto" w:fill="auto"/>
        <w:bidi w:val="0"/>
        <w:spacing w:before="0" w:after="360" w:line="240" w:lineRule="auto"/>
        <w:ind w:left="0" w:right="0" w:firstLine="520"/>
        <w:jc w:val="left"/>
      </w:pPr>
      <w:r>
        <w:rPr>
          <w:b/>
          <w:bCs/>
          <w:color w:val="000000"/>
          <w:spacing w:val="0"/>
          <w:w w:val="100"/>
          <w:position w:val="0"/>
          <w:shd w:val="clear" w:color="auto" w:fill="auto"/>
          <w:lang w:val="cs-CZ" w:eastAsia="cs-CZ" w:bidi="cs-CZ"/>
        </w:rPr>
        <w:t>uzavřená podle § 1746 odst. 2 zákona č. 89/2012 Sb., občanský zákoník, v platném znění</w:t>
      </w:r>
    </w:p>
    <w:p>
      <w:pPr>
        <w:pStyle w:val="Style6"/>
        <w:keepNext w:val="0"/>
        <w:keepLines w:val="0"/>
        <w:widowControl w:val="0"/>
        <w:shd w:val="clear" w:color="auto" w:fill="auto"/>
        <w:bidi w:val="0"/>
        <w:spacing w:before="0" w:after="0" w:line="240" w:lineRule="auto"/>
        <w:ind w:left="0" w:right="0" w:firstLine="0"/>
        <w:jc w:val="left"/>
        <w:rPr>
          <w:sz w:val="19"/>
          <w:szCs w:val="19"/>
        </w:rPr>
      </w:pPr>
      <w:r>
        <w:rPr>
          <w:i/>
          <w:iCs/>
          <w:color w:val="000000"/>
          <w:spacing w:val="0"/>
          <w:w w:val="100"/>
          <w:position w:val="0"/>
          <w:sz w:val="19"/>
          <w:szCs w:val="19"/>
          <w:shd w:val="clear" w:color="auto" w:fill="auto"/>
          <w:lang w:val="cs-CZ" w:eastAsia="cs-CZ" w:bidi="cs-CZ"/>
        </w:rPr>
        <w:t>Číslo smlouvy objednatele:</w:t>
      </w:r>
    </w:p>
    <w:p>
      <w:pPr>
        <w:pStyle w:val="Style6"/>
        <w:keepNext w:val="0"/>
        <w:keepLines w:val="0"/>
        <w:widowControl w:val="0"/>
        <w:shd w:val="clear" w:color="auto" w:fill="auto"/>
        <w:bidi w:val="0"/>
        <w:spacing w:before="0" w:after="240" w:line="240" w:lineRule="auto"/>
        <w:ind w:left="0" w:right="0" w:firstLine="0"/>
        <w:jc w:val="left"/>
        <w:rPr>
          <w:sz w:val="19"/>
          <w:szCs w:val="19"/>
        </w:rPr>
      </w:pPr>
      <w:r>
        <w:rPr>
          <w:i/>
          <w:iCs/>
          <w:color w:val="000000"/>
          <w:spacing w:val="0"/>
          <w:w w:val="100"/>
          <w:position w:val="0"/>
          <w:sz w:val="19"/>
          <w:szCs w:val="19"/>
          <w:shd w:val="clear" w:color="auto" w:fill="auto"/>
          <w:lang w:val="cs-CZ" w:eastAsia="cs-CZ" w:bidi="cs-CZ"/>
        </w:rPr>
        <w:t>Číslo smlouvy dodavatele: 19 TD10012</w:t>
      </w:r>
    </w:p>
    <w:p>
      <w:pPr>
        <w:pStyle w:val="Style31"/>
        <w:keepNext/>
        <w:keepLines/>
        <w:widowControl w:val="0"/>
        <w:shd w:val="clear" w:color="auto" w:fill="auto"/>
        <w:bidi w:val="0"/>
        <w:spacing w:before="0" w:after="0" w:line="259"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1</w:t>
        <w:br/>
        <w:t>Smluvní strany</w:t>
      </w:r>
      <w:bookmarkEnd w:id="2"/>
      <w:bookmarkEnd w:id="3"/>
    </w:p>
    <w:p>
      <w:pPr>
        <w:widowControl w:val="0"/>
        <w:spacing w:line="1" w:lineRule="exact"/>
      </w:pPr>
      <w:r>
        <mc:AlternateContent>
          <mc:Choice Requires="wps">
            <w:drawing>
              <wp:anchor distT="0" distB="4734560" distL="8890" distR="0" simplePos="0" relativeHeight="125829380" behindDoc="0" locked="0" layoutInCell="1" allowOverlap="1">
                <wp:simplePos x="0" y="0"/>
                <wp:positionH relativeFrom="page">
                  <wp:posOffset>667385</wp:posOffset>
                </wp:positionH>
                <wp:positionV relativeFrom="paragraph">
                  <wp:posOffset>0</wp:posOffset>
                </wp:positionV>
                <wp:extent cx="5513705" cy="342900"/>
                <wp:wrapTopAndBottom/>
                <wp:docPr id="3" name="Shape 3"/>
                <a:graphic xmlns:a="http://schemas.openxmlformats.org/drawingml/2006/main">
                  <a:graphicData uri="http://schemas.microsoft.com/office/word/2010/wordprocessingShape">
                    <wps:wsp>
                      <wps:cNvSpPr txBox="1"/>
                      <wps:spPr>
                        <a:xfrm>
                          <a:ext cx="5513705" cy="342900"/>
                        </a:xfrm>
                        <a:prstGeom prst="rect"/>
                        <a:noFill/>
                      </wps:spPr>
                      <wps:txbx>
                        <w:txbxContent>
                          <w:tbl>
                            <w:tblPr>
                              <w:tblOverlap w:val="never"/>
                              <w:jc w:val="left"/>
                              <w:tblLayout w:type="fixed"/>
                            </w:tblPr>
                            <w:tblGrid>
                              <w:gridCol w:w="1656"/>
                              <w:gridCol w:w="7027"/>
                            </w:tblGrid>
                            <w:tr>
                              <w:trPr>
                                <w:tblHeader/>
                                <w:trHeight w:val="281"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txbxContent>
                      </wps:txbx>
                      <wps:bodyPr lIns="0" tIns="0" rIns="0" bIns="0">
                        <a:noAutoFit/>
                      </wps:bodyPr>
                    </wps:wsp>
                  </a:graphicData>
                </a:graphic>
              </wp:anchor>
            </w:drawing>
          </mc:Choice>
          <mc:Fallback>
            <w:pict>
              <v:shape id="_x0000_s1029" type="#_x0000_t202" style="position:absolute;margin-left:52.549999999999997pt;margin-top:0;width:434.14999999999998pt;height:27.pt;z-index:-125829373;mso-wrap-distance-left:0.69999999999999996pt;mso-wrap-distance-right:0;mso-wrap-distance-bottom:372.80000000000001pt;mso-position-horizontal-relative:page" filled="f" stroked="f">
                <v:textbox inset="0,0,0,0">
                  <w:txbxContent>
                    <w:tbl>
                      <w:tblPr>
                        <w:tblOverlap w:val="never"/>
                        <w:jc w:val="left"/>
                        <w:tblLayout w:type="fixed"/>
                      </w:tblPr>
                      <w:tblGrid>
                        <w:gridCol w:w="1656"/>
                        <w:gridCol w:w="7027"/>
                      </w:tblGrid>
                      <w:tr>
                        <w:trPr>
                          <w:tblHeader/>
                          <w:trHeight w:val="281"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Kosovská 1122/16, 586 01 Jihlava</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658495</wp:posOffset>
                </wp:positionH>
                <wp:positionV relativeFrom="paragraph">
                  <wp:posOffset>345440</wp:posOffset>
                </wp:positionV>
                <wp:extent cx="4407535" cy="365760"/>
                <wp:wrapNone/>
                <wp:docPr id="5" name="Shape 5"/>
                <a:graphic xmlns:a="http://schemas.openxmlformats.org/drawingml/2006/main">
                  <a:graphicData uri="http://schemas.microsoft.com/office/word/2010/wordprocessingShape">
                    <wps:wsp>
                      <wps:cNvSpPr txBox="1"/>
                      <wps:spPr>
                        <a:xfrm>
                          <a:ext cx="4407535" cy="365760"/>
                        </a:xfrm>
                        <a:prstGeom prst="rect"/>
                        <a:noFill/>
                      </wps:spPr>
                      <wps:txbx>
                        <w:txbxContent>
                          <w:p>
                            <w:pPr>
                              <w:pStyle w:val="Style9"/>
                              <w:keepNext w:val="0"/>
                              <w:keepLines w:val="0"/>
                              <w:widowControl w:val="0"/>
                              <w:shd w:val="clear" w:color="auto" w:fill="auto"/>
                              <w:tabs>
                                <w:tab w:pos="207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Janem Míkou, MBA, ředitelem organizace</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wps:txbx>
                      <wps:bodyPr lIns="0" tIns="0" rIns="0" bIns="0">
                        <a:noAutoFit/>
                      </wps:bodyPr>
                    </wps:wsp>
                  </a:graphicData>
                </a:graphic>
              </wp:anchor>
            </w:drawing>
          </mc:Choice>
          <mc:Fallback>
            <w:pict>
              <v:shape id="_x0000_s1031" type="#_x0000_t202" style="position:absolute;margin-left:51.850000000000001pt;margin-top:27.199999999999999pt;width:347.05000000000001pt;height:28.800000000000001pt;z-index:251657729;mso-wrap-distance-left:0;mso-wrap-distance-right:0;mso-position-horizontal-relative:page" filled="f" stroked="f">
                <v:textbox inset="0,0,0,0">
                  <w:txbxContent>
                    <w:p>
                      <w:pPr>
                        <w:pStyle w:val="Style9"/>
                        <w:keepNext w:val="0"/>
                        <w:keepLines w:val="0"/>
                        <w:widowControl w:val="0"/>
                        <w:shd w:val="clear" w:color="auto" w:fill="auto"/>
                        <w:tabs>
                          <w:tab w:pos="2077"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tab/>
                        <w:t>Ing. Janem Míkou, MBA, ředitelem organizace</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v:textbox>
                <w10:wrap anchorx="page"/>
              </v:shape>
            </w:pict>
          </mc:Fallback>
        </mc:AlternateContent>
      </w:r>
      <w:r>
        <mc:AlternateContent>
          <mc:Choice Requires="wps">
            <w:drawing>
              <wp:anchor distT="667385" distB="3035935" distL="0" distR="0" simplePos="0" relativeHeight="125829382" behindDoc="0" locked="0" layoutInCell="1" allowOverlap="1">
                <wp:simplePos x="0" y="0"/>
                <wp:positionH relativeFrom="page">
                  <wp:posOffset>658495</wp:posOffset>
                </wp:positionH>
                <wp:positionV relativeFrom="paragraph">
                  <wp:posOffset>667385</wp:posOffset>
                </wp:positionV>
                <wp:extent cx="1124585" cy="1374140"/>
                <wp:wrapTopAndBottom/>
                <wp:docPr id="7" name="Shape 7"/>
                <a:graphic xmlns:a="http://schemas.openxmlformats.org/drawingml/2006/main">
                  <a:graphicData uri="http://schemas.microsoft.com/office/word/2010/wordprocessingShape">
                    <wps:wsp>
                      <wps:cNvSpPr txBox="1"/>
                      <wps:spPr>
                        <a:xfrm>
                          <a:ext cx="1124585" cy="1374140"/>
                        </a:xfrm>
                        <a:prstGeom prst="rect"/>
                        <a:noFill/>
                      </wps:spPr>
                      <wps:txbx>
                        <w:txbxContent>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technických: Bankovní spojení: Číslo účtu: IČO: DIČ:</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Fax:</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E-mail:</w:t>
                            </w:r>
                          </w:p>
                        </w:txbxContent>
                      </wps:txbx>
                      <wps:bodyPr lIns="0" tIns="0" rIns="0" bIns="0">
                        <a:noAutoFit/>
                      </wps:bodyPr>
                    </wps:wsp>
                  </a:graphicData>
                </a:graphic>
              </wp:anchor>
            </w:drawing>
          </mc:Choice>
          <mc:Fallback>
            <w:pict>
              <v:shape id="_x0000_s1033" type="#_x0000_t202" style="position:absolute;margin-left:51.850000000000001pt;margin-top:52.549999999999997pt;width:88.549999999999997pt;height:108.2pt;z-index:-125829371;mso-wrap-distance-left:0;mso-wrap-distance-top:52.549999999999997pt;mso-wrap-distance-right:0;mso-wrap-distance-bottom:239.05000000000001pt;mso-position-horizontal-relative:page" filled="f" stroked="f">
                <v:textbox inset="0,0,0,0">
                  <w:txbxContent>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technických: Bankovní spojení: Číslo účtu: IČO: DIČ:</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Fax:</w:t>
                      </w:r>
                    </w:p>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E-mail:</w:t>
                      </w:r>
                    </w:p>
                  </w:txbxContent>
                </v:textbox>
                <w10:wrap type="topAndBottom" anchorx="page"/>
              </v:shape>
            </w:pict>
          </mc:Fallback>
        </mc:AlternateContent>
      </w:r>
      <w:r>
        <mc:AlternateContent>
          <mc:Choice Requires="wps">
            <w:drawing>
              <wp:anchor distT="667385" distB="4035425" distL="0" distR="0" simplePos="0" relativeHeight="125829384" behindDoc="0" locked="0" layoutInCell="1" allowOverlap="1">
                <wp:simplePos x="0" y="0"/>
                <wp:positionH relativeFrom="page">
                  <wp:posOffset>1984375</wp:posOffset>
                </wp:positionH>
                <wp:positionV relativeFrom="paragraph">
                  <wp:posOffset>667385</wp:posOffset>
                </wp:positionV>
                <wp:extent cx="2990215" cy="374650"/>
                <wp:wrapTopAndBottom/>
                <wp:docPr id="9" name="Shape 9"/>
                <a:graphic xmlns:a="http://schemas.openxmlformats.org/drawingml/2006/main">
                  <a:graphicData uri="http://schemas.microsoft.com/office/word/2010/wordprocessingShape">
                    <wps:wsp>
                      <wps:cNvSpPr txBox="1"/>
                      <wps:spPr>
                        <a:xfrm>
                          <a:ext cx="2990215" cy="374650"/>
                        </a:xfrm>
                        <a:prstGeom prst="rect"/>
                        <a:noFill/>
                      </wps:spPr>
                      <wps:txbx>
                        <w:txbxContent>
                          <w:p>
                            <w:pPr>
                              <w:pStyle w:val="Style12"/>
                              <w:keepNext w:val="0"/>
                              <w:keepLines w:val="0"/>
                              <w:widowControl w:val="0"/>
                              <w:shd w:val="clear" w:color="auto" w:fill="auto"/>
                              <w:bidi w:val="0"/>
                              <w:spacing w:before="0" w:after="0" w:line="259" w:lineRule="auto"/>
                              <w:ind w:left="0" w:right="0" w:firstLine="2040"/>
                              <w:jc w:val="left"/>
                            </w:pPr>
                            <w:r>
                              <w:rPr>
                                <w:color w:val="000000"/>
                                <w:spacing w:val="0"/>
                                <w:w w:val="100"/>
                                <w:position w:val="0"/>
                                <w:shd w:val="clear" w:color="auto" w:fill="auto"/>
                                <w:lang w:val="cs-CZ" w:eastAsia="cs-CZ" w:bidi="cs-CZ"/>
                              </w:rPr>
                              <w:t>referent investiční výstavby Komerční banka, a.s.</w:t>
                            </w:r>
                          </w:p>
                        </w:txbxContent>
                      </wps:txbx>
                      <wps:bodyPr lIns="0" tIns="0" rIns="0" bIns="0">
                        <a:noAutoFit/>
                      </wps:bodyPr>
                    </wps:wsp>
                  </a:graphicData>
                </a:graphic>
              </wp:anchor>
            </w:drawing>
          </mc:Choice>
          <mc:Fallback>
            <w:pict>
              <v:shape id="_x0000_s1035" type="#_x0000_t202" style="position:absolute;margin-left:156.25pt;margin-top:52.549999999999997pt;width:235.44999999999999pt;height:29.5pt;z-index:-125829369;mso-wrap-distance-left:0;mso-wrap-distance-top:52.549999999999997pt;mso-wrap-distance-right:0;mso-wrap-distance-bottom:317.75pt;mso-position-horizontal-relative:page" filled="f" stroked="f">
                <v:textbox inset="0,0,0,0">
                  <w:txbxContent>
                    <w:p>
                      <w:pPr>
                        <w:pStyle w:val="Style12"/>
                        <w:keepNext w:val="0"/>
                        <w:keepLines w:val="0"/>
                        <w:widowControl w:val="0"/>
                        <w:shd w:val="clear" w:color="auto" w:fill="auto"/>
                        <w:bidi w:val="0"/>
                        <w:spacing w:before="0" w:after="0" w:line="259" w:lineRule="auto"/>
                        <w:ind w:left="0" w:right="0" w:firstLine="2040"/>
                        <w:jc w:val="left"/>
                      </w:pPr>
                      <w:r>
                        <w:rPr>
                          <w:color w:val="000000"/>
                          <w:spacing w:val="0"/>
                          <w:w w:val="100"/>
                          <w:position w:val="0"/>
                          <w:shd w:val="clear" w:color="auto" w:fill="auto"/>
                          <w:lang w:val="cs-CZ" w:eastAsia="cs-CZ" w:bidi="cs-CZ"/>
                        </w:rPr>
                        <w:t>referent investiční výstavby Komerční banka, a.s.</w:t>
                      </w:r>
                    </w:p>
                  </w:txbxContent>
                </v:textbox>
                <w10:wrap type="topAndBottom" anchorx="page"/>
              </v:shape>
            </w:pict>
          </mc:Fallback>
        </mc:AlternateContent>
      </w:r>
      <w:r>
        <mc:AlternateContent>
          <mc:Choice Requires="wps">
            <w:drawing>
              <wp:anchor distT="1174750" distB="3536950" distL="0" distR="0" simplePos="0" relativeHeight="125829386" behindDoc="0" locked="0" layoutInCell="1" allowOverlap="1">
                <wp:simplePos x="0" y="0"/>
                <wp:positionH relativeFrom="page">
                  <wp:posOffset>1986280</wp:posOffset>
                </wp:positionH>
                <wp:positionV relativeFrom="paragraph">
                  <wp:posOffset>1174750</wp:posOffset>
                </wp:positionV>
                <wp:extent cx="827405" cy="365760"/>
                <wp:wrapTopAndBottom/>
                <wp:docPr id="11" name="Shape 11"/>
                <a:graphic xmlns:a="http://schemas.openxmlformats.org/drawingml/2006/main">
                  <a:graphicData uri="http://schemas.microsoft.com/office/word/2010/wordprocessingShape">
                    <wps:wsp>
                      <wps:cNvSpPr txBox="1"/>
                      <wps:spPr>
                        <a:xfrm>
                          <a:ext cx="827405" cy="365760"/>
                        </a:xfrm>
                        <a:prstGeom prst="rect"/>
                        <a:noFill/>
                      </wps:spPr>
                      <wps:txbx>
                        <w:txbxContent>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7" type="#_x0000_t202" style="position:absolute;margin-left:156.40000000000001pt;margin-top:92.5pt;width:65.150000000000006pt;height:28.800000000000001pt;z-index:-125829367;mso-wrap-distance-left:0;mso-wrap-distance-top:92.5pt;mso-wrap-distance-right:0;mso-wrap-distance-bottom:278.5pt;mso-position-horizontal-relative:page" filled="f" stroked="f">
                <v:textbox inset="0,0,0,0">
                  <w:txbxContent>
                    <w:p>
                      <w:pPr>
                        <w:pStyle w:val="Style1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1374140" distB="3044825" distL="0" distR="0" simplePos="0" relativeHeight="125829388" behindDoc="0" locked="0" layoutInCell="1" allowOverlap="1">
                <wp:simplePos x="0" y="0"/>
                <wp:positionH relativeFrom="page">
                  <wp:posOffset>5010785</wp:posOffset>
                </wp:positionH>
                <wp:positionV relativeFrom="paragraph">
                  <wp:posOffset>1374140</wp:posOffset>
                </wp:positionV>
                <wp:extent cx="1250315" cy="658495"/>
                <wp:wrapTopAndBottom/>
                <wp:docPr id="13" name="Shape 13"/>
                <a:graphic xmlns:a="http://schemas.openxmlformats.org/drawingml/2006/main">
                  <a:graphicData uri="http://schemas.microsoft.com/office/word/2010/wordprocessingShape">
                    <wps:wsp>
                      <wps:cNvSpPr txBox="1"/>
                      <wps:spPr>
                        <a:xfrm>
                          <a:ext cx="1250315" cy="658495"/>
                        </a:xfrm>
                        <a:prstGeom prst="rect"/>
                        <a:noFill/>
                      </wps:spPr>
                      <wps:txbx>
                        <w:txbxContent>
                          <w:p>
                            <w:pPr>
                              <w:pStyle w:val="Style1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Krip’ ,.</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 -</w:t>
                            </w:r>
                          </w:p>
                          <w:p>
                            <w:pPr>
                              <w:pStyle w:val="Style1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,ilnk Vys^v,</w:t>
                            </w:r>
                          </w:p>
                          <w:p>
                            <w:pPr>
                              <w:pStyle w:val="Style14"/>
                              <w:keepNext w:val="0"/>
                              <w:keepLines w:val="0"/>
                              <w:widowControl w:val="0"/>
                              <w:shd w:val="clear" w:color="auto" w:fill="auto"/>
                              <w:bidi w:val="0"/>
                              <w:spacing w:before="0" w:after="160" w:line="180" w:lineRule="auto"/>
                              <w:ind w:left="0" w:right="0" w:firstLine="280"/>
                              <w:jc w:val="left"/>
                            </w:pPr>
                            <w:r>
                              <w:rPr>
                                <w:color w:val="000000"/>
                                <w:spacing w:val="0"/>
                                <w:w w:val="100"/>
                                <w:position w:val="0"/>
                                <w:shd w:val="clear" w:color="auto" w:fill="auto"/>
                                <w:lang w:val="cs-CZ" w:eastAsia="cs-CZ" w:bidi="cs-CZ"/>
                              </w:rPr>
                              <w:t xml:space="preserve">tewA* </w:t>
                            </w:r>
                            <w:r>
                              <w:rPr>
                                <w:color w:val="000000"/>
                                <w:spacing w:val="0"/>
                                <w:w w:val="100"/>
                                <w:position w:val="0"/>
                                <w:shd w:val="clear" w:color="auto" w:fill="auto"/>
                                <w:vertAlign w:val="superscript"/>
                                <w:lang w:val="cs-CZ" w:eastAsia="cs-CZ" w:bidi="cs-CZ"/>
                              </w:rPr>
                              <w:t>11</w:t>
                            </w:r>
                            <w:r>
                              <w:rPr>
                                <w:color w:val="000000"/>
                                <w:spacing w:val="0"/>
                                <w:w w:val="100"/>
                                <w:position w:val="0"/>
                                <w:shd w:val="clear" w:color="auto" w:fill="auto"/>
                                <w:lang w:val="cs-CZ" w:eastAsia="cs-CZ" w:bidi="cs-CZ"/>
                              </w:rPr>
                              <w:t xml:space="preserve"> M"</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 0 -04’ 2019</w:t>
                            </w:r>
                          </w:p>
                        </w:txbxContent>
                      </wps:txbx>
                      <wps:bodyPr lIns="0" tIns="0" rIns="0" bIns="0">
                        <a:noAutoFit/>
                      </wps:bodyPr>
                    </wps:wsp>
                  </a:graphicData>
                </a:graphic>
              </wp:anchor>
            </w:drawing>
          </mc:Choice>
          <mc:Fallback>
            <w:pict>
              <v:shape id="_x0000_s1039" type="#_x0000_t202" style="position:absolute;margin-left:394.55000000000001pt;margin-top:108.2pt;width:98.450000000000003pt;height:51.850000000000001pt;z-index:-125829365;mso-wrap-distance-left:0;mso-wrap-distance-top:108.2pt;mso-wrap-distance-right:0;mso-wrap-distance-bottom:239.7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Krip’ ,.</w:t>
                      </w:r>
                      <w:r>
                        <w:rPr>
                          <w:color w:val="000000"/>
                          <w:spacing w:val="0"/>
                          <w:w w:val="100"/>
                          <w:position w:val="0"/>
                          <w:shd w:val="clear" w:color="auto" w:fill="auto"/>
                          <w:vertAlign w:val="subscript"/>
                          <w:lang w:val="cs-CZ" w:eastAsia="cs-CZ" w:bidi="cs-CZ"/>
                        </w:rPr>
                        <w:t>r</w:t>
                      </w:r>
                      <w:r>
                        <w:rPr>
                          <w:color w:val="000000"/>
                          <w:spacing w:val="0"/>
                          <w:w w:val="100"/>
                          <w:position w:val="0"/>
                          <w:shd w:val="clear" w:color="auto" w:fill="auto"/>
                          <w:lang w:val="cs-CZ" w:eastAsia="cs-CZ" w:bidi="cs-CZ"/>
                        </w:rPr>
                        <w:t>. -</w:t>
                      </w:r>
                    </w:p>
                    <w:p>
                      <w:pPr>
                        <w:pStyle w:val="Style14"/>
                        <w:keepNext w:val="0"/>
                        <w:keepLines w:val="0"/>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cs-CZ" w:eastAsia="cs-CZ" w:bidi="cs-CZ"/>
                        </w:rPr>
                        <w:t>,ilnk Vys^v,</w:t>
                      </w:r>
                    </w:p>
                    <w:p>
                      <w:pPr>
                        <w:pStyle w:val="Style14"/>
                        <w:keepNext w:val="0"/>
                        <w:keepLines w:val="0"/>
                        <w:widowControl w:val="0"/>
                        <w:shd w:val="clear" w:color="auto" w:fill="auto"/>
                        <w:bidi w:val="0"/>
                        <w:spacing w:before="0" w:after="160" w:line="180" w:lineRule="auto"/>
                        <w:ind w:left="0" w:right="0" w:firstLine="280"/>
                        <w:jc w:val="left"/>
                      </w:pPr>
                      <w:r>
                        <w:rPr>
                          <w:color w:val="000000"/>
                          <w:spacing w:val="0"/>
                          <w:w w:val="100"/>
                          <w:position w:val="0"/>
                          <w:shd w:val="clear" w:color="auto" w:fill="auto"/>
                          <w:lang w:val="cs-CZ" w:eastAsia="cs-CZ" w:bidi="cs-CZ"/>
                        </w:rPr>
                        <w:t xml:space="preserve">tewA* </w:t>
                      </w:r>
                      <w:r>
                        <w:rPr>
                          <w:color w:val="000000"/>
                          <w:spacing w:val="0"/>
                          <w:w w:val="100"/>
                          <w:position w:val="0"/>
                          <w:shd w:val="clear" w:color="auto" w:fill="auto"/>
                          <w:vertAlign w:val="superscript"/>
                          <w:lang w:val="cs-CZ" w:eastAsia="cs-CZ" w:bidi="cs-CZ"/>
                        </w:rPr>
                        <w:t>11</w:t>
                      </w:r>
                      <w:r>
                        <w:rPr>
                          <w:color w:val="000000"/>
                          <w:spacing w:val="0"/>
                          <w:w w:val="100"/>
                          <w:position w:val="0"/>
                          <w:shd w:val="clear" w:color="auto" w:fill="auto"/>
                          <w:lang w:val="cs-CZ" w:eastAsia="cs-CZ" w:bidi="cs-CZ"/>
                        </w:rPr>
                        <w:t xml:space="preserve"> M"</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.i*</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3 0 -04’ 2019</w:t>
                      </w:r>
                    </w:p>
                  </w:txbxContent>
                </v:textbox>
                <w10:wrap type="topAndBottom" anchorx="page"/>
              </v:shape>
            </w:pict>
          </mc:Fallback>
        </mc:AlternateContent>
      </w:r>
      <w:r>
        <mc:AlternateContent>
          <mc:Choice Requires="wps">
            <w:drawing>
              <wp:anchor distT="2043430" distB="2672715" distL="0" distR="0" simplePos="0" relativeHeight="125829390" behindDoc="0" locked="0" layoutInCell="1" allowOverlap="1">
                <wp:simplePos x="0" y="0"/>
                <wp:positionH relativeFrom="page">
                  <wp:posOffset>655955</wp:posOffset>
                </wp:positionH>
                <wp:positionV relativeFrom="paragraph">
                  <wp:posOffset>2043430</wp:posOffset>
                </wp:positionV>
                <wp:extent cx="2240280" cy="361315"/>
                <wp:wrapTopAndBottom/>
                <wp:docPr id="15" name="Shape 15"/>
                <a:graphic xmlns:a="http://schemas.openxmlformats.org/drawingml/2006/main">
                  <a:graphicData uri="http://schemas.microsoft.com/office/word/2010/wordprocessingShape">
                    <wps:wsp>
                      <wps:cNvSpPr txBox="1"/>
                      <wps:spPr>
                        <a:xfrm>
                          <a:ext cx="2240280" cy="361315"/>
                        </a:xfrm>
                        <a:prstGeom prst="rect"/>
                        <a:noFill/>
                      </wps:spPr>
                      <wps:txbx>
                        <w:txbxContent>
                          <w:p>
                            <w:pPr>
                              <w:pStyle w:val="Style12"/>
                              <w:keepNext w:val="0"/>
                              <w:keepLines w:val="0"/>
                              <w:widowControl w:val="0"/>
                              <w:shd w:val="clear" w:color="auto" w:fill="auto"/>
                              <w:tabs>
                                <w:tab w:pos="2084"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txbxContent>
                      </wps:txbx>
                      <wps:bodyPr lIns="0" tIns="0" rIns="0" bIns="0">
                        <a:noAutoFit/>
                      </wps:bodyPr>
                    </wps:wsp>
                  </a:graphicData>
                </a:graphic>
              </wp:anchor>
            </w:drawing>
          </mc:Choice>
          <mc:Fallback>
            <w:pict>
              <v:shape id="_x0000_s1041" type="#_x0000_t202" style="position:absolute;margin-left:51.649999999999999pt;margin-top:160.90000000000001pt;width:176.40000000000001pt;height:28.449999999999999pt;z-index:-125829363;mso-wrap-distance-left:0;mso-wrap-distance-top:160.90000000000001pt;mso-wrap-distance-right:0;mso-wrap-distance-bottom:210.44999999999999pt;mso-position-horizontal-relative:page" filled="f" stroked="f">
                <v:textbox inset="0,0,0,0">
                  <w:txbxContent>
                    <w:p>
                      <w:pPr>
                        <w:pStyle w:val="Style12"/>
                        <w:keepNext w:val="0"/>
                        <w:keepLines w:val="0"/>
                        <w:widowControl w:val="0"/>
                        <w:shd w:val="clear" w:color="auto" w:fill="auto"/>
                        <w:tabs>
                          <w:tab w:pos="2084"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1664335" distB="2823210" distL="0" distR="0" simplePos="0" relativeHeight="125829392" behindDoc="0" locked="0" layoutInCell="1" allowOverlap="1">
                <wp:simplePos x="0" y="0"/>
                <wp:positionH relativeFrom="page">
                  <wp:posOffset>6350635</wp:posOffset>
                </wp:positionH>
                <wp:positionV relativeFrom="paragraph">
                  <wp:posOffset>1664335</wp:posOffset>
                </wp:positionV>
                <wp:extent cx="301625" cy="589915"/>
                <wp:wrapTopAndBottom/>
                <wp:docPr id="17" name="Shape 17"/>
                <a:graphic xmlns:a="http://schemas.openxmlformats.org/drawingml/2006/main">
                  <a:graphicData uri="http://schemas.microsoft.com/office/word/2010/wordprocessingShape">
                    <wps:wsp>
                      <wps:cNvSpPr txBox="1"/>
                      <wps:spPr>
                        <a:xfrm>
                          <a:ext cx="301625" cy="589915"/>
                        </a:xfrm>
                        <a:prstGeom prst="rect"/>
                        <a:noFill/>
                      </wps:spPr>
                      <wps:txbx>
                        <w:txbxContent>
                          <w:p>
                            <w:pPr>
                              <w:pStyle w:val="Style14"/>
                              <w:keepNext w:val="0"/>
                              <w:keepLines w:val="0"/>
                              <w:widowControl w:val="0"/>
                              <w:shd w:val="clear" w:color="auto" w:fill="auto"/>
                              <w:bidi w:val="0"/>
                              <w:spacing w:before="0" w:after="260" w:line="240" w:lineRule="auto"/>
                              <w:ind w:left="0" w:right="0" w:firstLine="0"/>
                              <w:jc w:val="left"/>
                              <w:rPr>
                                <w:sz w:val="24"/>
                                <w:szCs w:val="24"/>
                              </w:rPr>
                            </w:pPr>
                            <w:r>
                              <w:rPr>
                                <w:i/>
                                <w:iCs/>
                                <w:color w:val="000000"/>
                                <w:spacing w:val="0"/>
                                <w:w w:val="100"/>
                                <w:position w:val="0"/>
                                <w:sz w:val="24"/>
                                <w:szCs w:val="24"/>
                                <w:shd w:val="clear" w:color="auto" w:fill="auto"/>
                                <w:lang w:val="cs-CZ" w:eastAsia="cs-CZ" w:bidi="cs-CZ"/>
                              </w:rPr>
                              <w: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xbxContent>
                      </wps:txbx>
                      <wps:bodyPr lIns="0" tIns="0" rIns="0" bIns="0">
                        <a:noAutoFit/>
                      </wps:bodyPr>
                    </wps:wsp>
                  </a:graphicData>
                </a:graphic>
              </wp:anchor>
            </w:drawing>
          </mc:Choice>
          <mc:Fallback>
            <w:pict>
              <v:shape id="_x0000_s1043" type="#_x0000_t202" style="position:absolute;margin-left:500.05000000000001pt;margin-top:131.05000000000001pt;width:23.75pt;height:46.450000000000003pt;z-index:-125829361;mso-wrap-distance-left:0;mso-wrap-distance-top:131.05000000000001pt;mso-wrap-distance-right:0;mso-wrap-distance-bottom:222.30000000000001pt;mso-position-horizontal-relative:page" filled="f" stroked="f">
                <v:textbox inset="0,0,0,0">
                  <w:txbxContent>
                    <w:p>
                      <w:pPr>
                        <w:pStyle w:val="Style14"/>
                        <w:keepNext w:val="0"/>
                        <w:keepLines w:val="0"/>
                        <w:widowControl w:val="0"/>
                        <w:shd w:val="clear" w:color="auto" w:fill="auto"/>
                        <w:bidi w:val="0"/>
                        <w:spacing w:before="0" w:after="260" w:line="240" w:lineRule="auto"/>
                        <w:ind w:left="0" w:right="0" w:firstLine="0"/>
                        <w:jc w:val="left"/>
                        <w:rPr>
                          <w:sz w:val="24"/>
                          <w:szCs w:val="24"/>
                        </w:rPr>
                      </w:pPr>
                      <w:r>
                        <w:rPr>
                          <w:i/>
                          <w:iCs/>
                          <w:color w:val="000000"/>
                          <w:spacing w:val="0"/>
                          <w:w w:val="100"/>
                          <w:position w:val="0"/>
                          <w:sz w:val="24"/>
                          <w:szCs w:val="24"/>
                          <w:shd w:val="clear" w:color="auto" w:fill="auto"/>
                          <w:lang w:val="cs-CZ" w:eastAsia="cs-CZ" w:bidi="cs-CZ"/>
                        </w:rPr>
                        <w:t>/I</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w:t>
                      </w:r>
                    </w:p>
                  </w:txbxContent>
                </v:textbox>
                <w10:wrap type="topAndBottom" anchorx="page"/>
              </v:shape>
            </w:pict>
          </mc:Fallback>
        </mc:AlternateContent>
      </w:r>
      <w:r>
        <mc:AlternateContent>
          <mc:Choice Requires="wps">
            <w:drawing>
              <wp:anchor distT="2707005" distB="2023110" distL="8890" distR="8890" simplePos="0" relativeHeight="125829394" behindDoc="0" locked="0" layoutInCell="1" allowOverlap="1">
                <wp:simplePos x="0" y="0"/>
                <wp:positionH relativeFrom="page">
                  <wp:posOffset>667385</wp:posOffset>
                </wp:positionH>
                <wp:positionV relativeFrom="paragraph">
                  <wp:posOffset>2707005</wp:posOffset>
                </wp:positionV>
                <wp:extent cx="5883910" cy="347345"/>
                <wp:wrapTopAndBottom/>
                <wp:docPr id="19" name="Shape 19"/>
                <a:graphic xmlns:a="http://schemas.openxmlformats.org/drawingml/2006/main">
                  <a:graphicData uri="http://schemas.microsoft.com/office/word/2010/wordprocessingShape">
                    <wps:wsp>
                      <wps:cNvSpPr txBox="1"/>
                      <wps:spPr>
                        <a:xfrm>
                          <a:ext cx="5883910" cy="347345"/>
                        </a:xfrm>
                        <a:prstGeom prst="rect"/>
                        <a:noFill/>
                      </wps:spPr>
                      <wps:txbx>
                        <w:txbxContent>
                          <w:tbl>
                            <w:tblPr>
                              <w:tblOverlap w:val="never"/>
                              <w:jc w:val="left"/>
                              <w:tblLayout w:type="fixed"/>
                            </w:tblPr>
                            <w:tblGrid>
                              <w:gridCol w:w="1912"/>
                              <w:gridCol w:w="7355"/>
                            </w:tblGrid>
                            <w:tr>
                              <w:trPr>
                                <w:tblHeader/>
                                <w:trHeight w:val="263"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IBR Consulting, s.r.o.</w:t>
                                  </w:r>
                                </w:p>
                              </w:tc>
                            </w:tr>
                            <w:tr>
                              <w:trPr>
                                <w:trHeight w:val="284"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Sokolovská 352/215, 190 00 Praha 9</w:t>
                                  </w: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52.549999999999997pt;margin-top:213.15000000000001pt;width:463.30000000000001pt;height:27.350000000000001pt;z-index:-125829359;mso-wrap-distance-left:0.69999999999999996pt;mso-wrap-distance-top:213.15000000000001pt;mso-wrap-distance-right:0.69999999999999996pt;mso-wrap-distance-bottom:159.30000000000001pt;mso-position-horizontal-relative:page" filled="f" stroked="f">
                <v:textbox inset="0,0,0,0">
                  <w:txbxContent>
                    <w:tbl>
                      <w:tblPr>
                        <w:tblOverlap w:val="never"/>
                        <w:jc w:val="left"/>
                        <w:tblLayout w:type="fixed"/>
                      </w:tblPr>
                      <w:tblGrid>
                        <w:gridCol w:w="1912"/>
                        <w:gridCol w:w="7355"/>
                      </w:tblGrid>
                      <w:tr>
                        <w:trPr>
                          <w:tblHeader/>
                          <w:trHeight w:val="263"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left"/>
                            </w:pPr>
                            <w:r>
                              <w:rPr>
                                <w:b/>
                                <w:bCs/>
                                <w:color w:val="000000"/>
                                <w:spacing w:val="0"/>
                                <w:w w:val="100"/>
                                <w:position w:val="0"/>
                                <w:shd w:val="clear" w:color="auto" w:fill="auto"/>
                                <w:lang w:val="cs-CZ" w:eastAsia="cs-CZ" w:bidi="cs-CZ"/>
                              </w:rPr>
                              <w:t>IBR Consulting, s.r.o.</w:t>
                            </w:r>
                          </w:p>
                        </w:tc>
                      </w:tr>
                      <w:tr>
                        <w:trPr>
                          <w:trHeight w:val="284"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cs-CZ" w:eastAsia="cs-CZ" w:bidi="cs-CZ"/>
                              </w:rPr>
                              <w:t>Sokolovská 352/215, 190 00 Praha 9</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4976495</wp:posOffset>
                </wp:positionH>
                <wp:positionV relativeFrom="paragraph">
                  <wp:posOffset>2139950</wp:posOffset>
                </wp:positionV>
                <wp:extent cx="1264285" cy="276860"/>
                <wp:wrapNone/>
                <wp:docPr id="21" name="Shape 21"/>
                <a:graphic xmlns:a="http://schemas.openxmlformats.org/drawingml/2006/main">
                  <a:graphicData uri="http://schemas.microsoft.com/office/word/2010/wordprocessingShape">
                    <wps:wsp>
                      <wps:cNvSpPr txBox="1"/>
                      <wps:spPr>
                        <a:xfrm>
                          <a:ext cx="1264285" cy="276860"/>
                        </a:xfrm>
                        <a:prstGeom prst="rect"/>
                        <a:noFill/>
                      </wps:spPr>
                      <wps:txbx>
                        <w:txbxContent>
                          <w:p>
                            <w:pPr>
                              <w:pStyle w:val="Style9"/>
                              <w:keepNext w:val="0"/>
                              <w:keepLines w:val="0"/>
                              <w:widowControl w:val="0"/>
                              <w:shd w:val="clear" w:color="auto" w:fill="auto"/>
                              <w:tabs>
                                <w:tab w:pos="1408"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Č.J.:</w:t>
                              <w:tab/>
                              <w:t>ítC'19</w:t>
                            </w:r>
                          </w:p>
                        </w:txbxContent>
                      </wps:txbx>
                      <wps:bodyPr lIns="0" tIns="0" rIns="0" bIns="0">
                        <a:noAutoFit/>
                      </wps:bodyPr>
                    </wps:wsp>
                  </a:graphicData>
                </a:graphic>
              </wp:anchor>
            </w:drawing>
          </mc:Choice>
          <mc:Fallback>
            <w:pict>
              <v:shape id="_x0000_s1047" type="#_x0000_t202" style="position:absolute;margin-left:391.85000000000002pt;margin-top:168.5pt;width:99.549999999999997pt;height:21.800000000000001pt;z-index:251657731;mso-wrap-distance-left:0;mso-wrap-distance-right:0;mso-position-horizontal-relative:page" filled="f" stroked="f">
                <v:textbox inset="0,0,0,0">
                  <w:txbxContent>
                    <w:p>
                      <w:pPr>
                        <w:pStyle w:val="Style9"/>
                        <w:keepNext w:val="0"/>
                        <w:keepLines w:val="0"/>
                        <w:widowControl w:val="0"/>
                        <w:shd w:val="clear" w:color="auto" w:fill="auto"/>
                        <w:tabs>
                          <w:tab w:pos="1408" w:val="left"/>
                        </w:tabs>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Č.J.:</w:t>
                        <w:tab/>
                        <w:t>ítC'19</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667385</wp:posOffset>
                </wp:positionH>
                <wp:positionV relativeFrom="paragraph">
                  <wp:posOffset>2439670</wp:posOffset>
                </wp:positionV>
                <wp:extent cx="109855" cy="187325"/>
                <wp:wrapNone/>
                <wp:docPr id="23" name="Shape 23"/>
                <a:graphic xmlns:a="http://schemas.openxmlformats.org/drawingml/2006/main">
                  <a:graphicData uri="http://schemas.microsoft.com/office/word/2010/wordprocessingShape">
                    <wps:wsp>
                      <wps:cNvSpPr txBox="1"/>
                      <wps:spPr>
                        <a:xfrm>
                          <a:ext cx="109855" cy="1873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wps:txbx>
                      <wps:bodyPr lIns="0" tIns="0" rIns="0" bIns="0">
                        <a:noAutoFit/>
                      </wps:bodyPr>
                    </wps:wsp>
                  </a:graphicData>
                </a:graphic>
              </wp:anchor>
            </w:drawing>
          </mc:Choice>
          <mc:Fallback>
            <w:pict>
              <v:shape id="_x0000_s1049" type="#_x0000_t202" style="position:absolute;margin-left:52.549999999999997pt;margin-top:192.09999999999999pt;width:8.6500000000000004pt;height:14.75pt;z-index:251657733;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658495</wp:posOffset>
                </wp:positionH>
                <wp:positionV relativeFrom="paragraph">
                  <wp:posOffset>3022600</wp:posOffset>
                </wp:positionV>
                <wp:extent cx="5902325" cy="713105"/>
                <wp:wrapNone/>
                <wp:docPr id="25" name="Shape 25"/>
                <a:graphic xmlns:a="http://schemas.openxmlformats.org/drawingml/2006/main">
                  <a:graphicData uri="http://schemas.microsoft.com/office/word/2010/wordprocessingShape">
                    <wps:wsp>
                      <wps:cNvSpPr txBox="1"/>
                      <wps:spPr>
                        <a:xfrm>
                          <a:ext cx="5902325" cy="713105"/>
                        </a:xfrm>
                        <a:prstGeom prst="rect"/>
                        <a:noFill/>
                      </wps:spPr>
                      <wps:txbx>
                        <w:txbxContent>
                          <w:p>
                            <w:pPr>
                              <w:pStyle w:val="Style9"/>
                              <w:keepNext w:val="0"/>
                              <w:keepLines w:val="0"/>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cs-CZ" w:eastAsia="cs-CZ" w:bidi="cs-CZ"/>
                              </w:rPr>
                              <w:t>zastoupený:</w:t>
                            </w:r>
                          </w:p>
                          <w:p>
                            <w:pPr>
                              <w:pStyle w:val="Style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oddíl C, vl.235748 vedenou u Městského soudu v Praze</w:t>
                            </w:r>
                          </w:p>
                          <w:p>
                            <w:pPr>
                              <w:pStyle w:val="Style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pod sp. zn.: oddíl C, vl.235748 vedenou u Městského soudu v Praze Osoby pověřené jednat jménem zhotovitele ve věcech</w:t>
                            </w:r>
                          </w:p>
                        </w:txbxContent>
                      </wps:txbx>
                      <wps:bodyPr lIns="0" tIns="0" rIns="0" bIns="0">
                        <a:noAutoFit/>
                      </wps:bodyPr>
                    </wps:wsp>
                  </a:graphicData>
                </a:graphic>
              </wp:anchor>
            </w:drawing>
          </mc:Choice>
          <mc:Fallback>
            <w:pict>
              <v:shape id="_x0000_s1051" type="#_x0000_t202" style="position:absolute;margin-left:51.850000000000001pt;margin-top:238.pt;width:464.75pt;height:56.149999999999999pt;z-index:251657735;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57" w:lineRule="auto"/>
                        <w:ind w:left="0" w:right="0" w:firstLine="0"/>
                        <w:jc w:val="both"/>
                      </w:pPr>
                      <w:r>
                        <w:rPr>
                          <w:b/>
                          <w:bCs/>
                          <w:color w:val="000000"/>
                          <w:spacing w:val="0"/>
                          <w:w w:val="100"/>
                          <w:position w:val="0"/>
                          <w:shd w:val="clear" w:color="auto" w:fill="auto"/>
                          <w:lang w:val="cs-CZ" w:eastAsia="cs-CZ" w:bidi="cs-CZ"/>
                        </w:rPr>
                        <w:t>zastoupený:</w:t>
                      </w:r>
                    </w:p>
                    <w:p>
                      <w:pPr>
                        <w:pStyle w:val="Style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oddíl C, vl.235748 vedenou u Městského soudu v Praze</w:t>
                      </w:r>
                    </w:p>
                    <w:p>
                      <w:pPr>
                        <w:pStyle w:val="Style9"/>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zapsán v obchodním rejstříku pod sp. zn.: oddíl C, vl.235748 vedenou u Městského soudu v Praze Osoby pověřené jednat jménem zhotovitele ve věcech</w:t>
                      </w:r>
                    </w:p>
                  </w:txbxContent>
                </v:textbox>
                <w10:wrap anchorx="page"/>
              </v:shape>
            </w:pict>
          </mc:Fallback>
        </mc:AlternateContent>
      </w:r>
      <w:r>
        <mc:AlternateContent>
          <mc:Choice Requires="wps">
            <w:drawing>
              <wp:anchor distT="3721735" distB="832485" distL="2540" distR="0" simplePos="0" relativeHeight="125829396" behindDoc="0" locked="0" layoutInCell="1" allowOverlap="1">
                <wp:simplePos x="0" y="0"/>
                <wp:positionH relativeFrom="page">
                  <wp:posOffset>667385</wp:posOffset>
                </wp:positionH>
                <wp:positionV relativeFrom="paragraph">
                  <wp:posOffset>3721735</wp:posOffset>
                </wp:positionV>
                <wp:extent cx="5883910" cy="523240"/>
                <wp:wrapTopAndBottom/>
                <wp:docPr id="27" name="Shape 27"/>
                <a:graphic xmlns:a="http://schemas.openxmlformats.org/drawingml/2006/main">
                  <a:graphicData uri="http://schemas.microsoft.com/office/word/2010/wordprocessingShape">
                    <wps:wsp>
                      <wps:cNvSpPr txBox="1"/>
                      <wps:spPr>
                        <a:xfrm>
                          <a:ext cx="5883910" cy="523240"/>
                        </a:xfrm>
                        <a:prstGeom prst="rect"/>
                        <a:noFill/>
                      </wps:spPr>
                      <wps:txbx>
                        <w:txbxContent>
                          <w:tbl>
                            <w:tblPr>
                              <w:tblOverlap w:val="never"/>
                              <w:jc w:val="left"/>
                              <w:tblLayout w:type="fixed"/>
                            </w:tblPr>
                            <w:tblGrid>
                              <w:gridCol w:w="1912"/>
                              <w:gridCol w:w="7355"/>
                            </w:tblGrid>
                            <w:tr>
                              <w:trPr>
                                <w:tblHeader/>
                                <w:trHeight w:val="24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widowControl w:val="0"/>
                                    <w:rPr>
                                      <w:sz w:val="10"/>
                                      <w:szCs w:val="10"/>
                                    </w:rPr>
                                  </w:pPr>
                                </w:p>
                              </w:tc>
                            </w:tr>
                            <w:tr>
                              <w:trPr>
                                <w:trHeight w:val="28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6"/>
                                    <w:keepNext w:val="0"/>
                                    <w:keepLines w:val="0"/>
                                    <w:widowControl w:val="0"/>
                                    <w:shd w:val="clear" w:color="auto" w:fill="auto"/>
                                    <w:tabs>
                                      <w:tab w:pos="1372" w:val="left"/>
                                      <w:tab w:pos="5094" w:val="left"/>
                                    </w:tabs>
                                    <w:bidi w:val="0"/>
                                    <w:spacing w:before="0" w:after="0" w:line="240" w:lineRule="auto"/>
                                    <w:ind w:left="0" w:right="0" w:firstLine="180"/>
                                    <w:jc w:val="left"/>
                                  </w:pPr>
                                  <w:r>
                                    <w:rPr>
                                      <w:color w:val="000000"/>
                                      <w:spacing w:val="0"/>
                                      <w:w w:val="100"/>
                                      <w:position w:val="0"/>
                                      <w:shd w:val="clear" w:color="auto" w:fill="auto"/>
                                      <w:lang w:val="cs-CZ" w:eastAsia="cs-CZ" w:bidi="cs-CZ"/>
                                    </w:rPr>
                                    <w:t>,</w:t>
                                    <w:tab/>
                                    <w:t>,e-mail: £</w:t>
                                    <w:tab/>
                                    <w:t>tel: +</w:t>
                                  </w:r>
                                </w:p>
                              </w:tc>
                            </w:tr>
                            <w:tr>
                              <w:trPr>
                                <w:trHeight w:val="292"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Raiffeisenbank. a.s.</w:t>
                                  </w: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52.549999999999997pt;margin-top:293.05000000000001pt;width:463.30000000000001pt;height:41.200000000000003pt;z-index:-125829357;mso-wrap-distance-left:0.20000000000000001pt;mso-wrap-distance-top:293.05000000000001pt;mso-wrap-distance-right:0;mso-wrap-distance-bottom:65.549999999999997pt;mso-position-horizontal-relative:page" filled="f" stroked="f">
                <v:textbox inset="0,0,0,0">
                  <w:txbxContent>
                    <w:tbl>
                      <w:tblPr>
                        <w:tblOverlap w:val="never"/>
                        <w:jc w:val="left"/>
                        <w:tblLayout w:type="fixed"/>
                      </w:tblPr>
                      <w:tblGrid>
                        <w:gridCol w:w="1912"/>
                        <w:gridCol w:w="7355"/>
                      </w:tblGrid>
                      <w:tr>
                        <w:trPr>
                          <w:tblHeader/>
                          <w:trHeight w:val="24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widowControl w:val="0"/>
                              <w:rPr>
                                <w:sz w:val="10"/>
                                <w:szCs w:val="10"/>
                              </w:rPr>
                            </w:pPr>
                          </w:p>
                        </w:tc>
                      </w:tr>
                      <w:tr>
                        <w:trPr>
                          <w:trHeight w:val="284"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bottom"/>
                          </w:tcPr>
                          <w:p>
                            <w:pPr>
                              <w:pStyle w:val="Style6"/>
                              <w:keepNext w:val="0"/>
                              <w:keepLines w:val="0"/>
                              <w:widowControl w:val="0"/>
                              <w:shd w:val="clear" w:color="auto" w:fill="auto"/>
                              <w:tabs>
                                <w:tab w:pos="1372" w:val="left"/>
                                <w:tab w:pos="5094" w:val="left"/>
                              </w:tabs>
                              <w:bidi w:val="0"/>
                              <w:spacing w:before="0" w:after="0" w:line="240" w:lineRule="auto"/>
                              <w:ind w:left="0" w:right="0" w:firstLine="180"/>
                              <w:jc w:val="left"/>
                            </w:pPr>
                            <w:r>
                              <w:rPr>
                                <w:color w:val="000000"/>
                                <w:spacing w:val="0"/>
                                <w:w w:val="100"/>
                                <w:position w:val="0"/>
                                <w:shd w:val="clear" w:color="auto" w:fill="auto"/>
                                <w:lang w:val="cs-CZ" w:eastAsia="cs-CZ" w:bidi="cs-CZ"/>
                              </w:rPr>
                              <w:t>,</w:t>
                              <w:tab/>
                              <w:t>,e-mail: £</w:t>
                              <w:tab/>
                              <w:t>tel: +</w:t>
                            </w:r>
                          </w:p>
                        </w:tc>
                      </w:tr>
                      <w:tr>
                        <w:trPr>
                          <w:trHeight w:val="292"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Raiffeisenbank. a.s.</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664845</wp:posOffset>
                </wp:positionH>
                <wp:positionV relativeFrom="paragraph">
                  <wp:posOffset>4213225</wp:posOffset>
                </wp:positionV>
                <wp:extent cx="511810" cy="187325"/>
                <wp:wrapNone/>
                <wp:docPr id="29" name="Shape 29"/>
                <a:graphic xmlns:a="http://schemas.openxmlformats.org/drawingml/2006/main">
                  <a:graphicData uri="http://schemas.microsoft.com/office/word/2010/wordprocessingShape">
                    <wps:wsp>
                      <wps:cNvSpPr txBox="1"/>
                      <wps:spPr>
                        <a:xfrm>
                          <a:ext cx="511810" cy="18732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Č. účtu:</w:t>
                            </w:r>
                          </w:p>
                        </w:txbxContent>
                      </wps:txbx>
                      <wps:bodyPr lIns="0" tIns="0" rIns="0" bIns="0">
                        <a:noAutoFit/>
                      </wps:bodyPr>
                    </wps:wsp>
                  </a:graphicData>
                </a:graphic>
              </wp:anchor>
            </w:drawing>
          </mc:Choice>
          <mc:Fallback>
            <w:pict>
              <v:shape id="_x0000_s1055" type="#_x0000_t202" style="position:absolute;margin-left:52.350000000000001pt;margin-top:331.75pt;width:40.299999999999997pt;height:14.75pt;z-index:251657737;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Č. účtu:</w:t>
                      </w:r>
                    </w:p>
                  </w:txbxContent>
                </v:textbox>
                <w10:wrap anchorx="page"/>
              </v:shape>
            </w:pict>
          </mc:Fallback>
        </mc:AlternateContent>
      </w:r>
      <w:r>
        <mc:AlternateContent>
          <mc:Choice Requires="wps">
            <w:drawing>
              <wp:anchor distT="4373245" distB="328930" distL="2540" distR="0" simplePos="0" relativeHeight="125829398" behindDoc="0" locked="0" layoutInCell="1" allowOverlap="1">
                <wp:simplePos x="0" y="0"/>
                <wp:positionH relativeFrom="page">
                  <wp:posOffset>667385</wp:posOffset>
                </wp:positionH>
                <wp:positionV relativeFrom="paragraph">
                  <wp:posOffset>4373245</wp:posOffset>
                </wp:positionV>
                <wp:extent cx="5883910" cy="374650"/>
                <wp:wrapTopAndBottom/>
                <wp:docPr id="31" name="Shape 31"/>
                <a:graphic xmlns:a="http://schemas.openxmlformats.org/drawingml/2006/main">
                  <a:graphicData uri="http://schemas.microsoft.com/office/word/2010/wordprocessingShape">
                    <wps:wsp>
                      <wps:cNvSpPr txBox="1"/>
                      <wps:spPr>
                        <a:xfrm>
                          <a:ext cx="5883910" cy="374650"/>
                        </a:xfrm>
                        <a:prstGeom prst="rect"/>
                        <a:noFill/>
                      </wps:spPr>
                      <wps:txbx>
                        <w:txbxContent>
                          <w:tbl>
                            <w:tblPr>
                              <w:tblOverlap w:val="never"/>
                              <w:jc w:val="left"/>
                              <w:tblLayout w:type="fixed"/>
                            </w:tblPr>
                            <w:tblGrid>
                              <w:gridCol w:w="1912"/>
                              <w:gridCol w:w="7355"/>
                            </w:tblGrid>
                            <w:tr>
                              <w:trPr>
                                <w:tblHeader/>
                                <w:trHeight w:val="59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6"/>
                                    <w:keepNext w:val="0"/>
                                    <w:keepLines w:val="0"/>
                                    <w:widowControl w:val="0"/>
                                    <w:shd w:val="clear" w:color="auto" w:fill="auto"/>
                                    <w:bidi w:val="0"/>
                                    <w:spacing w:before="0" w:after="0" w:line="259" w:lineRule="auto"/>
                                    <w:ind w:left="180" w:right="0" w:firstLine="0"/>
                                    <w:jc w:val="left"/>
                                  </w:pPr>
                                  <w:r>
                                    <w:rPr>
                                      <w:color w:val="000000"/>
                                      <w:spacing w:val="0"/>
                                      <w:w w:val="100"/>
                                      <w:position w:val="0"/>
                                      <w:shd w:val="clear" w:color="auto" w:fill="auto"/>
                                      <w:lang w:val="cs-CZ" w:eastAsia="cs-CZ" w:bidi="cs-CZ"/>
                                    </w:rPr>
                                    <w:t>250 23 446 CZ25023446</w:t>
                                  </w:r>
                                </w:p>
                              </w:tc>
                            </w:tr>
                          </w:tbl>
                          <w:p>
                            <w:pPr>
                              <w:widowControl w:val="0"/>
                              <w:spacing w:line="1" w:lineRule="exact"/>
                            </w:pPr>
                          </w:p>
                        </w:txbxContent>
                      </wps:txbx>
                      <wps:bodyPr lIns="0" tIns="0" rIns="0" bIns="0">
                        <a:noAutoFit/>
                      </wps:bodyPr>
                    </wps:wsp>
                  </a:graphicData>
                </a:graphic>
              </wp:anchor>
            </w:drawing>
          </mc:Choice>
          <mc:Fallback>
            <w:pict>
              <v:shape id="_x0000_s1057" type="#_x0000_t202" style="position:absolute;margin-left:52.549999999999997pt;margin-top:344.35000000000002pt;width:463.30000000000001pt;height:29.5pt;z-index:-125829355;mso-wrap-distance-left:0.20000000000000001pt;mso-wrap-distance-top:344.35000000000002pt;mso-wrap-distance-right:0;mso-wrap-distance-bottom:25.899999999999999pt;mso-position-horizontal-relative:page" filled="f" stroked="f">
                <v:textbox inset="0,0,0,0">
                  <w:txbxContent>
                    <w:tbl>
                      <w:tblPr>
                        <w:tblOverlap w:val="never"/>
                        <w:jc w:val="left"/>
                        <w:tblLayout w:type="fixed"/>
                      </w:tblPr>
                      <w:tblGrid>
                        <w:gridCol w:w="1912"/>
                        <w:gridCol w:w="7355"/>
                      </w:tblGrid>
                      <w:tr>
                        <w:trPr>
                          <w:tblHeader/>
                          <w:trHeight w:val="59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6"/>
                              <w:keepNext w:val="0"/>
                              <w:keepLines w:val="0"/>
                              <w:widowControl w:val="0"/>
                              <w:shd w:val="clear" w:color="auto" w:fill="auto"/>
                              <w:bidi w:val="0"/>
                              <w:spacing w:before="0" w:after="0" w:line="259" w:lineRule="auto"/>
                              <w:ind w:left="180" w:right="0" w:firstLine="0"/>
                              <w:jc w:val="left"/>
                            </w:pPr>
                            <w:r>
                              <w:rPr>
                                <w:color w:val="000000"/>
                                <w:spacing w:val="0"/>
                                <w:w w:val="100"/>
                                <w:position w:val="0"/>
                                <w:shd w:val="clear" w:color="auto" w:fill="auto"/>
                                <w:lang w:val="cs-CZ" w:eastAsia="cs-CZ" w:bidi="cs-CZ"/>
                              </w:rPr>
                              <w:t>250 23 446 CZ25023446</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664845</wp:posOffset>
                </wp:positionH>
                <wp:positionV relativeFrom="paragraph">
                  <wp:posOffset>4723130</wp:posOffset>
                </wp:positionV>
                <wp:extent cx="530225" cy="354330"/>
                <wp:wrapNone/>
                <wp:docPr id="33" name="Shape 33"/>
                <a:graphic xmlns:a="http://schemas.openxmlformats.org/drawingml/2006/main">
                  <a:graphicData uri="http://schemas.microsoft.com/office/word/2010/wordprocessingShape">
                    <wps:wsp>
                      <wps:cNvSpPr txBox="1"/>
                      <wps:spPr>
                        <a:xfrm>
                          <a:ext cx="530225" cy="3543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 E-mail:</w:t>
                            </w:r>
                          </w:p>
                        </w:txbxContent>
                      </wps:txbx>
                      <wps:bodyPr lIns="0" tIns="0" rIns="0" bIns="0">
                        <a:noAutoFit/>
                      </wps:bodyPr>
                    </wps:wsp>
                  </a:graphicData>
                </a:graphic>
              </wp:anchor>
            </w:drawing>
          </mc:Choice>
          <mc:Fallback>
            <w:pict>
              <v:shape id="_x0000_s1059" type="#_x0000_t202" style="position:absolute;margin-left:52.350000000000001pt;margin-top:371.89999999999998pt;width:41.75pt;height:27.899999999999999pt;z-index:25165773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 E-mail:</w:t>
                      </w:r>
                    </w:p>
                  </w:txbxContent>
                </v:textbox>
                <w10:wrap anchorx="page"/>
              </v:shape>
            </w:pict>
          </mc:Fallback>
        </mc:AlternateContent>
      </w:r>
    </w:p>
    <w:p>
      <w:pPr>
        <w:pStyle w:val="Style12"/>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„TDS“)</w:t>
      </w:r>
    </w:p>
    <w:p>
      <w:pPr>
        <w:pStyle w:val="Style12"/>
        <w:keepNext w:val="0"/>
        <w:keepLines w:val="0"/>
        <w:widowControl w:val="0"/>
        <w:shd w:val="clear" w:color="auto" w:fill="auto"/>
        <w:bidi w:val="0"/>
        <w:spacing w:before="0" w:after="500" w:line="257" w:lineRule="auto"/>
        <w:ind w:left="0" w:right="0" w:firstLine="0"/>
        <w:jc w:val="left"/>
      </w:pP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 xml:space="preserve">s tím, že TDS je oprávněn provádět činnosti technického dozoru stavebníka dle zákona č. 360/1992 Sb., kterým se upravují další požadavky výkonu </w:t>
      </w:r>
      <w:r>
        <w:rPr>
          <w:color w:val="000000"/>
          <w:spacing w:val="0"/>
          <w:w w:val="100"/>
          <w:position w:val="0"/>
          <w:shd w:val="clear" w:color="auto" w:fill="auto"/>
          <w:lang w:val="cs-CZ" w:eastAsia="cs-CZ" w:bidi="cs-CZ"/>
        </w:rPr>
        <w:t>povolání autorizovaných architektů a výkonu povolání autorizovaných inženýrů a techniků činných ve výstavbě, ve znění pozdějších předpisů a rovněž v souladu s vymezeným předmětem této smlouvy. Objednatel se zavazuje k jejich převzetí a k zaplacení sjednané odměny za jejich provedení a obě strany se zavazují plnit podmínky obsažené v následujících ustanoveních této smlouvy.</w:t>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31"/>
        <w:keepNext/>
        <w:keepLines/>
        <w:widowControl w:val="0"/>
        <w:shd w:val="clear" w:color="auto" w:fill="auto"/>
        <w:bidi w:val="0"/>
        <w:spacing w:before="0"/>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12"/>
        <w:keepNext w:val="0"/>
        <w:keepLines w:val="0"/>
        <w:widowControl w:val="0"/>
        <w:numPr>
          <w:ilvl w:val="0"/>
          <w:numId w:val="1"/>
        </w:numPr>
        <w:shd w:val="clear" w:color="auto" w:fill="auto"/>
        <w:tabs>
          <w:tab w:pos="69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TDS se zavazuje pro objednatele vykonávat funkci technického dozoru stavebníka na staveništi po celou dobu přípravy a realizace stavby</w:t>
      </w:r>
    </w:p>
    <w:p>
      <w:pPr>
        <w:pStyle w:val="Style31"/>
        <w:keepNext/>
        <w:keepLines/>
        <w:widowControl w:val="0"/>
        <w:shd w:val="clear" w:color="auto" w:fill="auto"/>
        <w:tabs>
          <w:tab w:pos="1379" w:val="left"/>
        </w:tabs>
        <w:bidi w:val="0"/>
        <w:spacing w:before="0" w:after="240"/>
        <w:ind w:left="0" w:right="0" w:firstLine="0"/>
        <w:jc w:val="both"/>
      </w:pPr>
      <w:bookmarkStart w:id="6" w:name="bookmark6"/>
      <w:bookmarkStart w:id="7" w:name="bookmark7"/>
      <w:r>
        <w:rPr>
          <w:b w:val="0"/>
          <w:bCs w:val="0"/>
          <w:color w:val="000000"/>
          <w:spacing w:val="0"/>
          <w:w w:val="100"/>
          <w:position w:val="0"/>
          <w:shd w:val="clear" w:color="auto" w:fill="auto"/>
          <w:lang w:val="cs-CZ" w:eastAsia="cs-CZ" w:bidi="cs-CZ"/>
        </w:rPr>
        <w:t>na akci:</w:t>
        <w:tab/>
      </w:r>
      <w:r>
        <w:rPr>
          <w:color w:val="000000"/>
          <w:spacing w:val="0"/>
          <w:w w:val="100"/>
          <w:position w:val="0"/>
          <w:shd w:val="clear" w:color="auto" w:fill="auto"/>
          <w:lang w:val="cs-CZ" w:eastAsia="cs-CZ" w:bidi="cs-CZ"/>
        </w:rPr>
        <w:t>11/348 Chyška - most ev. č. 348-006</w:t>
      </w:r>
      <w:bookmarkEnd w:id="6"/>
      <w:bookmarkEnd w:id="7"/>
    </w:p>
    <w:p>
      <w:pPr>
        <w:pStyle w:val="Style12"/>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rámci výběrového řízení ze dne </w:t>
      </w:r>
      <w:r>
        <w:rPr>
          <w:b/>
          <w:bCs/>
          <w:color w:val="000000"/>
          <w:spacing w:val="0"/>
          <w:w w:val="100"/>
          <w:position w:val="0"/>
          <w:shd w:val="clear" w:color="auto" w:fill="auto"/>
          <w:lang w:val="cs-CZ" w:eastAsia="cs-CZ" w:bidi="cs-CZ"/>
        </w:rPr>
        <w:t xml:space="preserve">17.4.2019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12"/>
        <w:keepNext w:val="0"/>
        <w:keepLines w:val="0"/>
        <w:widowControl w:val="0"/>
        <w:numPr>
          <w:ilvl w:val="0"/>
          <w:numId w:val="1"/>
        </w:numPr>
        <w:shd w:val="clear" w:color="auto" w:fill="auto"/>
        <w:tabs>
          <w:tab w:pos="69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TDS prohlašuje, že splňuje požadavky na odbornou způsobilost pro výkon technického dozoru stavebníka na staveništi</w:t>
      </w:r>
    </w:p>
    <w:p>
      <w:pPr>
        <w:pStyle w:val="Style12"/>
        <w:keepNext w:val="0"/>
        <w:keepLines w:val="0"/>
        <w:widowControl w:val="0"/>
        <w:numPr>
          <w:ilvl w:val="0"/>
          <w:numId w:val="1"/>
        </w:numPr>
        <w:shd w:val="clear" w:color="auto" w:fill="auto"/>
        <w:tabs>
          <w:tab w:pos="691" w:val="left"/>
        </w:tabs>
        <w:bidi w:val="0"/>
        <w:spacing w:before="0" w:after="500" w:line="252" w:lineRule="auto"/>
        <w:ind w:left="0" w:right="0" w:firstLine="0"/>
        <w:jc w:val="both"/>
      </w:pPr>
      <w:r>
        <w:rPr>
          <w:color w:val="000000"/>
          <w:spacing w:val="0"/>
          <w:w w:val="100"/>
          <w:position w:val="0"/>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3</w:t>
      </w:r>
    </w:p>
    <w:p>
      <w:pPr>
        <w:pStyle w:val="Style31"/>
        <w:keepNext/>
        <w:keepLines/>
        <w:widowControl w:val="0"/>
        <w:shd w:val="clear" w:color="auto" w:fill="auto"/>
        <w:bidi w:val="0"/>
        <w:spacing w:before="0"/>
        <w:ind w:left="0" w:right="0" w:firstLine="0"/>
        <w:jc w:val="center"/>
      </w:pPr>
      <w:bookmarkStart w:id="8" w:name="bookmark8"/>
      <w:bookmarkStart w:id="9" w:name="bookmark9"/>
      <w:r>
        <w:rPr>
          <w:color w:val="000000"/>
          <w:spacing w:val="0"/>
          <w:w w:val="100"/>
          <w:position w:val="0"/>
          <w:shd w:val="clear" w:color="auto" w:fill="auto"/>
          <w:lang w:val="cs-CZ" w:eastAsia="cs-CZ" w:bidi="cs-CZ"/>
        </w:rPr>
        <w:t>Rozsah a obsah předmětu plnění</w:t>
      </w:r>
      <w:bookmarkEnd w:id="8"/>
      <w:bookmarkEnd w:id="9"/>
    </w:p>
    <w:p>
      <w:pPr>
        <w:pStyle w:val="Style12"/>
        <w:keepNext w:val="0"/>
        <w:keepLines w:val="0"/>
        <w:widowControl w:val="0"/>
        <w:shd w:val="clear" w:color="auto" w:fill="auto"/>
        <w:bidi w:val="0"/>
        <w:spacing w:before="0" w:after="120"/>
        <w:ind w:left="0" w:right="0" w:firstLine="0"/>
        <w:jc w:val="left"/>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31"/>
        <w:keepNext/>
        <w:keepLines/>
        <w:widowControl w:val="0"/>
        <w:numPr>
          <w:ilvl w:val="1"/>
          <w:numId w:val="1"/>
        </w:numPr>
        <w:shd w:val="clear" w:color="auto" w:fill="auto"/>
        <w:tabs>
          <w:tab w:pos="691" w:val="left"/>
        </w:tabs>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Přípravné činnosti před zahájením stavby spočívající zejména v činnostech:</w:t>
      </w:r>
      <w:bookmarkEnd w:id="10"/>
      <w:bookmarkEnd w:id="11"/>
    </w:p>
    <w:p>
      <w:pPr>
        <w:pStyle w:val="Style12"/>
        <w:keepNext w:val="0"/>
        <w:keepLines w:val="0"/>
        <w:widowControl w:val="0"/>
        <w:numPr>
          <w:ilvl w:val="0"/>
          <w:numId w:val="3"/>
        </w:numPr>
        <w:shd w:val="clear" w:color="auto" w:fill="auto"/>
        <w:tabs>
          <w:tab w:pos="1133" w:val="left"/>
        </w:tabs>
        <w:bidi w:val="0"/>
        <w:spacing w:before="0" w:after="120" w:line="257" w:lineRule="auto"/>
        <w:ind w:left="1120" w:right="0" w:hanging="400"/>
        <w:jc w:val="left"/>
      </w:pPr>
      <w:r>
        <w:rPr>
          <w:color w:val="000000"/>
          <w:spacing w:val="0"/>
          <w:w w:val="100"/>
          <w:position w:val="0"/>
          <w:shd w:val="clear" w:color="auto" w:fill="auto"/>
          <w:lang w:val="cs-CZ" w:eastAsia="cs-CZ" w:bidi="cs-CZ"/>
        </w:rPr>
        <w:t>seznámení se s problematikou stavby včetně znalosti projektové dokumentace dle DSP a PDPS a soupisu prací</w:t>
      </w:r>
    </w:p>
    <w:p>
      <w:pPr>
        <w:pStyle w:val="Style12"/>
        <w:keepNext w:val="0"/>
        <w:keepLines w:val="0"/>
        <w:widowControl w:val="0"/>
        <w:numPr>
          <w:ilvl w:val="0"/>
          <w:numId w:val="3"/>
        </w:numPr>
        <w:shd w:val="clear" w:color="auto" w:fill="auto"/>
        <w:tabs>
          <w:tab w:pos="1133" w:val="left"/>
        </w:tabs>
        <w:bidi w:val="0"/>
        <w:spacing w:before="0" w:after="120"/>
        <w:ind w:left="0" w:right="0" w:firstLine="720"/>
        <w:jc w:val="left"/>
      </w:pPr>
      <w:r>
        <w:rPr>
          <w:color w:val="000000"/>
          <w:spacing w:val="0"/>
          <w:w w:val="100"/>
          <w:position w:val="0"/>
          <w:shd w:val="clear" w:color="auto" w:fill="auto"/>
          <w:lang w:val="cs-CZ" w:eastAsia="cs-CZ" w:bidi="cs-CZ"/>
        </w:rPr>
        <w:t>získání podrobné znalosti obsahu Smlouvy o dílo včetně jejích příloh, rozpočtu a OP</w:t>
      </w:r>
    </w:p>
    <w:p>
      <w:pPr>
        <w:pStyle w:val="Style12"/>
        <w:keepNext w:val="0"/>
        <w:keepLines w:val="0"/>
        <w:widowControl w:val="0"/>
        <w:numPr>
          <w:ilvl w:val="0"/>
          <w:numId w:val="3"/>
        </w:numPr>
        <w:shd w:val="clear" w:color="auto" w:fill="auto"/>
        <w:tabs>
          <w:tab w:pos="1133" w:val="left"/>
        </w:tabs>
        <w:bidi w:val="0"/>
        <w:spacing w:before="0" w:after="120" w:line="257" w:lineRule="auto"/>
        <w:ind w:left="1120" w:right="0" w:hanging="400"/>
        <w:jc w:val="left"/>
      </w:pPr>
      <w:r>
        <w:rPr>
          <w:color w:val="000000"/>
          <w:spacing w:val="0"/>
          <w:w w:val="100"/>
          <w:position w:val="0"/>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12"/>
        <w:keepNext w:val="0"/>
        <w:keepLines w:val="0"/>
        <w:widowControl w:val="0"/>
        <w:numPr>
          <w:ilvl w:val="0"/>
          <w:numId w:val="3"/>
        </w:numPr>
        <w:shd w:val="clear" w:color="auto" w:fill="auto"/>
        <w:tabs>
          <w:tab w:pos="1133" w:val="left"/>
        </w:tabs>
        <w:bidi w:val="0"/>
        <w:spacing w:before="0" w:after="120"/>
        <w:ind w:left="1120" w:right="0" w:hanging="400"/>
        <w:jc w:val="left"/>
      </w:pPr>
      <w:r>
        <w:rPr>
          <w:color w:val="000000"/>
          <w:spacing w:val="0"/>
          <w:w w:val="100"/>
          <w:position w:val="0"/>
          <w:shd w:val="clear" w:color="auto" w:fill="auto"/>
          <w:lang w:val="cs-CZ" w:eastAsia="cs-CZ" w:bidi="cs-CZ"/>
        </w:rPr>
        <w:t>prohlídka staveniště před zahájením vlastních stavebních prací</w:t>
      </w:r>
    </w:p>
    <w:p>
      <w:pPr>
        <w:pStyle w:val="Style12"/>
        <w:keepNext w:val="0"/>
        <w:keepLines w:val="0"/>
        <w:widowControl w:val="0"/>
        <w:numPr>
          <w:ilvl w:val="0"/>
          <w:numId w:val="3"/>
        </w:numPr>
        <w:shd w:val="clear" w:color="auto" w:fill="auto"/>
        <w:tabs>
          <w:tab w:pos="1133" w:val="left"/>
        </w:tabs>
        <w:bidi w:val="0"/>
        <w:spacing w:before="0" w:after="240"/>
        <w:ind w:left="1120" w:right="0" w:hanging="400"/>
        <w:jc w:val="left"/>
      </w:pPr>
      <w:r>
        <w:rPr>
          <w:color w:val="000000"/>
          <w:spacing w:val="0"/>
          <w:w w:val="100"/>
          <w:position w:val="0"/>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31"/>
        <w:keepNext/>
        <w:keepLines/>
        <w:widowControl w:val="0"/>
        <w:numPr>
          <w:ilvl w:val="1"/>
          <w:numId w:val="1"/>
        </w:numPr>
        <w:shd w:val="clear" w:color="auto" w:fill="auto"/>
        <w:tabs>
          <w:tab w:pos="691" w:val="left"/>
        </w:tabs>
        <w:bidi w:val="0"/>
        <w:spacing w:before="0"/>
        <w:ind w:left="0" w:right="0" w:firstLine="0"/>
        <w:jc w:val="left"/>
      </w:pPr>
      <w:bookmarkStart w:id="12" w:name="bookmark12"/>
      <w:bookmarkStart w:id="13" w:name="bookmark13"/>
      <w:r>
        <w:rPr>
          <w:color w:val="000000"/>
          <w:spacing w:val="0"/>
          <w:w w:val="100"/>
          <w:position w:val="0"/>
          <w:shd w:val="clear" w:color="auto" w:fill="auto"/>
          <w:lang w:val="cs-CZ" w:eastAsia="cs-CZ" w:bidi="cs-CZ"/>
        </w:rPr>
        <w:t>Práce spojené s prováděním stavby spočívající zejména v činnostech:</w:t>
      </w:r>
      <w:bookmarkEnd w:id="12"/>
      <w:bookmarkEnd w:id="13"/>
    </w:p>
    <w:p>
      <w:pPr>
        <w:pStyle w:val="Style12"/>
        <w:keepNext w:val="0"/>
        <w:keepLines w:val="0"/>
        <w:widowControl w:val="0"/>
        <w:numPr>
          <w:ilvl w:val="0"/>
          <w:numId w:val="3"/>
        </w:numPr>
        <w:shd w:val="clear" w:color="auto" w:fill="auto"/>
        <w:tabs>
          <w:tab w:pos="1133" w:val="left"/>
        </w:tabs>
        <w:bidi w:val="0"/>
        <w:spacing w:before="0" w:after="120" w:line="257" w:lineRule="auto"/>
        <w:ind w:left="1180" w:right="0" w:hanging="460"/>
        <w:jc w:val="left"/>
      </w:pPr>
      <w:r>
        <w:rPr>
          <w:color w:val="000000"/>
          <w:spacing w:val="0"/>
          <w:w w:val="100"/>
          <w:position w:val="0"/>
          <w:shd w:val="clear" w:color="auto" w:fill="auto"/>
          <w:lang w:val="cs-CZ" w:eastAsia="cs-CZ" w:bidi="cs-CZ"/>
        </w:rPr>
        <w:t xml:space="preserve">fyzická přítomnost a výkon technického dozoru stavebníka na staveništi a to </w:t>
      </w:r>
      <w:r>
        <w:rPr>
          <w:b/>
          <w:bCs/>
          <w:color w:val="000000"/>
          <w:spacing w:val="0"/>
          <w:w w:val="100"/>
          <w:position w:val="0"/>
          <w:shd w:val="clear" w:color="auto" w:fill="auto"/>
          <w:lang w:val="cs-CZ" w:eastAsia="cs-CZ" w:bidi="cs-CZ"/>
        </w:rPr>
        <w:t xml:space="preserve">minimálně ve 2 dnech v průběhu kalendářního týdne, </w:t>
      </w:r>
      <w:r>
        <w:rPr>
          <w:color w:val="000000"/>
          <w:spacing w:val="0"/>
          <w:w w:val="100"/>
          <w:position w:val="0"/>
          <w:shd w:val="clear" w:color="auto" w:fill="auto"/>
          <w:lang w:val="cs-CZ" w:eastAsia="cs-CZ" w:bidi="cs-CZ"/>
        </w:rPr>
        <w:t>pokud nebude se zadavatelem dohodnuto jinak</w:t>
      </w:r>
    </w:p>
    <w:p>
      <w:pPr>
        <w:pStyle w:val="Style12"/>
        <w:keepNext w:val="0"/>
        <w:keepLines w:val="0"/>
        <w:widowControl w:val="0"/>
        <w:numPr>
          <w:ilvl w:val="0"/>
          <w:numId w:val="3"/>
        </w:numPr>
        <w:shd w:val="clear" w:color="auto" w:fill="auto"/>
        <w:tabs>
          <w:tab w:pos="1287" w:val="left"/>
        </w:tabs>
        <w:bidi w:val="0"/>
        <w:spacing w:before="0" w:after="120" w:line="266" w:lineRule="auto"/>
        <w:ind w:left="1260" w:right="0" w:hanging="380"/>
        <w:jc w:val="both"/>
      </w:pPr>
      <w:r>
        <w:rPr>
          <w:color w:val="000000"/>
          <w:spacing w:val="0"/>
          <w:w w:val="100"/>
          <w:position w:val="0"/>
          <w:shd w:val="clear" w:color="auto" w:fill="auto"/>
          <w:lang w:val="cs-CZ" w:eastAsia="cs-CZ" w:bidi="cs-CZ"/>
        </w:rPr>
        <w:t>nepřetržitá fyzická přítomnost a výkon technického dozoru stavebníka na staveništi po dobu pokládky asfaltových vrstev</w:t>
      </w:r>
    </w:p>
    <w:p>
      <w:pPr>
        <w:pStyle w:val="Style12"/>
        <w:keepNext w:val="0"/>
        <w:keepLines w:val="0"/>
        <w:widowControl w:val="0"/>
        <w:numPr>
          <w:ilvl w:val="0"/>
          <w:numId w:val="3"/>
        </w:numPr>
        <w:shd w:val="clear" w:color="auto" w:fill="auto"/>
        <w:tabs>
          <w:tab w:pos="1287" w:val="left"/>
        </w:tabs>
        <w:bidi w:val="0"/>
        <w:spacing w:before="0" w:after="120" w:line="276" w:lineRule="auto"/>
        <w:ind w:left="1260" w:right="0" w:hanging="380"/>
        <w:jc w:val="both"/>
      </w:pPr>
      <w:r>
        <w:rPr>
          <w:color w:val="000000"/>
          <w:spacing w:val="0"/>
          <w:w w:val="100"/>
          <w:position w:val="0"/>
          <w:shd w:val="clear" w:color="auto" w:fill="auto"/>
          <w:lang w:val="cs-CZ" w:eastAsia="cs-CZ" w:bidi="cs-CZ"/>
        </w:rPr>
        <w:t>soustavná kontrola dodržování podmínek smlouvy o dílo uzavřené mezi stavebníkem a zhotovitelem</w:t>
      </w:r>
    </w:p>
    <w:p>
      <w:pPr>
        <w:pStyle w:val="Style12"/>
        <w:keepNext w:val="0"/>
        <w:keepLines w:val="0"/>
        <w:widowControl w:val="0"/>
        <w:numPr>
          <w:ilvl w:val="0"/>
          <w:numId w:val="3"/>
        </w:numPr>
        <w:shd w:val="clear" w:color="auto" w:fill="auto"/>
        <w:tabs>
          <w:tab w:pos="1287" w:val="left"/>
        </w:tabs>
        <w:bidi w:val="0"/>
        <w:spacing w:before="0" w:after="120" w:line="257" w:lineRule="auto"/>
        <w:ind w:left="1260" w:right="0" w:hanging="380"/>
        <w:jc w:val="both"/>
      </w:pPr>
      <w:r>
        <w:rPr>
          <w:color w:val="000000"/>
          <w:spacing w:val="0"/>
          <w:w w:val="100"/>
          <w:position w:val="0"/>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12"/>
        <w:keepNext w:val="0"/>
        <w:keepLines w:val="0"/>
        <w:widowControl w:val="0"/>
        <w:numPr>
          <w:ilvl w:val="0"/>
          <w:numId w:val="3"/>
        </w:numPr>
        <w:shd w:val="clear" w:color="auto" w:fill="auto"/>
        <w:tabs>
          <w:tab w:pos="1287" w:val="left"/>
        </w:tabs>
        <w:bidi w:val="0"/>
        <w:spacing w:before="0" w:after="120"/>
        <w:ind w:left="1260" w:right="0" w:hanging="380"/>
        <w:jc w:val="both"/>
      </w:pPr>
      <w:r>
        <w:rPr>
          <w:color w:val="000000"/>
          <w:spacing w:val="0"/>
          <w:w w:val="100"/>
          <w:position w:val="0"/>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12"/>
        <w:keepNext w:val="0"/>
        <w:keepLines w:val="0"/>
        <w:widowControl w:val="0"/>
        <w:numPr>
          <w:ilvl w:val="0"/>
          <w:numId w:val="3"/>
        </w:numPr>
        <w:shd w:val="clear" w:color="auto" w:fill="auto"/>
        <w:tabs>
          <w:tab w:pos="1287" w:val="left"/>
        </w:tabs>
        <w:bidi w:val="0"/>
        <w:spacing w:before="0" w:after="120" w:line="257" w:lineRule="auto"/>
        <w:ind w:left="1260" w:right="0" w:hanging="380"/>
        <w:jc w:val="both"/>
      </w:pPr>
      <w:r>
        <w:rPr>
          <w:color w:val="000000"/>
          <w:spacing w:val="0"/>
          <w:w w:val="100"/>
          <w:position w:val="0"/>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12"/>
        <w:keepNext w:val="0"/>
        <w:keepLines w:val="0"/>
        <w:widowControl w:val="0"/>
        <w:numPr>
          <w:ilvl w:val="0"/>
          <w:numId w:val="3"/>
        </w:numPr>
        <w:shd w:val="clear" w:color="auto" w:fill="auto"/>
        <w:tabs>
          <w:tab w:pos="1287" w:val="left"/>
        </w:tabs>
        <w:bidi w:val="0"/>
        <w:spacing w:before="0" w:after="120" w:line="257" w:lineRule="auto"/>
        <w:ind w:left="1260" w:right="0" w:hanging="380"/>
        <w:jc w:val="both"/>
      </w:pPr>
      <w:r>
        <w:rPr>
          <w:color w:val="000000"/>
          <w:spacing w:val="0"/>
          <w:w w:val="100"/>
          <w:position w:val="0"/>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12"/>
        <w:keepNext w:val="0"/>
        <w:keepLines w:val="0"/>
        <w:widowControl w:val="0"/>
        <w:numPr>
          <w:ilvl w:val="0"/>
          <w:numId w:val="3"/>
        </w:numPr>
        <w:shd w:val="clear" w:color="auto" w:fill="auto"/>
        <w:tabs>
          <w:tab w:pos="1287" w:val="left"/>
        </w:tabs>
        <w:bidi w:val="0"/>
        <w:spacing w:before="0" w:after="120" w:line="259" w:lineRule="auto"/>
        <w:ind w:left="1260" w:right="0" w:hanging="380"/>
        <w:jc w:val="both"/>
      </w:pPr>
      <w:r>
        <w:rPr>
          <w:color w:val="000000"/>
          <w:spacing w:val="0"/>
          <w:w w:val="100"/>
          <w:position w:val="0"/>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12"/>
        <w:keepNext w:val="0"/>
        <w:keepLines w:val="0"/>
        <w:widowControl w:val="0"/>
        <w:numPr>
          <w:ilvl w:val="0"/>
          <w:numId w:val="3"/>
        </w:numPr>
        <w:shd w:val="clear" w:color="auto" w:fill="auto"/>
        <w:tabs>
          <w:tab w:pos="1287" w:val="left"/>
        </w:tabs>
        <w:bidi w:val="0"/>
        <w:spacing w:before="0" w:after="120" w:line="257" w:lineRule="auto"/>
        <w:ind w:left="0" w:right="0" w:firstLine="860"/>
        <w:jc w:val="left"/>
      </w:pPr>
      <w:r>
        <w:rPr>
          <w:color w:val="000000"/>
          <w:spacing w:val="0"/>
          <w:w w:val="100"/>
          <w:position w:val="0"/>
          <w:shd w:val="clear" w:color="auto" w:fill="auto"/>
          <w:lang w:val="cs-CZ" w:eastAsia="cs-CZ" w:bidi="cs-CZ"/>
        </w:rPr>
        <w:t>kontrola dodržování schválených technologických postupů</w:t>
      </w:r>
    </w:p>
    <w:p>
      <w:pPr>
        <w:pStyle w:val="Style12"/>
        <w:keepNext w:val="0"/>
        <w:keepLines w:val="0"/>
        <w:widowControl w:val="0"/>
        <w:numPr>
          <w:ilvl w:val="0"/>
          <w:numId w:val="3"/>
        </w:numPr>
        <w:shd w:val="clear" w:color="auto" w:fill="auto"/>
        <w:tabs>
          <w:tab w:pos="1287" w:val="left"/>
        </w:tabs>
        <w:bidi w:val="0"/>
        <w:spacing w:before="0" w:after="120" w:line="252" w:lineRule="auto"/>
        <w:ind w:left="1260" w:right="0" w:hanging="380"/>
        <w:jc w:val="both"/>
      </w:pPr>
      <w:r>
        <w:rPr>
          <w:color w:val="000000"/>
          <w:spacing w:val="0"/>
          <w:w w:val="100"/>
          <w:position w:val="0"/>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12"/>
        <w:keepNext w:val="0"/>
        <w:keepLines w:val="0"/>
        <w:widowControl w:val="0"/>
        <w:numPr>
          <w:ilvl w:val="0"/>
          <w:numId w:val="3"/>
        </w:numPr>
        <w:shd w:val="clear" w:color="auto" w:fill="auto"/>
        <w:tabs>
          <w:tab w:pos="1287" w:val="left"/>
        </w:tabs>
        <w:bidi w:val="0"/>
        <w:spacing w:before="0" w:after="120" w:line="257" w:lineRule="auto"/>
        <w:ind w:left="1260" w:right="0" w:hanging="380"/>
        <w:jc w:val="both"/>
      </w:pPr>
      <w:r>
        <w:rPr>
          <w:color w:val="000000"/>
          <w:spacing w:val="0"/>
          <w:w w:val="100"/>
          <w:position w:val="0"/>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12"/>
        <w:keepNext w:val="0"/>
        <w:keepLines w:val="0"/>
        <w:widowControl w:val="0"/>
        <w:numPr>
          <w:ilvl w:val="0"/>
          <w:numId w:val="3"/>
        </w:numPr>
        <w:shd w:val="clear" w:color="auto" w:fill="auto"/>
        <w:tabs>
          <w:tab w:pos="1287" w:val="left"/>
        </w:tabs>
        <w:bidi w:val="0"/>
        <w:spacing w:before="0" w:after="120" w:line="257" w:lineRule="auto"/>
        <w:ind w:left="1260" w:right="0" w:hanging="380"/>
        <w:jc w:val="both"/>
      </w:pPr>
      <w:r>
        <w:rPr>
          <w:color w:val="000000"/>
          <w:spacing w:val="0"/>
          <w:w w:val="100"/>
          <w:position w:val="0"/>
          <w:shd w:val="clear" w:color="auto" w:fill="auto"/>
          <w:lang w:val="cs-CZ" w:eastAsia="cs-CZ" w:bidi="cs-CZ"/>
        </w:rPr>
        <w:t>sledování dodržování platných legislativních předpisů a závazných ČSN, případně závazných částí ČSN v rámci stavby</w:t>
      </w:r>
    </w:p>
    <w:p>
      <w:pPr>
        <w:pStyle w:val="Style12"/>
        <w:keepNext w:val="0"/>
        <w:keepLines w:val="0"/>
        <w:widowControl w:val="0"/>
        <w:numPr>
          <w:ilvl w:val="0"/>
          <w:numId w:val="3"/>
        </w:numPr>
        <w:shd w:val="clear" w:color="auto" w:fill="auto"/>
        <w:tabs>
          <w:tab w:pos="1287" w:val="left"/>
        </w:tabs>
        <w:bidi w:val="0"/>
        <w:spacing w:before="0" w:after="120"/>
        <w:ind w:left="1260" w:right="0" w:hanging="380"/>
        <w:jc w:val="both"/>
      </w:pPr>
      <w:r>
        <w:rPr>
          <w:color w:val="000000"/>
          <w:spacing w:val="0"/>
          <w:w w:val="100"/>
          <w:position w:val="0"/>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12"/>
        <w:keepNext w:val="0"/>
        <w:keepLines w:val="0"/>
        <w:widowControl w:val="0"/>
        <w:numPr>
          <w:ilvl w:val="0"/>
          <w:numId w:val="3"/>
        </w:numPr>
        <w:shd w:val="clear" w:color="auto" w:fill="auto"/>
        <w:tabs>
          <w:tab w:pos="1287" w:val="left"/>
        </w:tabs>
        <w:bidi w:val="0"/>
        <w:spacing w:before="0" w:after="120" w:line="257" w:lineRule="auto"/>
        <w:ind w:left="1260" w:right="0" w:hanging="380"/>
        <w:jc w:val="both"/>
      </w:pPr>
      <w:r>
        <w:rPr>
          <w:color w:val="000000"/>
          <w:spacing w:val="0"/>
          <w:w w:val="100"/>
          <w:position w:val="0"/>
          <w:shd w:val="clear" w:color="auto" w:fill="auto"/>
          <w:lang w:val="cs-CZ" w:eastAsia="cs-CZ" w:bidi="cs-CZ"/>
        </w:rPr>
        <w:t>spolupráce s odpovědnými pracovníky zhotovitele při provádění opatření na odvrácení, nebo omezení škod při ohrožení stavby živelnými událostmi</w:t>
      </w:r>
    </w:p>
    <w:p>
      <w:pPr>
        <w:pStyle w:val="Style12"/>
        <w:keepNext w:val="0"/>
        <w:keepLines w:val="0"/>
        <w:widowControl w:val="0"/>
        <w:numPr>
          <w:ilvl w:val="0"/>
          <w:numId w:val="3"/>
        </w:numPr>
        <w:shd w:val="clear" w:color="auto" w:fill="auto"/>
        <w:tabs>
          <w:tab w:pos="1287" w:val="left"/>
        </w:tabs>
        <w:bidi w:val="0"/>
        <w:spacing w:before="0" w:after="120" w:line="252" w:lineRule="auto"/>
        <w:ind w:left="1260" w:right="0" w:hanging="380"/>
        <w:jc w:val="both"/>
      </w:pPr>
      <w:r>
        <w:rPr>
          <w:color w:val="000000"/>
          <w:spacing w:val="0"/>
          <w:w w:val="100"/>
          <w:position w:val="0"/>
          <w:shd w:val="clear" w:color="auto" w:fill="auto"/>
          <w:lang w:val="cs-CZ" w:eastAsia="cs-CZ" w:bidi="cs-CZ"/>
        </w:rPr>
        <w:t>shromažďování, kontrola a zajištění všech dokladů o provedených předepsaných zkouškách a revizích, evidence všech protokolů a zápisů</w:t>
      </w:r>
    </w:p>
    <w:p>
      <w:pPr>
        <w:pStyle w:val="Style12"/>
        <w:keepNext w:val="0"/>
        <w:keepLines w:val="0"/>
        <w:widowControl w:val="0"/>
        <w:numPr>
          <w:ilvl w:val="0"/>
          <w:numId w:val="3"/>
        </w:numPr>
        <w:shd w:val="clear" w:color="auto" w:fill="auto"/>
        <w:tabs>
          <w:tab w:pos="1287" w:val="left"/>
        </w:tabs>
        <w:bidi w:val="0"/>
        <w:spacing w:before="0" w:after="120" w:line="257" w:lineRule="auto"/>
        <w:ind w:left="0" w:right="0" w:firstLine="860"/>
        <w:jc w:val="left"/>
      </w:pPr>
      <w:r>
        <w:rPr>
          <w:color w:val="000000"/>
          <w:spacing w:val="0"/>
          <w:w w:val="100"/>
          <w:position w:val="0"/>
          <w:shd w:val="clear" w:color="auto" w:fill="auto"/>
          <w:lang w:val="cs-CZ" w:eastAsia="cs-CZ" w:bidi="cs-CZ"/>
        </w:rPr>
        <w:t>kontrola dodržení časového postupu prací a návrhy na řešení vzniklých prodlev</w:t>
      </w:r>
    </w:p>
    <w:p>
      <w:pPr>
        <w:pStyle w:val="Style12"/>
        <w:keepNext w:val="0"/>
        <w:keepLines w:val="0"/>
        <w:widowControl w:val="0"/>
        <w:numPr>
          <w:ilvl w:val="0"/>
          <w:numId w:val="3"/>
        </w:numPr>
        <w:shd w:val="clear" w:color="auto" w:fill="auto"/>
        <w:tabs>
          <w:tab w:pos="1287" w:val="left"/>
        </w:tabs>
        <w:bidi w:val="0"/>
        <w:spacing w:before="0" w:after="120" w:line="257" w:lineRule="auto"/>
        <w:ind w:left="0" w:right="0" w:firstLine="860"/>
        <w:jc w:val="left"/>
      </w:pPr>
      <w:r>
        <w:rPr>
          <w:color w:val="000000"/>
          <w:spacing w:val="0"/>
          <w:w w:val="100"/>
          <w:position w:val="0"/>
          <w:shd w:val="clear" w:color="auto" w:fill="auto"/>
          <w:lang w:val="cs-CZ" w:eastAsia="cs-CZ" w:bidi="cs-CZ"/>
        </w:rPr>
        <w:t>příprava podkladů pro odevzdání a převzetí stavby, nebo její části</w:t>
      </w:r>
    </w:p>
    <w:p>
      <w:pPr>
        <w:pStyle w:val="Style12"/>
        <w:keepNext w:val="0"/>
        <w:keepLines w:val="0"/>
        <w:widowControl w:val="0"/>
        <w:numPr>
          <w:ilvl w:val="0"/>
          <w:numId w:val="3"/>
        </w:numPr>
        <w:shd w:val="clear" w:color="auto" w:fill="auto"/>
        <w:tabs>
          <w:tab w:pos="1287" w:val="left"/>
        </w:tabs>
        <w:bidi w:val="0"/>
        <w:spacing w:before="0" w:after="120" w:line="259" w:lineRule="auto"/>
        <w:ind w:left="1260" w:right="0" w:hanging="380"/>
        <w:jc w:val="both"/>
      </w:pPr>
      <w:r>
        <w:rPr>
          <w:color w:val="000000"/>
          <w:spacing w:val="0"/>
          <w:w w:val="100"/>
          <w:position w:val="0"/>
          <w:shd w:val="clear" w:color="auto" w:fill="auto"/>
          <w:lang w:val="cs-CZ" w:eastAsia="cs-CZ" w:bidi="cs-CZ"/>
        </w:rPr>
        <w:t>provedení soupisu vad a případných nedodělků a kontrola jejich odstraňování, zápis o předání a převzetí dokončené stavby investorem</w:t>
      </w:r>
    </w:p>
    <w:p>
      <w:pPr>
        <w:pStyle w:val="Style12"/>
        <w:keepNext w:val="0"/>
        <w:keepLines w:val="0"/>
        <w:widowControl w:val="0"/>
        <w:numPr>
          <w:ilvl w:val="0"/>
          <w:numId w:val="3"/>
        </w:numPr>
        <w:shd w:val="clear" w:color="auto" w:fill="auto"/>
        <w:tabs>
          <w:tab w:pos="1287" w:val="left"/>
        </w:tabs>
        <w:bidi w:val="0"/>
        <w:spacing w:before="0" w:after="120" w:line="257" w:lineRule="auto"/>
        <w:ind w:left="0" w:right="0" w:firstLine="860"/>
        <w:jc w:val="left"/>
      </w:pPr>
      <w:r>
        <w:rPr>
          <w:color w:val="000000"/>
          <w:spacing w:val="0"/>
          <w:w w:val="100"/>
          <w:position w:val="0"/>
          <w:shd w:val="clear" w:color="auto" w:fill="auto"/>
          <w:lang w:val="cs-CZ" w:eastAsia="cs-CZ" w:bidi="cs-CZ"/>
        </w:rPr>
        <w:t>kontrola vyklizení staveniště zhotovitelem</w:t>
      </w:r>
    </w:p>
    <w:p>
      <w:pPr>
        <w:pStyle w:val="Style12"/>
        <w:keepNext w:val="0"/>
        <w:keepLines w:val="0"/>
        <w:widowControl w:val="0"/>
        <w:numPr>
          <w:ilvl w:val="0"/>
          <w:numId w:val="3"/>
        </w:numPr>
        <w:shd w:val="clear" w:color="auto" w:fill="auto"/>
        <w:tabs>
          <w:tab w:pos="1287" w:val="left"/>
        </w:tabs>
        <w:bidi w:val="0"/>
        <w:spacing w:before="0" w:after="120" w:line="257" w:lineRule="auto"/>
        <w:ind w:left="0" w:right="0" w:firstLine="860"/>
        <w:jc w:val="left"/>
      </w:pPr>
      <w:r>
        <w:rPr>
          <w:color w:val="000000"/>
          <w:spacing w:val="0"/>
          <w:w w:val="100"/>
          <w:position w:val="0"/>
          <w:shd w:val="clear" w:color="auto" w:fill="auto"/>
          <w:lang w:val="cs-CZ" w:eastAsia="cs-CZ" w:bidi="cs-CZ"/>
        </w:rPr>
        <w:t>uplatňování požadavků na zhotovitele vyplývající z předání a převzetí díla</w:t>
      </w:r>
    </w:p>
    <w:p>
      <w:pPr>
        <w:pStyle w:val="Style12"/>
        <w:keepNext w:val="0"/>
        <w:keepLines w:val="0"/>
        <w:widowControl w:val="0"/>
        <w:numPr>
          <w:ilvl w:val="0"/>
          <w:numId w:val="3"/>
        </w:numPr>
        <w:shd w:val="clear" w:color="auto" w:fill="auto"/>
        <w:tabs>
          <w:tab w:pos="1189" w:val="left"/>
        </w:tabs>
        <w:bidi w:val="0"/>
        <w:spacing w:before="0" w:after="120" w:line="257" w:lineRule="auto"/>
        <w:ind w:left="1200" w:right="0" w:hanging="420"/>
        <w:jc w:val="left"/>
      </w:pPr>
      <w:r>
        <w:rPr>
          <w:color w:val="000000"/>
          <w:spacing w:val="0"/>
          <w:w w:val="100"/>
          <w:position w:val="0"/>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31"/>
        <w:keepNext/>
        <w:keepLines/>
        <w:widowControl w:val="0"/>
        <w:numPr>
          <w:ilvl w:val="1"/>
          <w:numId w:val="1"/>
        </w:numPr>
        <w:shd w:val="clear" w:color="auto" w:fill="auto"/>
        <w:tabs>
          <w:tab w:pos="588" w:val="left"/>
        </w:tabs>
        <w:bidi w:val="0"/>
        <w:spacing w:before="0" w:line="240"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Práce po dokončení stavby spočívající zejména v činnostech:</w:t>
      </w:r>
      <w:bookmarkEnd w:id="14"/>
      <w:bookmarkEnd w:id="15"/>
    </w:p>
    <w:p>
      <w:pPr>
        <w:pStyle w:val="Style12"/>
        <w:keepNext w:val="0"/>
        <w:keepLines w:val="0"/>
        <w:widowControl w:val="0"/>
        <w:numPr>
          <w:ilvl w:val="0"/>
          <w:numId w:val="3"/>
        </w:numPr>
        <w:shd w:val="clear" w:color="auto" w:fill="auto"/>
        <w:tabs>
          <w:tab w:pos="1189" w:val="left"/>
        </w:tabs>
        <w:bidi w:val="0"/>
        <w:spacing w:before="0" w:after="120" w:line="252" w:lineRule="auto"/>
        <w:ind w:left="1200" w:right="0" w:hanging="420"/>
        <w:jc w:val="left"/>
      </w:pPr>
      <w:r>
        <w:rPr>
          <w:color w:val="000000"/>
          <w:spacing w:val="0"/>
          <w:w w:val="100"/>
          <w:position w:val="0"/>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12"/>
        <w:keepNext w:val="0"/>
        <w:keepLines w:val="0"/>
        <w:widowControl w:val="0"/>
        <w:numPr>
          <w:ilvl w:val="0"/>
          <w:numId w:val="3"/>
        </w:numPr>
        <w:shd w:val="clear" w:color="auto" w:fill="auto"/>
        <w:tabs>
          <w:tab w:pos="1189" w:val="left"/>
        </w:tabs>
        <w:bidi w:val="0"/>
        <w:spacing w:before="0" w:after="120" w:line="240" w:lineRule="auto"/>
        <w:ind w:left="1200" w:right="0" w:hanging="420"/>
        <w:jc w:val="left"/>
      </w:pPr>
      <w:r>
        <w:rPr>
          <w:color w:val="000000"/>
          <w:spacing w:val="0"/>
          <w:w w:val="100"/>
          <w:position w:val="0"/>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12"/>
        <w:keepNext w:val="0"/>
        <w:keepLines w:val="0"/>
        <w:widowControl w:val="0"/>
        <w:numPr>
          <w:ilvl w:val="0"/>
          <w:numId w:val="3"/>
        </w:numPr>
        <w:shd w:val="clear" w:color="auto" w:fill="auto"/>
        <w:tabs>
          <w:tab w:pos="1189" w:val="left"/>
        </w:tabs>
        <w:bidi w:val="0"/>
        <w:spacing w:before="0" w:after="480" w:line="240" w:lineRule="auto"/>
        <w:ind w:left="1200" w:right="0" w:hanging="420"/>
        <w:jc w:val="left"/>
      </w:pPr>
      <w:r>
        <w:rPr>
          <w:color w:val="000000"/>
          <w:spacing w:val="0"/>
          <w:w w:val="100"/>
          <w:position w:val="0"/>
          <w:shd w:val="clear" w:color="auto" w:fill="auto"/>
          <w:lang w:val="cs-CZ" w:eastAsia="cs-CZ" w:bidi="cs-CZ"/>
        </w:rPr>
        <w:t>zpracování podkladů pro závěrečné vyúčtování stavby po odstranění event. kolaudačních závad.</w:t>
      </w:r>
    </w:p>
    <w:p>
      <w:pPr>
        <w:pStyle w:val="Style12"/>
        <w:keepNext w:val="0"/>
        <w:keepLines w:val="0"/>
        <w:widowControl w:val="0"/>
        <w:shd w:val="clear" w:color="auto" w:fill="auto"/>
        <w:bidi w:val="0"/>
        <w:spacing w:before="0" w:after="0" w:line="259" w:lineRule="auto"/>
        <w:ind w:left="4460" w:right="0" w:firstLine="0"/>
        <w:jc w:val="left"/>
      </w:pPr>
      <w:r>
        <w:rPr>
          <w:b/>
          <w:bCs/>
          <w:color w:val="000000"/>
          <w:spacing w:val="0"/>
          <w:w w:val="100"/>
          <w:position w:val="0"/>
          <w:shd w:val="clear" w:color="auto" w:fill="auto"/>
          <w:lang w:val="cs-CZ" w:eastAsia="cs-CZ" w:bidi="cs-CZ"/>
        </w:rPr>
        <w:t>Článek 4</w:t>
      </w:r>
    </w:p>
    <w:p>
      <w:pPr>
        <w:pStyle w:val="Style31"/>
        <w:keepNext/>
        <w:keepLines/>
        <w:widowControl w:val="0"/>
        <w:shd w:val="clear" w:color="auto" w:fill="auto"/>
        <w:bidi w:val="0"/>
        <w:spacing w:before="0" w:line="259"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Čas plnění</w:t>
      </w:r>
      <w:bookmarkEnd w:id="16"/>
      <w:bookmarkEnd w:id="17"/>
    </w:p>
    <w:p>
      <w:pPr>
        <w:pStyle w:val="Style12"/>
        <w:keepNext w:val="0"/>
        <w:keepLines w:val="0"/>
        <w:widowControl w:val="0"/>
        <w:numPr>
          <w:ilvl w:val="0"/>
          <w:numId w:val="5"/>
        </w:numPr>
        <w:shd w:val="clear" w:color="auto" w:fill="auto"/>
        <w:tabs>
          <w:tab w:pos="588" w:val="left"/>
        </w:tabs>
        <w:bidi w:val="0"/>
        <w:spacing w:before="0" w:after="120" w:line="259" w:lineRule="auto"/>
        <w:ind w:left="0" w:right="0" w:firstLine="0"/>
        <w:jc w:val="left"/>
      </w:pPr>
      <w:r>
        <w:rPr>
          <w:color w:val="000000"/>
          <w:spacing w:val="0"/>
          <w:w w:val="100"/>
          <w:position w:val="0"/>
          <w:shd w:val="clear" w:color="auto" w:fill="auto"/>
          <w:lang w:val="cs-CZ" w:eastAsia="cs-CZ" w:bidi="cs-CZ"/>
        </w:rPr>
        <w:t>TDS zahájí svoji činnost dnem prvního zápisu ve stavebním deníku.</w:t>
      </w:r>
    </w:p>
    <w:p>
      <w:pPr>
        <w:pStyle w:val="Style12"/>
        <w:keepNext w:val="0"/>
        <w:keepLines w:val="0"/>
        <w:widowControl w:val="0"/>
        <w:numPr>
          <w:ilvl w:val="0"/>
          <w:numId w:val="5"/>
        </w:numPr>
        <w:shd w:val="clear" w:color="auto" w:fill="auto"/>
        <w:tabs>
          <w:tab w:pos="588" w:val="left"/>
        </w:tabs>
        <w:bidi w:val="0"/>
        <w:spacing w:before="0" w:after="480" w:line="257" w:lineRule="auto"/>
        <w:ind w:left="0" w:right="0" w:firstLine="0"/>
        <w:jc w:val="left"/>
      </w:pPr>
      <w:r>
        <w:rPr>
          <w:color w:val="000000"/>
          <w:spacing w:val="0"/>
          <w:w w:val="100"/>
          <w:position w:val="0"/>
          <w:shd w:val="clear" w:color="auto" w:fill="auto"/>
          <w:lang w:val="cs-CZ" w:eastAsia="cs-CZ" w:bidi="cs-CZ"/>
        </w:rPr>
        <w:t>TDS ukončí činnost předáním a převzetím dokončené stavby mezi zhotovitelem a objednatelem na základě předávacího protokolu.</w:t>
      </w:r>
    </w:p>
    <w:p>
      <w:pPr>
        <w:pStyle w:val="Style12"/>
        <w:keepNext w:val="0"/>
        <w:keepLines w:val="0"/>
        <w:widowControl w:val="0"/>
        <w:shd w:val="clear" w:color="auto" w:fill="auto"/>
        <w:bidi w:val="0"/>
        <w:spacing w:before="0" w:after="0" w:line="259" w:lineRule="auto"/>
        <w:ind w:left="4460" w:right="0" w:firstLine="0"/>
        <w:jc w:val="left"/>
      </w:pPr>
      <w:r>
        <w:rPr>
          <w:b/>
          <w:bCs/>
          <w:color w:val="000000"/>
          <w:spacing w:val="0"/>
          <w:w w:val="100"/>
          <w:position w:val="0"/>
          <w:shd w:val="clear" w:color="auto" w:fill="auto"/>
          <w:lang w:val="cs-CZ" w:eastAsia="cs-CZ" w:bidi="cs-CZ"/>
        </w:rPr>
        <w:t>Článek 5</w:t>
      </w:r>
    </w:p>
    <w:p>
      <w:pPr>
        <w:pStyle w:val="Style31"/>
        <w:keepNext/>
        <w:keepLines/>
        <w:widowControl w:val="0"/>
        <w:shd w:val="clear" w:color="auto" w:fill="auto"/>
        <w:bidi w:val="0"/>
        <w:spacing w:before="0" w:line="259"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Odměna TDS, platební podmínky</w:t>
      </w:r>
      <w:bookmarkEnd w:id="18"/>
      <w:bookmarkEnd w:id="19"/>
    </w:p>
    <w:p>
      <w:pPr>
        <w:pStyle w:val="Style12"/>
        <w:keepNext w:val="0"/>
        <w:keepLines w:val="0"/>
        <w:widowControl w:val="0"/>
        <w:numPr>
          <w:ilvl w:val="0"/>
          <w:numId w:val="7"/>
        </w:numPr>
        <w:shd w:val="clear" w:color="auto" w:fill="auto"/>
        <w:tabs>
          <w:tab w:pos="588" w:val="left"/>
        </w:tabs>
        <w:bidi w:val="0"/>
        <w:spacing w:before="0" w:after="360" w:line="259" w:lineRule="auto"/>
        <w:ind w:left="0" w:right="0" w:firstLine="0"/>
        <w:jc w:val="left"/>
      </w:pPr>
      <w:r>
        <w:rPr>
          <w:color w:val="000000"/>
          <w:spacing w:val="0"/>
          <w:w w:val="100"/>
          <w:position w:val="0"/>
          <w:shd w:val="clear" w:color="auto" w:fill="auto"/>
          <w:lang w:val="cs-CZ" w:eastAsia="cs-CZ" w:bidi="cs-CZ"/>
        </w:rPr>
        <w:t>Objednatel se zavazuje zaplatit TDS za uskutečnění činností podle této smlouvy smluvní dohodnutou odměnu ve výši:</w:t>
      </w:r>
    </w:p>
    <w:p>
      <w:pPr>
        <w:pStyle w:val="Style12"/>
        <w:keepNext w:val="0"/>
        <w:keepLines w:val="0"/>
        <w:widowControl w:val="0"/>
        <w:shd w:val="clear" w:color="auto" w:fill="auto"/>
        <w:bidi w:val="0"/>
        <w:spacing w:before="0" w:after="360" w:line="259" w:lineRule="auto"/>
        <w:ind w:left="0" w:right="0" w:firstLine="66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Výkon TDS - práce před zahájením a po dokončení stavby</w:t>
      </w:r>
    </w:p>
    <w:tbl>
      <w:tblPr>
        <w:tblOverlap w:val="never"/>
        <w:jc w:val="center"/>
        <w:tblLayout w:type="fixed"/>
      </w:tblPr>
      <w:tblGrid>
        <w:gridCol w:w="4284"/>
        <w:gridCol w:w="3740"/>
      </w:tblGrid>
      <w:tr>
        <w:trPr>
          <w:trHeight w:val="500"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15.000,- Kč bez DPH</w:t>
            </w:r>
          </w:p>
        </w:tc>
      </w:tr>
      <w:tr>
        <w:trPr>
          <w:trHeight w:val="493"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780"/>
              <w:jc w:val="left"/>
            </w:pPr>
            <w:r>
              <w:rPr>
                <w:b/>
                <w:bCs/>
                <w:color w:val="000000"/>
                <w:spacing w:val="0"/>
                <w:w w:val="100"/>
                <w:position w:val="0"/>
                <w:shd w:val="clear" w:color="auto" w:fill="auto"/>
                <w:lang w:val="cs-CZ" w:eastAsia="cs-CZ" w:bidi="cs-CZ"/>
              </w:rPr>
              <w:t>15.000,- Kč bez DPH</w:t>
            </w:r>
          </w:p>
        </w:tc>
      </w:tr>
      <w:tr>
        <w:trPr>
          <w:trHeight w:val="48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780"/>
              <w:jc w:val="both"/>
            </w:pPr>
            <w:r>
              <w:rPr>
                <w:b/>
                <w:bCs/>
                <w:color w:val="000000"/>
                <w:spacing w:val="0"/>
                <w:w w:val="100"/>
                <w:position w:val="0"/>
                <w:shd w:val="clear" w:color="auto" w:fill="auto"/>
                <w:lang w:val="cs-CZ" w:eastAsia="cs-CZ" w:bidi="cs-CZ"/>
              </w:rPr>
              <w:t>30.000,- Kč</w:t>
            </w:r>
          </w:p>
        </w:tc>
      </w:tr>
      <w:tr>
        <w:trPr>
          <w:trHeight w:val="421"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900"/>
              <w:jc w:val="left"/>
            </w:pPr>
            <w:r>
              <w:rPr>
                <w:b/>
                <w:bCs/>
                <w:color w:val="000000"/>
                <w:spacing w:val="0"/>
                <w:w w:val="100"/>
                <w:position w:val="0"/>
                <w:shd w:val="clear" w:color="auto" w:fill="auto"/>
                <w:lang w:val="cs-CZ" w:eastAsia="cs-CZ" w:bidi="cs-CZ"/>
              </w:rPr>
              <w:t>6.300,- Kč</w:t>
            </w:r>
          </w:p>
        </w:tc>
      </w:tr>
      <w:tr>
        <w:trPr>
          <w:trHeight w:val="565"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780"/>
              <w:jc w:val="both"/>
            </w:pPr>
            <w:r>
              <w:rPr>
                <w:b/>
                <w:bCs/>
                <w:color w:val="000000"/>
                <w:spacing w:val="0"/>
                <w:w w:val="100"/>
                <w:position w:val="0"/>
                <w:shd w:val="clear" w:color="auto" w:fill="auto"/>
                <w:lang w:val="cs-CZ" w:eastAsia="cs-CZ" w:bidi="cs-CZ"/>
              </w:rPr>
              <w:t>36.300,- Kč</w:t>
            </w:r>
          </w:p>
        </w:tc>
      </w:tr>
    </w:tbl>
    <w:p>
      <w:pPr>
        <w:widowControl w:val="0"/>
        <w:spacing w:after="35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Výkon TDS - práce spojené s prováděním stavby</w:t>
      </w:r>
    </w:p>
    <w:tbl>
      <w:tblPr>
        <w:tblOverlap w:val="never"/>
        <w:jc w:val="center"/>
        <w:tblLayout w:type="fixed"/>
      </w:tblPr>
      <w:tblGrid>
        <w:gridCol w:w="4284"/>
        <w:gridCol w:w="3737"/>
      </w:tblGrid>
      <w:tr>
        <w:trPr>
          <w:trHeight w:val="684"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57" w:lineRule="auto"/>
              <w:ind w:left="0" w:right="0" w:firstLine="0"/>
              <w:jc w:val="left"/>
            </w:pPr>
            <w:r>
              <w:rPr>
                <w:b/>
                <w:bCs/>
                <w:color w:val="000000"/>
                <w:spacing w:val="0"/>
                <w:w w:val="100"/>
                <w:position w:val="0"/>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720,- Kč bez DPH</w:t>
            </w:r>
          </w:p>
        </w:tc>
      </w:tr>
      <w:tr>
        <w:trPr>
          <w:trHeight w:val="677"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770,- Kč bez DPH</w:t>
            </w:r>
          </w:p>
        </w:tc>
      </w:tr>
    </w:tbl>
    <w:p>
      <w:pPr>
        <w:pStyle w:val="Style12"/>
        <w:keepNext w:val="0"/>
        <w:keepLines w:val="0"/>
        <w:widowControl w:val="0"/>
        <w:numPr>
          <w:ilvl w:val="0"/>
          <w:numId w:val="7"/>
        </w:numPr>
        <w:shd w:val="clear" w:color="auto" w:fill="auto"/>
        <w:tabs>
          <w:tab w:pos="559" w:val="left"/>
        </w:tabs>
        <w:bidi w:val="0"/>
        <w:spacing w:before="0" w:line="259" w:lineRule="auto"/>
        <w:ind w:left="0" w:right="0" w:firstLine="140"/>
        <w:jc w:val="left"/>
      </w:pPr>
      <w:r>
        <w:rPr>
          <w:color w:val="000000"/>
          <w:spacing w:val="0"/>
          <w:w w:val="100"/>
          <w:position w:val="0"/>
          <w:shd w:val="clear" w:color="auto" w:fill="auto"/>
          <w:lang w:val="cs-CZ" w:eastAsia="cs-CZ" w:bidi="cs-CZ"/>
        </w:rPr>
        <w:t xml:space="preserve">V ceně podle bodu 5. 1. jsou zahrnuty veškeré náklady na výkon technického dozoru stavebníka nutné ke splnění díla dle čl. 3 této smlouvy a v rozsahu Přílohy </w:t>
      </w:r>
      <w:r>
        <w:rPr>
          <w:b/>
          <w:bCs/>
          <w:i/>
          <w:iCs/>
          <w:color w:val="000000"/>
          <w:spacing w:val="0"/>
          <w:w w:val="100"/>
          <w:position w:val="0"/>
          <w:shd w:val="clear" w:color="auto" w:fill="auto"/>
          <w:lang w:val="cs-CZ" w:eastAsia="cs-CZ" w:bidi="cs-CZ"/>
        </w:rPr>
        <w:t>č.</w:t>
      </w:r>
      <w:r>
        <w:rPr>
          <w:color w:val="000000"/>
          <w:spacing w:val="0"/>
          <w:w w:val="100"/>
          <w:position w:val="0"/>
          <w:shd w:val="clear" w:color="auto" w:fill="auto"/>
          <w:lang w:val="cs-CZ" w:eastAsia="cs-CZ" w:bidi="cs-CZ"/>
        </w:rPr>
        <w:t xml:space="preserve"> 1 (Kalkulace odměny TDS), která je součástí této smlouvy, vč. cestovného na místo výkonu TDS a konzultačních dnů.</w:t>
      </w:r>
    </w:p>
    <w:p>
      <w:pPr>
        <w:pStyle w:val="Style12"/>
        <w:keepNext w:val="0"/>
        <w:keepLines w:val="0"/>
        <w:widowControl w:val="0"/>
        <w:numPr>
          <w:ilvl w:val="0"/>
          <w:numId w:val="7"/>
        </w:numPr>
        <w:shd w:val="clear" w:color="auto" w:fill="auto"/>
        <w:tabs>
          <w:tab w:pos="559" w:val="left"/>
        </w:tabs>
        <w:bidi w:val="0"/>
        <w:spacing w:before="0" w:line="257" w:lineRule="auto"/>
        <w:ind w:left="0" w:right="0" w:firstLine="140"/>
        <w:jc w:val="left"/>
      </w:pPr>
      <w:r>
        <w:rPr>
          <w:color w:val="000000"/>
          <w:spacing w:val="0"/>
          <w:w w:val="100"/>
          <w:position w:val="0"/>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12"/>
        <w:keepNext w:val="0"/>
        <w:keepLines w:val="0"/>
        <w:widowControl w:val="0"/>
        <w:numPr>
          <w:ilvl w:val="0"/>
          <w:numId w:val="7"/>
        </w:numPr>
        <w:shd w:val="clear" w:color="auto" w:fill="auto"/>
        <w:tabs>
          <w:tab w:pos="559" w:val="left"/>
        </w:tabs>
        <w:bidi w:val="0"/>
        <w:spacing w:before="0" w:line="264" w:lineRule="auto"/>
        <w:ind w:left="0" w:right="0" w:firstLine="140"/>
        <w:jc w:val="left"/>
      </w:pPr>
      <w:r>
        <w:rPr>
          <w:color w:val="000000"/>
          <w:spacing w:val="0"/>
          <w:w w:val="100"/>
          <w:position w:val="0"/>
          <w:shd w:val="clear" w:color="auto" w:fill="auto"/>
          <w:lang w:val="cs-CZ" w:eastAsia="cs-CZ" w:bidi="cs-CZ"/>
        </w:rPr>
        <w:t>Ke sjednané ceně bez DPH za zajištění TDS bude u plátce DPH účtována daň z přidané hodnoty v zákonné výši.</w:t>
      </w:r>
    </w:p>
    <w:p>
      <w:pPr>
        <w:pStyle w:val="Style12"/>
        <w:keepNext w:val="0"/>
        <w:keepLines w:val="0"/>
        <w:widowControl w:val="0"/>
        <w:numPr>
          <w:ilvl w:val="0"/>
          <w:numId w:val="7"/>
        </w:numPr>
        <w:shd w:val="clear" w:color="auto" w:fill="auto"/>
        <w:tabs>
          <w:tab w:pos="559" w:val="left"/>
        </w:tabs>
        <w:bidi w:val="0"/>
        <w:spacing w:before="0"/>
        <w:ind w:left="0" w:right="0" w:firstLine="0"/>
        <w:jc w:val="left"/>
      </w:pPr>
      <w:r>
        <w:rPr>
          <w:color w:val="000000"/>
          <w:spacing w:val="0"/>
          <w:w w:val="100"/>
          <w:position w:val="0"/>
          <w:shd w:val="clear" w:color="auto" w:fill="auto"/>
          <w:lang w:val="cs-CZ" w:eastAsia="cs-CZ" w:bidi="cs-CZ"/>
        </w:rPr>
        <w:t>Celkovou a pro účely fakturace rozhodnou cenou se u plátce DPH rozumí cena vč. DPH.</w:t>
      </w:r>
    </w:p>
    <w:p>
      <w:pPr>
        <w:pStyle w:val="Style12"/>
        <w:keepNext w:val="0"/>
        <w:keepLines w:val="0"/>
        <w:widowControl w:val="0"/>
        <w:numPr>
          <w:ilvl w:val="0"/>
          <w:numId w:val="7"/>
        </w:numPr>
        <w:shd w:val="clear" w:color="auto" w:fill="auto"/>
        <w:tabs>
          <w:tab w:pos="559" w:val="left"/>
        </w:tabs>
        <w:bidi w:val="0"/>
        <w:spacing w:before="0" w:line="240" w:lineRule="auto"/>
        <w:ind w:left="0" w:right="0" w:firstLine="14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12"/>
        <w:keepNext w:val="0"/>
        <w:keepLines w:val="0"/>
        <w:widowControl w:val="0"/>
        <w:numPr>
          <w:ilvl w:val="0"/>
          <w:numId w:val="7"/>
        </w:numPr>
        <w:shd w:val="clear" w:color="auto" w:fill="auto"/>
        <w:tabs>
          <w:tab w:pos="559" w:val="left"/>
        </w:tabs>
        <w:bidi w:val="0"/>
        <w:spacing w:before="0"/>
        <w:ind w:left="0" w:right="0" w:firstLine="0"/>
        <w:jc w:val="left"/>
      </w:pPr>
      <w:r>
        <w:rPr>
          <w:color w:val="000000"/>
          <w:spacing w:val="0"/>
          <w:w w:val="100"/>
          <w:position w:val="0"/>
          <w:shd w:val="clear" w:color="auto" w:fill="auto"/>
          <w:lang w:val="cs-CZ" w:eastAsia="cs-CZ" w:bidi="cs-CZ"/>
        </w:rPr>
        <w:t>Dohodnutá odměna bude TDS proplacena na základě jeho daňového dokladu (faktury).</w:t>
      </w:r>
    </w:p>
    <w:p>
      <w:pPr>
        <w:pStyle w:val="Style12"/>
        <w:keepNext w:val="0"/>
        <w:keepLines w:val="0"/>
        <w:widowControl w:val="0"/>
        <w:numPr>
          <w:ilvl w:val="0"/>
          <w:numId w:val="7"/>
        </w:numPr>
        <w:shd w:val="clear" w:color="auto" w:fill="auto"/>
        <w:tabs>
          <w:tab w:pos="559" w:val="left"/>
        </w:tabs>
        <w:bidi w:val="0"/>
        <w:spacing w:before="0" w:line="240" w:lineRule="auto"/>
        <w:ind w:left="0" w:right="0" w:firstLine="140"/>
        <w:jc w:val="both"/>
      </w:pPr>
      <w:r>
        <w:rPr>
          <w:color w:val="000000"/>
          <w:spacing w:val="0"/>
          <w:w w:val="100"/>
          <w:position w:val="0"/>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12"/>
        <w:keepNext w:val="0"/>
        <w:keepLines w:val="0"/>
        <w:widowControl w:val="0"/>
        <w:numPr>
          <w:ilvl w:val="0"/>
          <w:numId w:val="7"/>
        </w:numPr>
        <w:shd w:val="clear" w:color="auto" w:fill="auto"/>
        <w:tabs>
          <w:tab w:pos="559" w:val="left"/>
        </w:tabs>
        <w:bidi w:val="0"/>
        <w:spacing w:before="0" w:line="240" w:lineRule="auto"/>
        <w:ind w:left="0" w:right="0" w:firstLine="14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smlouvaje souhrnem všech dílčích plnění, jimiž se rozumí plnění činností provedených dle čl. 3.</w:t>
      </w:r>
    </w:p>
    <w:p>
      <w:pPr>
        <w:pStyle w:val="Style12"/>
        <w:keepNext w:val="0"/>
        <w:keepLines w:val="0"/>
        <w:widowControl w:val="0"/>
        <w:numPr>
          <w:ilvl w:val="0"/>
          <w:numId w:val="7"/>
        </w:numPr>
        <w:shd w:val="clear" w:color="auto" w:fill="auto"/>
        <w:tabs>
          <w:tab w:pos="636" w:val="left"/>
        </w:tabs>
        <w:bidi w:val="0"/>
        <w:spacing w:before="0" w:line="252" w:lineRule="auto"/>
        <w:ind w:left="0" w:right="0" w:firstLine="140"/>
        <w:jc w:val="left"/>
      </w:pPr>
      <w:r>
        <w:rPr>
          <w:color w:val="000000"/>
          <w:spacing w:val="0"/>
          <w:w w:val="100"/>
          <w:position w:val="0"/>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106a zákona č. 235/2004 Sb. o dani z přidané hodnoty, ve znění pozdějších předpisů (dále jen „zákon o DPH“).</w:t>
      </w:r>
    </w:p>
    <w:p>
      <w:pPr>
        <w:pStyle w:val="Style12"/>
        <w:keepNext w:val="0"/>
        <w:keepLines w:val="0"/>
        <w:widowControl w:val="0"/>
        <w:numPr>
          <w:ilvl w:val="0"/>
          <w:numId w:val="7"/>
        </w:numPr>
        <w:shd w:val="clear" w:color="auto" w:fill="auto"/>
        <w:tabs>
          <w:tab w:pos="614" w:val="left"/>
        </w:tabs>
        <w:bidi w:val="0"/>
        <w:spacing w:before="0"/>
        <w:ind w:left="0" w:right="0" w:firstLine="140"/>
        <w:jc w:val="left"/>
      </w:pPr>
      <w:r>
        <w:rPr>
          <w:color w:val="000000"/>
          <w:spacing w:val="0"/>
          <w:w w:val="100"/>
          <w:position w:val="0"/>
          <w:shd w:val="clear" w:color="auto" w:fill="auto"/>
          <w:lang w:val="cs-CZ" w:eastAsia="cs-CZ" w:bidi="cs-CZ"/>
        </w:rPr>
        <w:t>Pokud se po dobu účinnosti této smlouvy TDS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12"/>
        <w:keepNext w:val="0"/>
        <w:keepLines w:val="0"/>
        <w:widowControl w:val="0"/>
        <w:numPr>
          <w:ilvl w:val="0"/>
          <w:numId w:val="7"/>
        </w:numPr>
        <w:shd w:val="clear" w:color="auto" w:fill="auto"/>
        <w:tabs>
          <w:tab w:pos="611" w:val="left"/>
        </w:tabs>
        <w:bidi w:val="0"/>
        <w:spacing w:before="0" w:line="252" w:lineRule="auto"/>
        <w:ind w:left="0" w:right="0" w:firstLine="140"/>
        <w:jc w:val="left"/>
      </w:pPr>
      <w:r>
        <w:rPr>
          <w:color w:val="000000"/>
          <w:spacing w:val="0"/>
          <w:w w:val="100"/>
          <w:position w:val="0"/>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12"/>
        <w:keepNext w:val="0"/>
        <w:keepLines w:val="0"/>
        <w:widowControl w:val="0"/>
        <w:numPr>
          <w:ilvl w:val="0"/>
          <w:numId w:val="7"/>
        </w:numPr>
        <w:shd w:val="clear" w:color="auto" w:fill="auto"/>
        <w:tabs>
          <w:tab w:pos="614" w:val="left"/>
        </w:tabs>
        <w:bidi w:val="0"/>
        <w:spacing w:before="0" w:line="252" w:lineRule="auto"/>
        <w:ind w:left="0" w:right="0" w:firstLine="14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12"/>
        <w:keepNext w:val="0"/>
        <w:keepLines w:val="0"/>
        <w:widowControl w:val="0"/>
        <w:numPr>
          <w:ilvl w:val="0"/>
          <w:numId w:val="7"/>
        </w:numPr>
        <w:shd w:val="clear" w:color="auto" w:fill="auto"/>
        <w:tabs>
          <w:tab w:pos="614" w:val="left"/>
        </w:tabs>
        <w:bidi w:val="0"/>
        <w:spacing w:before="0" w:after="520"/>
        <w:ind w:left="0" w:right="0" w:firstLine="14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31"/>
        <w:keepNext/>
        <w:keepLines/>
        <w:widowControl w:val="0"/>
        <w:shd w:val="clear" w:color="auto" w:fill="auto"/>
        <w:bidi w:val="0"/>
        <w:spacing w:before="0" w:after="100"/>
        <w:ind w:left="0" w:right="0" w:firstLine="0"/>
        <w:jc w:val="center"/>
      </w:pPr>
      <w:bookmarkStart w:id="20" w:name="bookmark20"/>
      <w:bookmarkStart w:id="21" w:name="bookmark21"/>
      <w:r>
        <w:rPr>
          <w:color w:val="000000"/>
          <w:spacing w:val="0"/>
          <w:w w:val="100"/>
          <w:position w:val="0"/>
          <w:shd w:val="clear" w:color="auto" w:fill="auto"/>
          <w:lang w:val="cs-CZ" w:eastAsia="cs-CZ" w:bidi="cs-CZ"/>
        </w:rPr>
        <w:t>Práva a povinnosti smluvních stran</w:t>
      </w:r>
      <w:bookmarkEnd w:id="20"/>
      <w:bookmarkEnd w:id="21"/>
    </w:p>
    <w:p>
      <w:pPr>
        <w:pStyle w:val="Style12"/>
        <w:keepNext w:val="0"/>
        <w:keepLines w:val="0"/>
        <w:widowControl w:val="0"/>
        <w:numPr>
          <w:ilvl w:val="0"/>
          <w:numId w:val="9"/>
        </w:numPr>
        <w:shd w:val="clear" w:color="auto" w:fill="auto"/>
        <w:tabs>
          <w:tab w:pos="559" w:val="left"/>
        </w:tabs>
        <w:bidi w:val="0"/>
        <w:spacing w:before="0" w:line="259" w:lineRule="auto"/>
        <w:ind w:left="0" w:right="0" w:firstLine="140"/>
        <w:jc w:val="both"/>
      </w:pPr>
      <w:r>
        <w:rPr>
          <w:color w:val="000000"/>
          <w:spacing w:val="0"/>
          <w:w w:val="100"/>
          <w:position w:val="0"/>
          <w:shd w:val="clear" w:color="auto" w:fill="auto"/>
          <w:lang w:val="cs-CZ" w:eastAsia="cs-CZ" w:bidi="cs-CZ"/>
        </w:rPr>
        <w:t>TDS je povinen postupovat při zařizování smluvené záležitosti s veškerou odbornou péčí, podle svých schopností a znalostí a podle pokynů objednatele.</w:t>
      </w:r>
    </w:p>
    <w:p>
      <w:pPr>
        <w:pStyle w:val="Style12"/>
        <w:keepNext w:val="0"/>
        <w:keepLines w:val="0"/>
        <w:widowControl w:val="0"/>
        <w:numPr>
          <w:ilvl w:val="0"/>
          <w:numId w:val="9"/>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12"/>
        <w:keepNext w:val="0"/>
        <w:keepLines w:val="0"/>
        <w:widowControl w:val="0"/>
        <w:numPr>
          <w:ilvl w:val="0"/>
          <w:numId w:val="9"/>
        </w:numPr>
        <w:shd w:val="clear" w:color="auto" w:fill="auto"/>
        <w:tabs>
          <w:tab w:pos="558" w:val="left"/>
        </w:tabs>
        <w:bidi w:val="0"/>
        <w:spacing w:before="0" w:after="240" w:line="252" w:lineRule="auto"/>
        <w:ind w:left="0" w:right="0" w:firstLine="0"/>
        <w:jc w:val="left"/>
      </w:pPr>
      <w:r>
        <w:rPr>
          <w:color w:val="000000"/>
          <w:spacing w:val="0"/>
          <w:w w:val="100"/>
          <w:position w:val="0"/>
          <w:shd w:val="clear" w:color="auto" w:fill="auto"/>
          <w:lang w:val="cs-CZ" w:eastAsia="cs-CZ" w:bidi="cs-CZ"/>
        </w:rPr>
        <w:t>Odpovědné osoby, které budou zajišťovat výkon technického dozoru stavebníka na staveništi:</w:t>
      </w:r>
    </w:p>
    <w:p>
      <w:pPr>
        <w:pStyle w:val="Style12"/>
        <w:keepNext w:val="0"/>
        <w:keepLines w:val="0"/>
        <w:widowControl w:val="0"/>
        <w:shd w:val="clear" w:color="auto" w:fill="auto"/>
        <w:tabs>
          <w:tab w:pos="3864" w:val="left"/>
        </w:tabs>
        <w:bidi w:val="0"/>
        <w:spacing w:before="0" w:after="240" w:line="240" w:lineRule="auto"/>
        <w:ind w:left="1340" w:right="0" w:firstLine="0"/>
        <w:jc w:val="left"/>
      </w:pPr>
      <w:r>
        <w:rPr>
          <w:b/>
          <w:bCs/>
          <w:color w:val="000000"/>
          <w:spacing w:val="0"/>
          <w:w w:val="100"/>
          <w:position w:val="0"/>
          <w:shd w:val="clear" w:color="auto" w:fill="auto"/>
          <w:lang w:val="cs-CZ" w:eastAsia="cs-CZ" w:bidi="cs-CZ"/>
        </w:rPr>
        <w:t xml:space="preserve">Odpovědný TDS - Mosty a inženýrské konstrukce </w:t>
      </w:r>
      <w:r>
        <w:rPr>
          <w:color w:val="000000"/>
          <w:spacing w:val="0"/>
          <w:w w:val="100"/>
          <w:position w:val="0"/>
          <w:shd w:val="clear" w:color="auto" w:fill="auto"/>
          <w:lang w:val="cs-CZ" w:eastAsia="cs-CZ" w:bidi="cs-CZ"/>
        </w:rPr>
        <w:t>(jméno, příjmení, titul, číslo autorizace):</w:t>
        <w:tab/>
        <w:t>, autorizace ČKAIT č.</w:t>
      </w:r>
    </w:p>
    <w:p>
      <w:pPr>
        <w:pStyle w:val="Style12"/>
        <w:keepNext w:val="0"/>
        <w:keepLines w:val="0"/>
        <w:widowControl w:val="0"/>
        <w:numPr>
          <w:ilvl w:val="0"/>
          <w:numId w:val="9"/>
        </w:numPr>
        <w:shd w:val="clear" w:color="auto" w:fill="auto"/>
        <w:tabs>
          <w:tab w:pos="558" w:val="left"/>
        </w:tabs>
        <w:bidi w:val="0"/>
        <w:spacing w:before="0" w:line="252" w:lineRule="auto"/>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12"/>
        <w:keepNext w:val="0"/>
        <w:keepLines w:val="0"/>
        <w:widowControl w:val="0"/>
        <w:numPr>
          <w:ilvl w:val="0"/>
          <w:numId w:val="9"/>
        </w:numPr>
        <w:shd w:val="clear" w:color="auto" w:fill="auto"/>
        <w:tabs>
          <w:tab w:pos="558" w:val="left"/>
        </w:tabs>
        <w:bidi w:val="0"/>
        <w:spacing w:before="0" w:line="252" w:lineRule="auto"/>
        <w:ind w:left="0" w:right="0" w:firstLine="0"/>
        <w:jc w:val="both"/>
      </w:pPr>
      <w:r>
        <w:rPr>
          <w:color w:val="000000"/>
          <w:spacing w:val="0"/>
          <w:w w:val="100"/>
          <w:position w:val="0"/>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12"/>
        <w:keepNext w:val="0"/>
        <w:keepLines w:val="0"/>
        <w:widowControl w:val="0"/>
        <w:numPr>
          <w:ilvl w:val="0"/>
          <w:numId w:val="9"/>
        </w:numPr>
        <w:shd w:val="clear" w:color="auto" w:fill="auto"/>
        <w:tabs>
          <w:tab w:pos="558" w:val="left"/>
        </w:tabs>
        <w:bidi w:val="0"/>
        <w:spacing w:before="0" w:line="252" w:lineRule="auto"/>
        <w:ind w:left="0" w:right="0" w:firstLine="0"/>
        <w:jc w:val="both"/>
      </w:pPr>
      <w:r>
        <w:rPr>
          <w:color w:val="000000"/>
          <w:spacing w:val="0"/>
          <w:w w:val="100"/>
          <w:position w:val="0"/>
          <w:shd w:val="clear" w:color="auto" w:fill="auto"/>
          <w:lang w:val="cs-CZ" w:eastAsia="cs-CZ" w:bidi="cs-CZ"/>
        </w:rPr>
        <w:t>TDS je povinen předat objednateli bez zbytečného odkladu věci, které za něj převzal při vyřizování záležitostí.</w:t>
      </w:r>
    </w:p>
    <w:p>
      <w:pPr>
        <w:pStyle w:val="Style12"/>
        <w:keepNext w:val="0"/>
        <w:keepLines w:val="0"/>
        <w:widowControl w:val="0"/>
        <w:numPr>
          <w:ilvl w:val="0"/>
          <w:numId w:val="9"/>
        </w:numPr>
        <w:shd w:val="clear" w:color="auto" w:fill="auto"/>
        <w:tabs>
          <w:tab w:pos="558"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se zavazuje poskytnout TDS veškeré informace, které jsou nutné k zařízení záležitostí.</w:t>
      </w:r>
    </w:p>
    <w:p>
      <w:pPr>
        <w:pStyle w:val="Style12"/>
        <w:keepNext w:val="0"/>
        <w:keepLines w:val="0"/>
        <w:widowControl w:val="0"/>
        <w:numPr>
          <w:ilvl w:val="0"/>
          <w:numId w:val="9"/>
        </w:numPr>
        <w:shd w:val="clear" w:color="auto" w:fill="auto"/>
        <w:tabs>
          <w:tab w:pos="558"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TDS, který se týká předmětu této smlouvy.</w:t>
      </w:r>
    </w:p>
    <w:p>
      <w:pPr>
        <w:pStyle w:val="Style12"/>
        <w:keepNext w:val="0"/>
        <w:keepLines w:val="0"/>
        <w:widowControl w:val="0"/>
        <w:numPr>
          <w:ilvl w:val="0"/>
          <w:numId w:val="9"/>
        </w:numPr>
        <w:shd w:val="clear" w:color="auto" w:fill="auto"/>
        <w:tabs>
          <w:tab w:pos="558" w:val="left"/>
        </w:tabs>
        <w:bidi w:val="0"/>
        <w:spacing w:before="0" w:after="480" w:line="259" w:lineRule="auto"/>
        <w:ind w:left="0" w:right="0" w:firstLine="0"/>
        <w:jc w:val="both"/>
      </w:pPr>
      <w:r>
        <w:rPr>
          <w:color w:val="000000"/>
          <w:spacing w:val="0"/>
          <w:w w:val="100"/>
          <w:position w:val="0"/>
          <w:shd w:val="clear" w:color="auto" w:fill="auto"/>
          <w:lang w:val="cs-CZ" w:eastAsia="cs-CZ" w:bidi="cs-CZ"/>
        </w:rPr>
        <w:t>Dle § 2e) zákona č. 320/2001 Sb., o finanční kontrole, je TDS osobou povinnou spolupůsobit při výkonu finanční kontroly.</w:t>
      </w:r>
    </w:p>
    <w:p>
      <w:pPr>
        <w:pStyle w:val="Style12"/>
        <w:keepNext w:val="0"/>
        <w:keepLines w:val="0"/>
        <w:widowControl w:val="0"/>
        <w:shd w:val="clear" w:color="auto" w:fill="auto"/>
        <w:bidi w:val="0"/>
        <w:spacing w:before="0" w:after="0" w:line="252" w:lineRule="auto"/>
        <w:ind w:left="4520" w:right="0" w:firstLine="0"/>
        <w:jc w:val="left"/>
      </w:pPr>
      <w:r>
        <w:rPr>
          <w:b/>
          <w:bCs/>
          <w:color w:val="000000"/>
          <w:spacing w:val="0"/>
          <w:w w:val="100"/>
          <w:position w:val="0"/>
          <w:shd w:val="clear" w:color="auto" w:fill="auto"/>
          <w:lang w:val="cs-CZ" w:eastAsia="cs-CZ" w:bidi="cs-CZ"/>
        </w:rPr>
        <w:t>Článek 7</w:t>
      </w:r>
    </w:p>
    <w:p>
      <w:pPr>
        <w:pStyle w:val="Style31"/>
        <w:keepNext/>
        <w:keepLines/>
        <w:widowControl w:val="0"/>
        <w:shd w:val="clear" w:color="auto" w:fill="auto"/>
        <w:bidi w:val="0"/>
        <w:spacing w:before="0" w:after="100" w:line="252"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Změna závazku</w:t>
      </w:r>
      <w:bookmarkEnd w:id="22"/>
      <w:bookmarkEnd w:id="23"/>
    </w:p>
    <w:p>
      <w:pPr>
        <w:pStyle w:val="Style12"/>
        <w:keepNext w:val="0"/>
        <w:keepLines w:val="0"/>
        <w:widowControl w:val="0"/>
        <w:numPr>
          <w:ilvl w:val="0"/>
          <w:numId w:val="11"/>
        </w:numPr>
        <w:shd w:val="clear" w:color="auto" w:fill="auto"/>
        <w:tabs>
          <w:tab w:pos="558"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12"/>
        <w:keepNext w:val="0"/>
        <w:keepLines w:val="0"/>
        <w:widowControl w:val="0"/>
        <w:numPr>
          <w:ilvl w:val="0"/>
          <w:numId w:val="11"/>
        </w:numPr>
        <w:shd w:val="clear" w:color="auto" w:fill="auto"/>
        <w:tabs>
          <w:tab w:pos="558" w:val="left"/>
        </w:tabs>
        <w:bidi w:val="0"/>
        <w:spacing w:before="0" w:after="620" w:line="257" w:lineRule="auto"/>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12"/>
        <w:keepNext w:val="0"/>
        <w:keepLines w:val="0"/>
        <w:widowControl w:val="0"/>
        <w:shd w:val="clear" w:color="auto" w:fill="auto"/>
        <w:bidi w:val="0"/>
        <w:spacing w:before="0" w:after="0" w:line="259" w:lineRule="auto"/>
        <w:ind w:left="4520" w:right="0" w:firstLine="0"/>
        <w:jc w:val="left"/>
      </w:pPr>
      <w:r>
        <w:rPr>
          <w:b/>
          <w:bCs/>
          <w:color w:val="000000"/>
          <w:spacing w:val="0"/>
          <w:w w:val="100"/>
          <w:position w:val="0"/>
          <w:shd w:val="clear" w:color="auto" w:fill="auto"/>
          <w:lang w:val="cs-CZ" w:eastAsia="cs-CZ" w:bidi="cs-CZ"/>
        </w:rPr>
        <w:t>Článek 8</w:t>
      </w:r>
    </w:p>
    <w:p>
      <w:pPr>
        <w:pStyle w:val="Style31"/>
        <w:keepNext/>
        <w:keepLines/>
        <w:widowControl w:val="0"/>
        <w:shd w:val="clear" w:color="auto" w:fill="auto"/>
        <w:bidi w:val="0"/>
        <w:spacing w:before="0" w:after="100" w:line="259"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Sankce</w:t>
      </w:r>
      <w:bookmarkEnd w:id="24"/>
      <w:bookmarkEnd w:id="25"/>
    </w:p>
    <w:p>
      <w:pPr>
        <w:pStyle w:val="Style12"/>
        <w:keepNext w:val="0"/>
        <w:keepLines w:val="0"/>
        <w:widowControl w:val="0"/>
        <w:numPr>
          <w:ilvl w:val="0"/>
          <w:numId w:val="13"/>
        </w:numPr>
        <w:shd w:val="clear" w:color="auto" w:fill="auto"/>
        <w:tabs>
          <w:tab w:pos="558" w:val="left"/>
        </w:tabs>
        <w:bidi w:val="0"/>
        <w:spacing w:before="0" w:line="257" w:lineRule="auto"/>
        <w:ind w:left="0" w:right="0" w:firstLine="0"/>
        <w:jc w:val="both"/>
      </w:pPr>
      <w:r>
        <w:rPr>
          <w:color w:val="000000"/>
          <w:spacing w:val="0"/>
          <w:w w:val="100"/>
          <w:position w:val="0"/>
          <w:shd w:val="clear" w:color="auto" w:fill="auto"/>
          <w:lang w:val="cs-CZ" w:eastAsia="cs-CZ" w:bidi="cs-CZ"/>
        </w:rPr>
        <w:t xml:space="preserve">V případě zjištění neplnění některé z činností blíže specifikovaných v čl. 3. smlouvy je </w:t>
      </w:r>
      <w:r>
        <w:rPr>
          <w:b/>
          <w:bCs/>
          <w:color w:val="000000"/>
          <w:spacing w:val="0"/>
          <w:w w:val="100"/>
          <w:position w:val="0"/>
          <w:shd w:val="clear" w:color="auto" w:fill="auto"/>
          <w:lang w:val="cs-CZ" w:eastAsia="cs-CZ" w:bidi="cs-CZ"/>
        </w:rPr>
        <w:t xml:space="preserve">TDS </w:t>
      </w:r>
      <w:r>
        <w:rPr>
          <w:color w:val="000000"/>
          <w:spacing w:val="0"/>
          <w:w w:val="100"/>
          <w:position w:val="0"/>
          <w:shd w:val="clear" w:color="auto" w:fill="auto"/>
          <w:lang w:val="cs-CZ" w:eastAsia="cs-CZ" w:bidi="cs-CZ"/>
        </w:rPr>
        <w:t>povinen uhradit objednateli smluvní pokutu ve výši 5% z celkové ceny plnění za každé zjištění. Tuto pokutuje možné ukládat opakovaně, dokud nedojde ke zjednání nápravy.</w:t>
      </w:r>
    </w:p>
    <w:p>
      <w:pPr>
        <w:pStyle w:val="Style12"/>
        <w:keepNext w:val="0"/>
        <w:keepLines w:val="0"/>
        <w:widowControl w:val="0"/>
        <w:numPr>
          <w:ilvl w:val="0"/>
          <w:numId w:val="13"/>
        </w:numPr>
        <w:shd w:val="clear" w:color="auto" w:fill="auto"/>
        <w:tabs>
          <w:tab w:pos="558" w:val="left"/>
        </w:tabs>
        <w:bidi w:val="0"/>
        <w:spacing w:before="0" w:line="259"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TDS a zjednání nápravy vedoucí k odstranění vady.</w:t>
      </w:r>
    </w:p>
    <w:p>
      <w:pPr>
        <w:pStyle w:val="Style12"/>
        <w:keepNext w:val="0"/>
        <w:keepLines w:val="0"/>
        <w:widowControl w:val="0"/>
        <w:numPr>
          <w:ilvl w:val="0"/>
          <w:numId w:val="13"/>
        </w:numPr>
        <w:shd w:val="clear" w:color="auto" w:fill="auto"/>
        <w:tabs>
          <w:tab w:pos="558" w:val="left"/>
        </w:tabs>
        <w:bidi w:val="0"/>
        <w:spacing w:before="0" w:line="264"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TDS smluvní pokutu ve výši 0,2 % z dlužné částky za každý den prodlení.</w:t>
      </w:r>
    </w:p>
    <w:p>
      <w:pPr>
        <w:pStyle w:val="Style12"/>
        <w:keepNext w:val="0"/>
        <w:keepLines w:val="0"/>
        <w:widowControl w:val="0"/>
        <w:numPr>
          <w:ilvl w:val="0"/>
          <w:numId w:val="13"/>
        </w:numPr>
        <w:shd w:val="clear" w:color="auto" w:fill="auto"/>
        <w:tabs>
          <w:tab w:pos="558" w:val="left"/>
        </w:tabs>
        <w:bidi w:val="0"/>
        <w:spacing w:before="0" w:line="259"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9</w:t>
      </w:r>
    </w:p>
    <w:p>
      <w:pPr>
        <w:pStyle w:val="Style31"/>
        <w:keepNext/>
        <w:keepLines/>
        <w:widowControl w:val="0"/>
        <w:shd w:val="clear" w:color="auto" w:fill="auto"/>
        <w:bidi w:val="0"/>
        <w:spacing w:before="0" w:after="100"/>
        <w:ind w:left="0" w:right="0" w:firstLine="0"/>
        <w:jc w:val="center"/>
      </w:pPr>
      <w:bookmarkStart w:id="26" w:name="bookmark26"/>
      <w:bookmarkStart w:id="27" w:name="bookmark27"/>
      <w:r>
        <w:rPr>
          <w:color w:val="000000"/>
          <w:spacing w:val="0"/>
          <w:w w:val="100"/>
          <w:position w:val="0"/>
          <w:shd w:val="clear" w:color="auto" w:fill="auto"/>
          <w:lang w:val="cs-CZ" w:eastAsia="cs-CZ" w:bidi="cs-CZ"/>
        </w:rPr>
        <w:t>Odpovědnost za Škodu</w:t>
      </w:r>
      <w:bookmarkEnd w:id="26"/>
      <w:bookmarkEnd w:id="27"/>
    </w:p>
    <w:p>
      <w:pPr>
        <w:pStyle w:val="Style12"/>
        <w:keepNext w:val="0"/>
        <w:keepLines w:val="0"/>
        <w:widowControl w:val="0"/>
        <w:numPr>
          <w:ilvl w:val="0"/>
          <w:numId w:val="15"/>
        </w:numPr>
        <w:shd w:val="clear" w:color="auto" w:fill="auto"/>
        <w:tabs>
          <w:tab w:pos="554" w:val="left"/>
        </w:tabs>
        <w:bidi w:val="0"/>
        <w:spacing w:before="0" w:line="264" w:lineRule="auto"/>
        <w:ind w:left="0" w:right="0" w:firstLine="0"/>
        <w:jc w:val="left"/>
      </w:pPr>
      <w:r>
        <w:rPr>
          <w:b/>
          <w:bCs/>
          <w:color w:val="000000"/>
          <w:spacing w:val="0"/>
          <w:w w:val="100"/>
          <w:position w:val="0"/>
          <w:shd w:val="clear" w:color="auto" w:fill="auto"/>
          <w:lang w:val="cs-CZ" w:eastAsia="cs-CZ" w:bidi="cs-CZ"/>
        </w:rPr>
        <w:t xml:space="preserve">TDS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TDS.</w:t>
      </w:r>
    </w:p>
    <w:p>
      <w:pPr>
        <w:pStyle w:val="Style12"/>
        <w:keepNext w:val="0"/>
        <w:keepLines w:val="0"/>
        <w:widowControl w:val="0"/>
        <w:numPr>
          <w:ilvl w:val="0"/>
          <w:numId w:val="15"/>
        </w:numPr>
        <w:shd w:val="clear" w:color="auto" w:fill="auto"/>
        <w:tabs>
          <w:tab w:pos="554" w:val="left"/>
        </w:tabs>
        <w:bidi w:val="0"/>
        <w:spacing w:before="0" w:line="259" w:lineRule="auto"/>
        <w:ind w:left="0" w:right="0" w:firstLine="0"/>
        <w:jc w:val="left"/>
      </w:pPr>
      <w:r>
        <w:rPr>
          <w:b/>
          <w:bCs/>
          <w:color w:val="000000"/>
          <w:spacing w:val="0"/>
          <w:w w:val="100"/>
          <w:position w:val="0"/>
          <w:shd w:val="clear" w:color="auto" w:fill="auto"/>
          <w:lang w:val="cs-CZ" w:eastAsia="cs-CZ" w:bidi="cs-CZ"/>
        </w:rPr>
        <w:t xml:space="preserve">TDS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1.000.000,00Kč.</w:t>
      </w:r>
    </w:p>
    <w:p>
      <w:pPr>
        <w:pStyle w:val="Style12"/>
        <w:keepNext w:val="0"/>
        <w:keepLines w:val="0"/>
        <w:widowControl w:val="0"/>
        <w:numPr>
          <w:ilvl w:val="0"/>
          <w:numId w:val="15"/>
        </w:numPr>
        <w:shd w:val="clear" w:color="auto" w:fill="auto"/>
        <w:tabs>
          <w:tab w:pos="554" w:val="left"/>
        </w:tabs>
        <w:bidi w:val="0"/>
        <w:spacing w:before="0" w:after="620" w:line="264" w:lineRule="auto"/>
        <w:ind w:left="0" w:right="0" w:firstLine="0"/>
        <w:jc w:val="left"/>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1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31"/>
        <w:keepNext/>
        <w:keepLines/>
        <w:widowControl w:val="0"/>
        <w:shd w:val="clear" w:color="auto" w:fill="auto"/>
        <w:bidi w:val="0"/>
        <w:spacing w:before="0" w:after="100"/>
        <w:ind w:left="0" w:right="0" w:firstLine="0"/>
        <w:jc w:val="center"/>
      </w:pPr>
      <w:bookmarkStart w:id="28" w:name="bookmark28"/>
      <w:bookmarkStart w:id="29" w:name="bookmark29"/>
      <w:r>
        <w:rPr>
          <w:color w:val="000000"/>
          <w:spacing w:val="0"/>
          <w:w w:val="100"/>
          <w:position w:val="0"/>
          <w:shd w:val="clear" w:color="auto" w:fill="auto"/>
          <w:lang w:val="cs-CZ" w:eastAsia="cs-CZ" w:bidi="cs-CZ"/>
        </w:rPr>
        <w:t>Ostatní ujednání, závěrečná ustanovení</w:t>
      </w:r>
      <w:bookmarkEnd w:id="28"/>
      <w:bookmarkEnd w:id="29"/>
    </w:p>
    <w:p>
      <w:pPr>
        <w:pStyle w:val="Style12"/>
        <w:keepNext w:val="0"/>
        <w:keepLines w:val="0"/>
        <w:widowControl w:val="0"/>
        <w:numPr>
          <w:ilvl w:val="0"/>
          <w:numId w:val="17"/>
        </w:numPr>
        <w:shd w:val="clear" w:color="auto" w:fill="auto"/>
        <w:tabs>
          <w:tab w:pos="598" w:val="left"/>
        </w:tabs>
        <w:bidi w:val="0"/>
        <w:spacing w:before="0" w:line="259"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12"/>
        <w:keepNext w:val="0"/>
        <w:keepLines w:val="0"/>
        <w:widowControl w:val="0"/>
        <w:numPr>
          <w:ilvl w:val="0"/>
          <w:numId w:val="17"/>
        </w:numPr>
        <w:shd w:val="clear" w:color="auto" w:fill="auto"/>
        <w:tabs>
          <w:tab w:pos="605" w:val="left"/>
        </w:tabs>
        <w:bidi w:val="0"/>
        <w:spacing w:before="0" w:line="252" w:lineRule="auto"/>
        <w:ind w:left="0" w:right="0" w:firstLine="0"/>
        <w:jc w:val="both"/>
      </w:pPr>
      <w:r>
        <w:rPr>
          <w:color w:val="000000"/>
          <w:spacing w:val="0"/>
          <w:w w:val="100"/>
          <w:position w:val="0"/>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12"/>
        <w:keepNext w:val="0"/>
        <w:keepLines w:val="0"/>
        <w:widowControl w:val="0"/>
        <w:numPr>
          <w:ilvl w:val="0"/>
          <w:numId w:val="17"/>
        </w:numPr>
        <w:shd w:val="clear" w:color="auto" w:fill="auto"/>
        <w:tabs>
          <w:tab w:pos="605" w:val="left"/>
        </w:tabs>
        <w:bidi w:val="0"/>
        <w:spacing w:before="0"/>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12"/>
        <w:keepNext w:val="0"/>
        <w:keepLines w:val="0"/>
        <w:widowControl w:val="0"/>
        <w:numPr>
          <w:ilvl w:val="0"/>
          <w:numId w:val="17"/>
        </w:numPr>
        <w:shd w:val="clear" w:color="auto" w:fill="auto"/>
        <w:tabs>
          <w:tab w:pos="609"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12"/>
        <w:keepNext w:val="0"/>
        <w:keepLines w:val="0"/>
        <w:widowControl w:val="0"/>
        <w:numPr>
          <w:ilvl w:val="0"/>
          <w:numId w:val="17"/>
        </w:numPr>
        <w:shd w:val="clear" w:color="auto" w:fill="auto"/>
        <w:tabs>
          <w:tab w:pos="605"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12"/>
        <w:keepNext w:val="0"/>
        <w:keepLines w:val="0"/>
        <w:widowControl w:val="0"/>
        <w:numPr>
          <w:ilvl w:val="0"/>
          <w:numId w:val="17"/>
        </w:numPr>
        <w:shd w:val="clear" w:color="auto" w:fill="auto"/>
        <w:tabs>
          <w:tab w:pos="613" w:val="left"/>
        </w:tabs>
        <w:bidi w:val="0"/>
        <w:spacing w:before="0" w:line="252"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12"/>
        <w:keepNext w:val="0"/>
        <w:keepLines w:val="0"/>
        <w:widowControl w:val="0"/>
        <w:numPr>
          <w:ilvl w:val="0"/>
          <w:numId w:val="17"/>
        </w:numPr>
        <w:shd w:val="clear" w:color="auto" w:fill="auto"/>
        <w:tabs>
          <w:tab w:pos="609" w:val="left"/>
        </w:tabs>
        <w:bidi w:val="0"/>
        <w:spacing w:before="0" w:line="252" w:lineRule="auto"/>
        <w:ind w:left="0" w:right="0" w:firstLine="0"/>
        <w:jc w:val="both"/>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12"/>
        <w:keepNext w:val="0"/>
        <w:keepLines w:val="0"/>
        <w:widowControl w:val="0"/>
        <w:numPr>
          <w:ilvl w:val="0"/>
          <w:numId w:val="17"/>
        </w:numPr>
        <w:shd w:val="clear" w:color="auto" w:fill="auto"/>
        <w:tabs>
          <w:tab w:pos="595" w:val="left"/>
        </w:tabs>
        <w:bidi w:val="0"/>
        <w:spacing w:before="0"/>
        <w:ind w:left="0" w:right="0" w:firstLine="0"/>
        <w:jc w:val="left"/>
      </w:pPr>
      <w:r>
        <w:rPr>
          <w:color w:val="000000"/>
          <w:spacing w:val="0"/>
          <w:w w:val="100"/>
          <w:position w:val="0"/>
          <w:shd w:val="clear" w:color="auto" w:fill="auto"/>
          <w:lang w:val="cs-CZ" w:eastAsia="cs-CZ" w:bidi="cs-CZ"/>
        </w:rPr>
        <w:t xml:space="preserve">Smlouvaje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TDS.</w:t>
      </w:r>
    </w:p>
    <w:p>
      <w:pPr>
        <w:pStyle w:val="Style12"/>
        <w:keepNext w:val="0"/>
        <w:keepLines w:val="0"/>
        <w:widowControl w:val="0"/>
        <w:numPr>
          <w:ilvl w:val="0"/>
          <w:numId w:val="17"/>
        </w:numPr>
        <w:shd w:val="clear" w:color="auto" w:fill="auto"/>
        <w:tabs>
          <w:tab w:pos="602" w:val="left"/>
        </w:tabs>
        <w:bidi w:val="0"/>
        <w:spacing w:before="0" w:line="257" w:lineRule="auto"/>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r>
        <w:br w:type="page"/>
      </w:r>
    </w:p>
    <w:p>
      <w:pPr>
        <w:pStyle w:val="Style12"/>
        <w:keepNext w:val="0"/>
        <w:keepLines w:val="0"/>
        <w:widowControl w:val="0"/>
        <w:numPr>
          <w:ilvl w:val="0"/>
          <w:numId w:val="17"/>
        </w:numPr>
        <w:shd w:val="clear" w:color="auto" w:fill="auto"/>
        <w:tabs>
          <w:tab w:pos="772" w:val="left"/>
        </w:tabs>
        <w:bidi w:val="0"/>
        <w:spacing w:before="0" w:after="500" w:line="252" w:lineRule="auto"/>
        <w:ind w:left="0" w:right="0" w:firstLine="0"/>
        <w:jc w:val="left"/>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12"/>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Přílohy:</w:t>
      </w:r>
    </w:p>
    <w:p>
      <w:pPr>
        <w:pStyle w:val="Style12"/>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Příloha č. 1 - Kalkulace odměny TDS</w:t>
      </w:r>
    </w:p>
    <w:p>
      <w:pPr>
        <w:pStyle w:val="Style12"/>
        <w:keepNext w:val="0"/>
        <w:keepLines w:val="0"/>
        <w:widowControl w:val="0"/>
        <w:shd w:val="clear" w:color="auto" w:fill="auto"/>
        <w:bidi w:val="0"/>
        <w:spacing w:before="0" w:after="500" w:line="240" w:lineRule="auto"/>
        <w:ind w:left="0" w:right="0" w:firstLine="0"/>
        <w:jc w:val="center"/>
      </w:pPr>
      <w:r>
        <mc:AlternateContent>
          <mc:Choice Requires="wps">
            <w:drawing>
              <wp:anchor distT="0" distB="0" distL="114300" distR="114300" simplePos="0" relativeHeight="125829400" behindDoc="0" locked="0" layoutInCell="1" allowOverlap="1">
                <wp:simplePos x="0" y="0"/>
                <wp:positionH relativeFrom="page">
                  <wp:posOffset>704215</wp:posOffset>
                </wp:positionH>
                <wp:positionV relativeFrom="paragraph">
                  <wp:posOffset>12700</wp:posOffset>
                </wp:positionV>
                <wp:extent cx="347345" cy="187325"/>
                <wp:wrapSquare wrapText="right"/>
                <wp:docPr id="35" name="Shape 35"/>
                <a:graphic xmlns:a="http://schemas.openxmlformats.org/drawingml/2006/main">
                  <a:graphicData uri="http://schemas.microsoft.com/office/word/2010/wordprocessingShape">
                    <wps:wsp>
                      <wps:cNvSpPr txBox="1"/>
                      <wps:spPr>
                        <a:xfrm>
                          <a:ext cx="347345" cy="18732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wps:txbx>
                      <wps:bodyPr wrap="none" lIns="0" tIns="0" rIns="0" bIns="0">
                        <a:noAutoFit/>
                      </wps:bodyPr>
                    </wps:wsp>
                  </a:graphicData>
                </a:graphic>
              </wp:anchor>
            </w:drawing>
          </mc:Choice>
          <mc:Fallback>
            <w:pict>
              <v:shape id="_x0000_s1061" type="#_x0000_t202" style="position:absolute;margin-left:55.450000000000003pt;margin-top:1.pt;width:27.350000000000001pt;height:14.75pt;z-index:-125829353;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TDS:</w:t>
                      </w:r>
                    </w:p>
                  </w:txbxContent>
                </v:textbox>
                <w10:wrap type="square" side="right" anchorx="page"/>
              </v:shape>
            </w:pict>
          </mc:Fallback>
        </mc:AlternateContent>
      </w:r>
      <w:r>
        <w:drawing>
          <wp:anchor distT="0" distB="41275" distL="1037590" distR="114300" simplePos="0" relativeHeight="125829402" behindDoc="0" locked="0" layoutInCell="1" allowOverlap="1">
            <wp:simplePos x="0" y="0"/>
            <wp:positionH relativeFrom="page">
              <wp:posOffset>4690745</wp:posOffset>
            </wp:positionH>
            <wp:positionV relativeFrom="paragraph">
              <wp:posOffset>330200</wp:posOffset>
            </wp:positionV>
            <wp:extent cx="1017905" cy="298450"/>
            <wp:wrapSquare wrapText="left"/>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5"/>
                    <a:stretch/>
                  </pic:blipFill>
                  <pic:spPr>
                    <a:xfrm>
                      <a:ext cx="1017905" cy="298450"/>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3767455</wp:posOffset>
                </wp:positionH>
                <wp:positionV relativeFrom="paragraph">
                  <wp:posOffset>483235</wp:posOffset>
                </wp:positionV>
                <wp:extent cx="887095" cy="187325"/>
                <wp:wrapNone/>
                <wp:docPr id="39" name="Shape 39"/>
                <a:graphic xmlns:a="http://schemas.openxmlformats.org/drawingml/2006/main">
                  <a:graphicData uri="http://schemas.microsoft.com/office/word/2010/wordprocessingShape">
                    <wps:wsp>
                      <wps:cNvSpPr txBox="1"/>
                      <wps:spPr>
                        <a:xfrm>
                          <a:ext cx="887095" cy="18732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lIns="0" tIns="0" rIns="0" bIns="0">
                        <a:noAutoFit/>
                      </wps:bodyPr>
                    </wps:wsp>
                  </a:graphicData>
                </a:graphic>
              </wp:anchor>
            </w:drawing>
          </mc:Choice>
          <mc:Fallback>
            <w:pict>
              <v:shape id="_x0000_s1065" type="#_x0000_t202" style="position:absolute;margin-left:296.64999999999998pt;margin-top:38.049999999999997pt;width:69.849999999999994pt;height:14.75pt;z-index:251657741;mso-wrap-distance-left:0;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anchorx="page"/>
              </v:shape>
            </w:pict>
          </mc:Fallback>
        </mc:AlternateContent>
      </w:r>
      <w:r>
        <w:rPr>
          <w:color w:val="000000"/>
          <w:spacing w:val="0"/>
          <w:w w:val="100"/>
          <w:position w:val="0"/>
          <w:shd w:val="clear" w:color="auto" w:fill="auto"/>
          <w:lang w:val="cs-CZ" w:eastAsia="cs-CZ" w:bidi="cs-CZ"/>
        </w:rPr>
        <w:t>Objednatel:</w:t>
      </w:r>
    </w:p>
    <w:p>
      <w:pPr>
        <w:pStyle w:val="Style12"/>
        <w:keepNext w:val="0"/>
        <w:keepLines w:val="0"/>
        <w:widowControl w:val="0"/>
        <w:shd w:val="clear" w:color="auto" w:fill="auto"/>
        <w:bidi w:val="0"/>
        <w:spacing w:before="0" w:after="1640" w:line="240" w:lineRule="auto"/>
        <w:ind w:left="0" w:right="0" w:firstLine="0"/>
        <w:jc w:val="left"/>
      </w:pPr>
      <w:r>
        <w:rPr>
          <w:color w:val="000000"/>
          <w:spacing w:val="0"/>
          <w:w w:val="100"/>
          <w:position w:val="0"/>
          <w:shd w:val="clear" w:color="auto" w:fill="auto"/>
          <w:lang w:val="cs-CZ" w:eastAsia="cs-CZ" w:bidi="cs-CZ"/>
        </w:rPr>
        <w:t>V Liberci dne: 26.4.2019</w:t>
      </w:r>
    </w:p>
    <w:p>
      <w:pPr>
        <w:pStyle w:val="Style12"/>
        <w:keepNext w:val="0"/>
        <w:keepLines w:val="0"/>
        <w:widowControl w:val="0"/>
        <w:shd w:val="clear" w:color="auto" w:fill="auto"/>
        <w:bidi w:val="0"/>
        <w:spacing w:before="0" w:after="0" w:line="257" w:lineRule="auto"/>
        <w:ind w:left="6920" w:right="0" w:hanging="660"/>
        <w:jc w:val="left"/>
        <w:sectPr>
          <w:footerReference w:type="default" r:id="rId7"/>
          <w:footnotePr>
            <w:pos w:val="pageBottom"/>
            <w:numFmt w:val="decimal"/>
            <w:numRestart w:val="continuous"/>
          </w:footnotePr>
          <w:pgSz w:w="11900" w:h="16840"/>
          <w:pgMar w:top="297" w:left="1040" w:right="376" w:bottom="1986" w:header="0" w:footer="3" w:gutter="0"/>
          <w:pgNumType w:start="1"/>
          <w:cols w:space="720"/>
          <w:noEndnote/>
          <w:rtlGutter w:val="0"/>
          <w:docGrid w:linePitch="360"/>
        </w:sectPr>
      </w:pPr>
      <w:r>
        <w:rPr>
          <w:color w:val="000000"/>
          <w:spacing w:val="0"/>
          <w:w w:val="100"/>
          <w:position w:val="0"/>
          <w:shd w:val="clear" w:color="auto" w:fill="auto"/>
          <w:lang w:val="cs-CZ" w:eastAsia="cs-CZ" w:bidi="cs-CZ"/>
        </w:rPr>
        <w:t>Ing. Jan Mika, MBA ředitel</w:t>
      </w:r>
    </w:p>
    <w:tbl>
      <w:tblPr>
        <w:tblOverlap w:val="never"/>
        <w:jc w:val="center"/>
        <w:tblLayout w:type="fixed"/>
      </w:tblPr>
      <w:tblGrid>
        <w:gridCol w:w="526"/>
        <w:gridCol w:w="5450"/>
        <w:gridCol w:w="1411"/>
        <w:gridCol w:w="1508"/>
        <w:gridCol w:w="806"/>
      </w:tblGrid>
      <w:tr>
        <w:trPr>
          <w:trHeight w:val="482" w:hRule="exact"/>
        </w:trPr>
        <w:tc>
          <w:tcPr>
            <w:gridSpan w:val="4"/>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Příloha </w:t>
            </w:r>
            <w:r>
              <w:rPr>
                <w:b/>
                <w:bCs/>
                <w:i/>
                <w:iCs/>
                <w:color w:val="000000"/>
                <w:spacing w:val="0"/>
                <w:w w:val="100"/>
                <w:position w:val="0"/>
                <w:sz w:val="16"/>
                <w:szCs w:val="16"/>
                <w:shd w:val="clear" w:color="auto" w:fill="auto"/>
                <w:lang w:val="cs-CZ" w:eastAsia="cs-CZ" w:bidi="cs-CZ"/>
              </w:rPr>
              <w:t>t.</w:t>
            </w:r>
            <w:r>
              <w:rPr>
                <w:color w:val="000000"/>
                <w:spacing w:val="0"/>
                <w:w w:val="100"/>
                <w:position w:val="0"/>
                <w:sz w:val="16"/>
                <w:szCs w:val="16"/>
                <w:shd w:val="clear" w:color="auto" w:fill="auto"/>
                <w:lang w:val="cs-CZ" w:eastAsia="cs-CZ" w:bidi="cs-CZ"/>
              </w:rPr>
              <w:t xml:space="preserve"> 1 - 74/2019/1'DS/D2/POP/HB/S1</w:t>
            </w:r>
          </w:p>
        </w:tc>
        <w:tc>
          <w:tcPr>
            <w:vMerge w:val="restart"/>
            <w:tcBorders>
              <w:left w:val="single" w:sz="4"/>
            </w:tcBorders>
            <w:shd w:val="clear" w:color="auto" w:fill="FFFFFF"/>
            <w:vAlign w:val="top"/>
          </w:tcPr>
          <w:p>
            <w:pPr>
              <w:widowControl w:val="0"/>
              <w:rPr>
                <w:sz w:val="10"/>
                <w:szCs w:val="10"/>
              </w:rPr>
            </w:pPr>
          </w:p>
        </w:tc>
      </w:tr>
      <w:tr>
        <w:trPr>
          <w:trHeight w:val="493" w:hRule="exact"/>
        </w:trPr>
        <w:tc>
          <w:tcPr>
            <w:gridSpan w:val="4"/>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TDS</w:t>
            </w:r>
          </w:p>
        </w:tc>
        <w:tc>
          <w:tcPr>
            <w:vMerge/>
            <w:tcBorders>
              <w:left w:val="single" w:sz="4"/>
            </w:tcBorders>
            <w:shd w:val="clear" w:color="auto" w:fill="FFFFFF"/>
            <w:vAlign w:val="top"/>
          </w:tcPr>
          <w:p>
            <w:pPr/>
          </w:p>
        </w:tc>
      </w:tr>
      <w:tr>
        <w:trPr>
          <w:trHeight w:val="346" w:hRule="exact"/>
        </w:trPr>
        <w:tc>
          <w:tcPr>
            <w:gridSpan w:val="4"/>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 akce: "11/348 Chyška - most ev. Č. 348-006"</w:t>
            </w:r>
          </w:p>
        </w:tc>
        <w:tc>
          <w:tcPr>
            <w:tcBorders>
              <w:left w:val="single" w:sz="4"/>
            </w:tcBorders>
            <w:shd w:val="clear" w:color="auto" w:fill="FFFFFF"/>
            <w:vAlign w:val="top"/>
          </w:tcPr>
          <w:p>
            <w:pPr>
              <w:widowControl w:val="0"/>
              <w:rPr>
                <w:sz w:val="10"/>
                <w:szCs w:val="10"/>
              </w:rPr>
            </w:pPr>
          </w:p>
        </w:tc>
      </w:tr>
      <w:tr>
        <w:trPr>
          <w:trHeight w:val="306" w:hRule="exact"/>
        </w:trPr>
        <w:tc>
          <w:tcPr>
            <w:vMerge w:val="restart"/>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Poph prací</w:t>
            </w:r>
          </w:p>
        </w:tc>
        <w:tc>
          <w:tcPr>
            <w:gridSpan w:val="2"/>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v Kí bez DPH</w:t>
            </w:r>
          </w:p>
        </w:tc>
        <w:tc>
          <w:tcPr>
            <w:tcBorders>
              <w:left w:val="single" w:sz="4"/>
            </w:tcBorders>
            <w:shd w:val="clear" w:color="auto" w:fill="FFFFFF"/>
            <w:vAlign w:val="top"/>
          </w:tcPr>
          <w:p>
            <w:pPr>
              <w:widowControl w:val="0"/>
              <w:rPr>
                <w:sz w:val="10"/>
                <w:szCs w:val="10"/>
              </w:rPr>
            </w:pPr>
          </w:p>
        </w:tc>
      </w:tr>
      <w:tr>
        <w:trPr>
          <w:trHeight w:val="338"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b/>
                <w:bCs/>
                <w:i/>
                <w:i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w:t>
            </w:r>
          </w:p>
        </w:tc>
        <w:tc>
          <w:tcPr>
            <w:tcBorders>
              <w:left w:val="single" w:sz="4"/>
            </w:tcBorders>
            <w:shd w:val="clear" w:color="auto" w:fill="FFFFFF"/>
            <w:vAlign w:val="top"/>
          </w:tcPr>
          <w:p>
            <w:pPr>
              <w:widowControl w:val="0"/>
              <w:rPr>
                <w:sz w:val="10"/>
                <w:szCs w:val="10"/>
              </w:rPr>
            </w:pPr>
          </w:p>
        </w:tc>
      </w:tr>
      <w:tr>
        <w:trPr>
          <w:trHeight w:val="421" w:hRule="exact"/>
        </w:trPr>
        <w:tc>
          <w:tcPr>
            <w:gridSpan w:val="4"/>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Výkon TDS - práce před zahájením a po dokouření stavby</w:t>
            </w:r>
          </w:p>
        </w:tc>
        <w:tc>
          <w:tcPr>
            <w:tcBorders>
              <w:left w:val="single" w:sz="4"/>
            </w:tcBorders>
            <w:shd w:val="clear" w:color="auto" w:fill="FFFFFF"/>
            <w:vAlign w:val="top"/>
          </w:tcPr>
          <w:p>
            <w:pPr>
              <w:widowControl w:val="0"/>
              <w:rPr>
                <w:sz w:val="10"/>
                <w:szCs w:val="10"/>
              </w:rPr>
            </w:pPr>
          </w:p>
        </w:tc>
      </w:tr>
      <w:tr>
        <w:trPr>
          <w:trHeight w:val="68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20"/>
              <w:jc w:val="both"/>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22"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za práci před zahájením stavby</w:t>
            </w:r>
          </w:p>
          <w:p>
            <w:pPr>
              <w:pStyle w:val="Style6"/>
              <w:keepNext w:val="0"/>
              <w:keepLines w:val="0"/>
              <w:widowControl w:val="0"/>
              <w:shd w:val="clear" w:color="auto" w:fill="auto"/>
              <w:bidi w:val="0"/>
              <w:spacing w:before="0" w:after="0" w:line="283"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TDS za práce spojené se zahájením stavby, dle specifikace</w:t>
            </w:r>
            <w:r>
              <w:rPr>
                <w:rFonts w:ascii="Arial" w:eastAsia="Arial" w:hAnsi="Arial" w:cs="Arial"/>
                <w:b/>
                <w:bCs/>
                <w:color w:val="000000"/>
                <w:spacing w:val="0"/>
                <w:w w:val="100"/>
                <w:position w:val="0"/>
                <w:sz w:val="14"/>
                <w:szCs w:val="14"/>
                <w:shd w:val="clear" w:color="auto" w:fill="auto"/>
                <w:lang w:val="cs-CZ" w:eastAsia="cs-CZ" w:bidi="cs-CZ"/>
              </w:rPr>
              <w:t xml:space="preserve"> v </w:t>
            </w:r>
            <w:r>
              <w:rPr>
                <w:b/>
                <w:bCs/>
                <w:i/>
                <w:iCs/>
                <w:color w:val="000000"/>
                <w:spacing w:val="0"/>
                <w:w w:val="100"/>
                <w:position w:val="0"/>
                <w:sz w:val="16"/>
                <w:szCs w:val="16"/>
                <w:shd w:val="clear" w:color="auto" w:fill="auto"/>
                <w:lang w:val="cs-CZ" w:eastAsia="cs-CZ" w:bidi="cs-CZ"/>
              </w:rPr>
              <w:t>čl. 3.1 Smlouvy.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cs-CZ" w:eastAsia="cs-CZ" w:bidi="cs-CZ"/>
              </w:rPr>
              <w:t>15 000,00 Kč</w:t>
            </w:r>
          </w:p>
        </w:tc>
        <w:tc>
          <w:tcPr>
            <w:tcBorders>
              <w:left w:val="single" w:sz="4"/>
            </w:tcBorders>
            <w:shd w:val="clear" w:color="auto" w:fill="FFFFFF"/>
            <w:vAlign w:val="top"/>
          </w:tcPr>
          <w:p>
            <w:pPr>
              <w:widowControl w:val="0"/>
              <w:rPr>
                <w:sz w:val="10"/>
                <w:szCs w:val="10"/>
              </w:rPr>
            </w:pPr>
          </w:p>
        </w:tc>
      </w:tr>
      <w:tr>
        <w:trPr>
          <w:trHeight w:val="695"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317"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Cena za práci po dokončení stavby</w:t>
            </w:r>
          </w:p>
          <w:p>
            <w:pPr>
              <w:pStyle w:val="Style6"/>
              <w:keepNext w:val="0"/>
              <w:keepLines w:val="0"/>
              <w:widowControl w:val="0"/>
              <w:shd w:val="clear" w:color="auto" w:fill="auto"/>
              <w:bidi w:val="0"/>
              <w:spacing w:before="0" w:after="0" w:line="276"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TDS za práce spojené s dokončením stavby, dle specifikace v Čl. 3.3. Smlouvy.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cs-CZ" w:eastAsia="cs-CZ" w:bidi="cs-CZ"/>
              </w:rPr>
              <w:t>15 000,00 Kč</w:t>
            </w:r>
          </w:p>
        </w:tc>
        <w:tc>
          <w:tcPr>
            <w:tcBorders>
              <w:left w:val="single" w:sz="4"/>
            </w:tcBorders>
            <w:shd w:val="clear" w:color="auto" w:fill="FFFFFF"/>
            <w:vAlign w:val="top"/>
          </w:tcPr>
          <w:p>
            <w:pPr>
              <w:widowControl w:val="0"/>
              <w:rPr>
                <w:sz w:val="10"/>
                <w:szCs w:val="10"/>
              </w:rPr>
            </w:pPr>
          </w:p>
        </w:tc>
      </w:tr>
      <w:tr>
        <w:trPr>
          <w:trHeight w:val="468" w:hRule="exact"/>
        </w:trPr>
        <w:tc>
          <w:tcPr>
            <w:gridSpan w:val="2"/>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A. Cena za výkon TDS před zahájením a po dokončení stavby celkem</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40"/>
              <w:jc w:val="both"/>
              <w:rPr>
                <w:sz w:val="16"/>
                <w:szCs w:val="16"/>
              </w:rPr>
            </w:pPr>
            <w:r>
              <w:rPr>
                <w:b/>
                <w:bCs/>
                <w:color w:val="000000"/>
                <w:spacing w:val="0"/>
                <w:w w:val="100"/>
                <w:position w:val="0"/>
                <w:sz w:val="16"/>
                <w:szCs w:val="16"/>
                <w:shd w:val="clear" w:color="auto" w:fill="auto"/>
                <w:lang w:val="cs-CZ" w:eastAsia="cs-CZ" w:bidi="cs-CZ"/>
              </w:rPr>
              <w:t>30 000,00 KČ</w:t>
            </w:r>
          </w:p>
        </w:tc>
        <w:tc>
          <w:tcPr>
            <w:tcBorders>
              <w:left w:val="single" w:sz="4"/>
            </w:tcBorders>
            <w:shd w:val="clear" w:color="auto" w:fill="FFFFFF"/>
            <w:vAlign w:val="top"/>
          </w:tcPr>
          <w:p>
            <w:pPr>
              <w:widowControl w:val="0"/>
              <w:rPr>
                <w:sz w:val="10"/>
                <w:szCs w:val="10"/>
              </w:rPr>
            </w:pPr>
          </w:p>
        </w:tc>
      </w:tr>
      <w:tr>
        <w:trPr>
          <w:trHeight w:val="706" w:hRule="exact"/>
        </w:trPr>
        <w:tc>
          <w:tcPr>
            <w:gridSpan w:val="2"/>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9"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TDS - práce spojení a prováděním stavby</w:t>
            </w:r>
          </w:p>
          <w:p>
            <w:pPr>
              <w:pStyle w:val="Style6"/>
              <w:keepNext w:val="0"/>
              <w:keepLines w:val="0"/>
              <w:widowControl w:val="0"/>
              <w:shd w:val="clear" w:color="auto" w:fill="auto"/>
              <w:bidi w:val="0"/>
              <w:spacing w:before="0" w:after="0" w:line="269"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TDS za práce spojené s prováděním stavby, dle specifikace</w:t>
            </w:r>
            <w:r>
              <w:rPr>
                <w:color w:val="000000"/>
                <w:spacing w:val="0"/>
                <w:w w:val="100"/>
                <w:position w:val="0"/>
                <w:sz w:val="16"/>
                <w:szCs w:val="16"/>
                <w:shd w:val="clear" w:color="auto" w:fill="auto"/>
                <w:lang w:val="cs-CZ" w:eastAsia="cs-CZ" w:bidi="cs-CZ"/>
              </w:rPr>
              <w:t xml:space="preserve"> v </w:t>
            </w:r>
            <w:r>
              <w:rPr>
                <w:b/>
                <w:bCs/>
                <w:i/>
                <w:iCs/>
                <w:color w:val="000000"/>
                <w:spacing w:val="0"/>
                <w:w w:val="100"/>
                <w:position w:val="0"/>
                <w:sz w:val="16"/>
                <w:szCs w:val="16"/>
                <w:shd w:val="clear" w:color="auto" w:fill="auto"/>
                <w:lang w:val="cs-CZ" w:eastAsia="cs-CZ" w:bidi="cs-CZ"/>
              </w:rPr>
              <w:t>čí 3.2 Smlouvy.</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69"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za 1 hodinu (60 minut)</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celkem za 10 hodin</w:t>
            </w:r>
          </w:p>
          <w:p>
            <w:pPr>
              <w:pStyle w:val="Style6"/>
              <w:keepNext w:val="0"/>
              <w:keepLines w:val="0"/>
              <w:widowControl w:val="0"/>
              <w:shd w:val="clear" w:color="auto" w:fill="auto"/>
              <w:bidi w:val="0"/>
              <w:spacing w:before="0" w:after="0" w:line="206" w:lineRule="auto"/>
              <w:ind w:left="0" w:right="0" w:firstLine="0"/>
              <w:jc w:val="center"/>
              <w:rPr>
                <w:sz w:val="16"/>
                <w:szCs w:val="16"/>
              </w:rPr>
            </w:pPr>
            <w:r>
              <w:rPr>
                <w:color w:val="000000"/>
                <w:spacing w:val="0"/>
                <w:w w:val="100"/>
                <w:position w:val="0"/>
                <w:sz w:val="16"/>
                <w:szCs w:val="16"/>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r>
      <w:tr>
        <w:trPr>
          <w:trHeight w:val="788"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Práce spojené s výkonem TDS v kanceláři</w:t>
            </w:r>
          </w:p>
          <w:p>
            <w:pPr>
              <w:pStyle w:val="Style6"/>
              <w:keepNext w:val="0"/>
              <w:keepLines w:val="0"/>
              <w:widowControl w:val="0"/>
              <w:numPr>
                <w:ilvl w:val="0"/>
                <w:numId w:val="19"/>
              </w:numPr>
              <w:shd w:val="clear" w:color="auto" w:fill="auto"/>
              <w:tabs>
                <w:tab w:pos="94" w:val="left"/>
              </w:tabs>
              <w:bidi w:val="0"/>
              <w:spacing w:before="0" w:after="4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předpokládané náklady bez nároku na cestové</w:t>
            </w:r>
          </w:p>
          <w:p>
            <w:pPr>
              <w:pStyle w:val="Style6"/>
              <w:keepNext w:val="0"/>
              <w:keepLines w:val="0"/>
              <w:widowControl w:val="0"/>
              <w:numPr>
                <w:ilvl w:val="0"/>
                <w:numId w:val="19"/>
              </w:numPr>
              <w:shd w:val="clear" w:color="auto" w:fill="auto"/>
              <w:tabs>
                <w:tab w:pos="101" w:val="left"/>
              </w:tabs>
              <w:bidi w:val="0"/>
              <w:spacing w:before="0" w:after="4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 předpokládaném rozsahu 10 hodin</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720,00 Kč</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7 200,00 Kč</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66" w:lineRule="auto"/>
              <w:ind w:left="0" w:right="0" w:firstLine="0"/>
              <w:jc w:val="both"/>
              <w:rPr>
                <w:sz w:val="15"/>
                <w:szCs w:val="15"/>
              </w:rPr>
            </w:pPr>
            <w:r>
              <w:rPr>
                <w:b/>
                <w:bCs/>
                <w:i/>
                <w:iCs/>
                <w:color w:val="000000"/>
                <w:spacing w:val="0"/>
                <w:w w:val="100"/>
                <w:position w:val="0"/>
                <w:sz w:val="15"/>
                <w:szCs w:val="15"/>
                <w:shd w:val="clear" w:color="auto" w:fill="auto"/>
                <w:lang w:val="cs-CZ" w:eastAsia="cs-CZ" w:bidi="cs-CZ"/>
              </w:rPr>
              <w:t>nepočítá automaticky</w:t>
            </w:r>
          </w:p>
        </w:tc>
      </w:tr>
      <w:tr>
        <w:trPr>
          <w:trHeight w:val="50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317"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Práce spojené s výkonem TDS na staveništi - předpokládané náklady vřetni cestovného</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celkem za 108 hodin</w:t>
            </w:r>
          </w:p>
          <w:p>
            <w:pPr>
              <w:pStyle w:val="Style6"/>
              <w:keepNext w:val="0"/>
              <w:keepLines w:val="0"/>
              <w:widowControl w:val="0"/>
              <w:shd w:val="clear" w:color="auto" w:fill="auto"/>
              <w:bidi w:val="0"/>
              <w:spacing w:before="0" w:after="0" w:line="211" w:lineRule="auto"/>
              <w:ind w:left="0" w:right="0" w:firstLine="0"/>
              <w:jc w:val="center"/>
              <w:rPr>
                <w:sz w:val="16"/>
                <w:szCs w:val="16"/>
              </w:rPr>
            </w:pPr>
            <w:r>
              <w:rPr>
                <w:color w:val="000000"/>
                <w:spacing w:val="0"/>
                <w:w w:val="100"/>
                <w:position w:val="0"/>
                <w:sz w:val="16"/>
                <w:szCs w:val="16"/>
                <w:shd w:val="clear" w:color="auto" w:fill="auto"/>
                <w:lang w:val="cs-CZ" w:eastAsia="cs-CZ" w:bidi="cs-CZ"/>
              </w:rPr>
              <w:t>*</w:t>
            </w:r>
          </w:p>
        </w:tc>
        <w:tc>
          <w:tcPr>
            <w:tcBorders>
              <w:left w:val="single" w:sz="4"/>
            </w:tcBorders>
            <w:shd w:val="clear" w:color="auto" w:fill="FFFFFF"/>
            <w:vAlign w:val="top"/>
          </w:tcPr>
          <w:p>
            <w:pPr>
              <w:widowControl w:val="0"/>
              <w:rPr>
                <w:sz w:val="10"/>
                <w:szCs w:val="10"/>
              </w:rPr>
            </w:pPr>
          </w:p>
        </w:tc>
      </w:tr>
      <w:tr>
        <w:trPr>
          <w:trHeight w:val="814" w:hRule="exact"/>
        </w:trPr>
        <w:tc>
          <w:tcPr>
            <w:tcBorders>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4.</w:t>
            </w:r>
          </w:p>
        </w:tc>
        <w:tc>
          <w:tcPr>
            <w:tcBorders>
              <w:left w:val="single" w:sz="4"/>
            </w:tcBorders>
            <w:shd w:val="clear" w:color="auto" w:fill="FFFFFF"/>
            <w:vAlign w:val="top"/>
          </w:tcPr>
          <w:p>
            <w:pPr>
              <w:pStyle w:val="Style6"/>
              <w:keepNext w:val="0"/>
              <w:keepLines w:val="0"/>
              <w:widowControl w:val="0"/>
              <w:shd w:val="clear" w:color="auto" w:fill="auto"/>
              <w:bidi w:val="0"/>
              <w:spacing w:before="0" w:after="0" w:line="276" w:lineRule="auto"/>
              <w:ind w:left="0" w:right="0" w:firstLine="0"/>
              <w:jc w:val="left"/>
              <w:rPr>
                <w:sz w:val="16"/>
                <w:szCs w:val="16"/>
              </w:rPr>
            </w:pPr>
            <w:r>
              <w:rPr>
                <w:rFonts w:ascii="Arial" w:eastAsia="Arial" w:hAnsi="Arial" w:cs="Arial"/>
                <w:b/>
                <w:bCs/>
                <w:color w:val="000000"/>
                <w:spacing w:val="0"/>
                <w:w w:val="100"/>
                <w:position w:val="0"/>
                <w:sz w:val="14"/>
                <w:szCs w:val="14"/>
                <w:shd w:val="clear" w:color="auto" w:fill="auto"/>
                <w:lang w:val="cs-CZ" w:eastAsia="cs-CZ" w:bidi="cs-CZ"/>
              </w:rPr>
              <w:t xml:space="preserve">- v předpokládaném rozsahu 2 návštěvy/týden á 3 hodiny, celkem 18 týdní </w:t>
            </w:r>
            <w:r>
              <w:rPr>
                <w:b/>
                <w:bCs/>
                <w:i/>
                <w:iCs/>
                <w:color w:val="000000"/>
                <w:spacing w:val="0"/>
                <w:w w:val="100"/>
                <w:position w:val="0"/>
                <w:sz w:val="16"/>
                <w:szCs w:val="16"/>
                <w:shd w:val="clear" w:color="auto" w:fill="auto"/>
                <w:lang w:val="cs-CZ" w:eastAsia="cs-CZ" w:bidi="cs-CZ"/>
              </w:rPr>
              <w:t>(vzorec pro výpočet hodin ' 2 návštěvy x 3 hod. výkonu TDS x 18 týdnů = 108 hodin výkonu TDS celkem )</w:t>
            </w:r>
          </w:p>
        </w:tc>
        <w:tc>
          <w:tcPr>
            <w:tcBorders>
              <w:left w:val="single" w:sz="4"/>
            </w:tcBorders>
            <w:shd w:val="clear" w:color="auto" w:fill="FFFFFF"/>
            <w:vAlign w:val="top"/>
          </w:tcPr>
          <w:p>
            <w:pPr>
              <w:pStyle w:val="Style6"/>
              <w:keepNext w:val="0"/>
              <w:keepLines w:val="0"/>
              <w:widowControl w:val="0"/>
              <w:shd w:val="clear" w:color="auto" w:fill="auto"/>
              <w:bidi w:val="0"/>
              <w:spacing w:before="8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770,00 Kč</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60"/>
              <w:jc w:val="both"/>
              <w:rPr>
                <w:sz w:val="16"/>
                <w:szCs w:val="16"/>
              </w:rPr>
            </w:pPr>
            <w:r>
              <w:rPr>
                <w:color w:val="000000"/>
                <w:spacing w:val="0"/>
                <w:w w:val="100"/>
                <w:position w:val="0"/>
                <w:sz w:val="16"/>
                <w:szCs w:val="16"/>
                <w:shd w:val="clear" w:color="auto" w:fill="auto"/>
                <w:lang w:val="cs-CZ" w:eastAsia="cs-CZ" w:bidi="cs-CZ"/>
              </w:rPr>
              <w:t>83 160,00 Kč</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69" w:lineRule="auto"/>
              <w:ind w:left="0" w:right="0" w:firstLine="0"/>
              <w:jc w:val="left"/>
              <w:rPr>
                <w:sz w:val="14"/>
                <w:szCs w:val="14"/>
              </w:rPr>
            </w:pPr>
            <w:r>
              <w:rPr>
                <w:b/>
                <w:bCs/>
                <w:i/>
                <w:iCs/>
                <w:color w:val="000000"/>
                <w:spacing w:val="0"/>
                <w:w w:val="100"/>
                <w:position w:val="0"/>
                <w:sz w:val="14"/>
                <w:szCs w:val="14"/>
                <w:shd w:val="clear" w:color="auto" w:fill="auto"/>
                <w:lang w:val="cs-CZ" w:eastAsia="cs-CZ" w:bidi="cs-CZ"/>
              </w:rPr>
              <w:t>nepočítá automaticky</w:t>
            </w:r>
          </w:p>
        </w:tc>
      </w:tr>
      <w:tr>
        <w:trPr>
          <w:trHeight w:val="461" w:hRule="exact"/>
        </w:trPr>
        <w:tc>
          <w:tcPr>
            <w:gridSpan w:val="2"/>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 Cena za výkon TDS pří prováděni stavby celkem</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40"/>
              <w:jc w:val="both"/>
              <w:rPr>
                <w:sz w:val="16"/>
                <w:szCs w:val="16"/>
              </w:rPr>
            </w:pPr>
            <w:r>
              <w:rPr>
                <w:b/>
                <w:bCs/>
                <w:color w:val="000000"/>
                <w:spacing w:val="0"/>
                <w:w w:val="100"/>
                <w:position w:val="0"/>
                <w:sz w:val="16"/>
                <w:szCs w:val="16"/>
                <w:shd w:val="clear" w:color="auto" w:fill="auto"/>
                <w:lang w:val="cs-CZ" w:eastAsia="cs-CZ" w:bidi="cs-CZ"/>
              </w:rPr>
              <w:t>90 360,00 Kč</w:t>
            </w:r>
          </w:p>
        </w:tc>
        <w:tc>
          <w:tcPr>
            <w:tcBorders>
              <w:left w:val="single" w:sz="4"/>
            </w:tcBorders>
            <w:shd w:val="clear" w:color="auto" w:fill="FFFFFF"/>
            <w:vAlign w:val="top"/>
          </w:tcPr>
          <w:p>
            <w:pPr>
              <w:widowControl w:val="0"/>
              <w:rPr>
                <w:sz w:val="10"/>
                <w:szCs w:val="10"/>
              </w:rPr>
            </w:pPr>
          </w:p>
        </w:tc>
      </w:tr>
      <w:tr>
        <w:trPr>
          <w:trHeight w:val="464" w:hRule="exact"/>
        </w:trPr>
        <w:tc>
          <w:tcPr>
            <w:gridSpan w:val="2"/>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460"/>
              <w:jc w:val="both"/>
              <w:rPr>
                <w:sz w:val="16"/>
                <w:szCs w:val="16"/>
              </w:rPr>
            </w:pPr>
            <w:r>
              <w:rPr>
                <w:b/>
                <w:bCs/>
                <w:color w:val="000000"/>
                <w:spacing w:val="0"/>
                <w:w w:val="100"/>
                <w:position w:val="0"/>
                <w:sz w:val="16"/>
                <w:szCs w:val="16"/>
                <w:shd w:val="clear" w:color="auto" w:fill="auto"/>
                <w:lang w:val="cs-CZ" w:eastAsia="cs-CZ" w:bidi="cs-CZ"/>
              </w:rPr>
              <w:t>120 360,00 Kč</w:t>
            </w:r>
          </w:p>
        </w:tc>
        <w:tc>
          <w:tcPr>
            <w:tcBorders>
              <w:left w:val="single" w:sz="4"/>
            </w:tcBorders>
            <w:shd w:val="clear" w:color="auto" w:fill="FFFFFF"/>
            <w:vAlign w:val="top"/>
          </w:tcPr>
          <w:p>
            <w:pPr>
              <w:widowControl w:val="0"/>
              <w:rPr>
                <w:sz w:val="10"/>
                <w:szCs w:val="10"/>
              </w:rPr>
            </w:pPr>
          </w:p>
        </w:tc>
      </w:tr>
      <w:tr>
        <w:trPr>
          <w:trHeight w:val="436" w:hRule="exact"/>
        </w:trPr>
        <w:tc>
          <w:tcPr>
            <w:gridSpan w:val="2"/>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 xml:space="preserve">DPH </w:t>
            </w:r>
            <w:r>
              <w:rPr>
                <w:b/>
                <w:bCs/>
                <w:i/>
                <w:iCs/>
                <w:color w:val="000000"/>
                <w:spacing w:val="0"/>
                <w:w w:val="100"/>
                <w:position w:val="0"/>
                <w:sz w:val="16"/>
                <w:szCs w:val="16"/>
                <w:shd w:val="clear" w:color="auto" w:fill="auto"/>
                <w:lang w:val="cs-CZ" w:eastAsia="cs-CZ" w:bidi="cs-CZ"/>
              </w:rPr>
              <w:t>21 %</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40"/>
              <w:jc w:val="both"/>
              <w:rPr>
                <w:sz w:val="16"/>
                <w:szCs w:val="16"/>
              </w:rPr>
            </w:pPr>
            <w:r>
              <w:rPr>
                <w:b/>
                <w:bCs/>
                <w:i/>
                <w:iCs/>
                <w:color w:val="000000"/>
                <w:spacing w:val="0"/>
                <w:w w:val="100"/>
                <w:position w:val="0"/>
                <w:sz w:val="16"/>
                <w:szCs w:val="16"/>
                <w:shd w:val="clear" w:color="auto" w:fill="auto"/>
                <w:lang w:val="cs-CZ" w:eastAsia="cs-CZ" w:bidi="cs-CZ"/>
              </w:rPr>
              <w:t>25</w:t>
            </w:r>
            <w:r>
              <w:rPr>
                <w:b/>
                <w:bCs/>
                <w:color w:val="000000"/>
                <w:spacing w:val="0"/>
                <w:w w:val="100"/>
                <w:position w:val="0"/>
                <w:sz w:val="16"/>
                <w:szCs w:val="16"/>
                <w:shd w:val="clear" w:color="auto" w:fill="auto"/>
                <w:lang w:val="cs-CZ" w:eastAsia="cs-CZ" w:bidi="cs-CZ"/>
              </w:rPr>
              <w:t xml:space="preserve"> 275,60 Kč</w:t>
            </w:r>
          </w:p>
        </w:tc>
        <w:tc>
          <w:tcPr>
            <w:tcBorders>
              <w:left w:val="single" w:sz="4"/>
            </w:tcBorders>
            <w:shd w:val="clear" w:color="auto" w:fill="FFFFFF"/>
            <w:vAlign w:val="top"/>
          </w:tcPr>
          <w:p>
            <w:pPr>
              <w:pStyle w:val="Style6"/>
              <w:keepNext w:val="0"/>
              <w:keepLines w:val="0"/>
              <w:widowControl w:val="0"/>
              <w:shd w:val="clear" w:color="auto" w:fill="auto"/>
              <w:bidi w:val="0"/>
              <w:spacing w:before="0" w:after="0" w:line="276" w:lineRule="auto"/>
              <w:ind w:left="0" w:right="0" w:firstLine="0"/>
              <w:jc w:val="both"/>
              <w:rPr>
                <w:sz w:val="15"/>
                <w:szCs w:val="15"/>
              </w:rPr>
            </w:pPr>
            <w:r>
              <w:rPr>
                <w:b/>
                <w:bCs/>
                <w:i/>
                <w:iCs/>
                <w:color w:val="000000"/>
                <w:spacing w:val="0"/>
                <w:w w:val="100"/>
                <w:position w:val="0"/>
                <w:sz w:val="15"/>
                <w:szCs w:val="15"/>
                <w:shd w:val="clear" w:color="auto" w:fill="auto"/>
                <w:lang w:val="cs-CZ" w:eastAsia="cs-CZ" w:bidi="cs-CZ"/>
              </w:rPr>
              <w:t>nepočítá automaticky</w:t>
            </w:r>
          </w:p>
        </w:tc>
      </w:tr>
      <w:tr>
        <w:trPr>
          <w:trHeight w:val="605" w:hRule="exact"/>
        </w:trPr>
        <w:tc>
          <w:tcPr>
            <w:gridSpan w:val="2"/>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520"/>
              <w:jc w:val="left"/>
              <w:rPr>
                <w:sz w:val="16"/>
                <w:szCs w:val="16"/>
              </w:rPr>
            </w:pPr>
            <w:r>
              <w:rPr>
                <w:b/>
                <w:bCs/>
                <w:color w:val="000000"/>
                <w:spacing w:val="0"/>
                <w:w w:val="100"/>
                <w:position w:val="0"/>
                <w:sz w:val="16"/>
                <w:szCs w:val="16"/>
                <w:shd w:val="clear" w:color="auto" w:fill="auto"/>
                <w:lang w:val="cs-CZ" w:eastAsia="cs-CZ" w:bidi="cs-CZ"/>
              </w:rPr>
              <w:t>CENA CELKEM VČETNĚ DPH</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460"/>
              <w:jc w:val="left"/>
              <w:rPr>
                <w:sz w:val="16"/>
                <w:szCs w:val="16"/>
              </w:rPr>
            </w:pPr>
            <w:r>
              <w:rPr>
                <w:b/>
                <w:bCs/>
                <w:color w:val="000000"/>
                <w:spacing w:val="0"/>
                <w:w w:val="100"/>
                <w:position w:val="0"/>
                <w:sz w:val="16"/>
                <w:szCs w:val="16"/>
                <w:shd w:val="clear" w:color="auto" w:fill="auto"/>
                <w:lang w:val="cs-CZ" w:eastAsia="cs-CZ" w:bidi="cs-CZ"/>
              </w:rPr>
              <w:t>145 635,60 Kč</w:t>
            </w:r>
          </w:p>
        </w:tc>
        <w:tc>
          <w:tcPr>
            <w:tcBorders>
              <w:left w:val="single" w:sz="4"/>
            </w:tcBorders>
            <w:shd w:val="clear" w:color="auto" w:fill="FFFFFF"/>
            <w:vAlign w:val="center"/>
          </w:tcPr>
          <w:p>
            <w:pPr>
              <w:pStyle w:val="Style6"/>
              <w:keepNext w:val="0"/>
              <w:keepLines w:val="0"/>
              <w:widowControl w:val="0"/>
              <w:shd w:val="clear" w:color="auto" w:fill="auto"/>
              <w:bidi w:val="0"/>
              <w:spacing w:before="0" w:after="0" w:line="262" w:lineRule="auto"/>
              <w:ind w:left="0" w:right="0" w:firstLine="0"/>
              <w:jc w:val="both"/>
              <w:rPr>
                <w:sz w:val="15"/>
                <w:szCs w:val="15"/>
              </w:rPr>
            </w:pPr>
            <w:r>
              <w:rPr>
                <w:b/>
                <w:bCs/>
                <w:i/>
                <w:iCs/>
                <w:color w:val="000000"/>
                <w:spacing w:val="0"/>
                <w:w w:val="100"/>
                <w:position w:val="0"/>
                <w:sz w:val="15"/>
                <w:szCs w:val="15"/>
                <w:shd w:val="clear" w:color="auto" w:fill="auto"/>
                <w:lang w:val="cs-CZ" w:eastAsia="cs-CZ" w:bidi="cs-CZ"/>
              </w:rPr>
              <w:t>nepočítá automaticky</w:t>
            </w:r>
          </w:p>
        </w:tc>
      </w:tr>
    </w:tbl>
    <w:p>
      <w:pPr>
        <w:pStyle w:val="Style9"/>
        <w:keepNext w:val="0"/>
        <w:keepLines w:val="0"/>
        <w:widowControl w:val="0"/>
        <w:shd w:val="clear" w:color="auto" w:fill="auto"/>
        <w:bidi w:val="0"/>
        <w:spacing w:before="0" w:after="0" w:line="240" w:lineRule="auto"/>
        <w:ind w:left="637" w:right="0" w:firstLine="0"/>
        <w:jc w:val="left"/>
        <w:rPr>
          <w:sz w:val="15"/>
          <w:szCs w:val="15"/>
        </w:rPr>
      </w:pPr>
      <w:r>
        <w:rPr>
          <w:b/>
          <w:bCs/>
          <w:i/>
          <w:iCs/>
          <w:color w:val="000000"/>
          <w:spacing w:val="0"/>
          <w:w w:val="100"/>
          <w:position w:val="0"/>
          <w:sz w:val="15"/>
          <w:szCs w:val="15"/>
          <w:shd w:val="clear" w:color="auto" w:fill="auto"/>
          <w:lang w:val="cs-CZ" w:eastAsia="cs-CZ" w:bidi="cs-CZ"/>
        </w:rPr>
        <w:t>Tabulka pro zpracování ceny plnění bude jako příloha nedílnou součásti Smlouvy o zajištěni výkonu TDS na staveništi</w:t>
      </w:r>
    </w:p>
    <w:p>
      <w:pPr>
        <w:widowControl w:val="0"/>
        <w:spacing w:after="279" w:line="1" w:lineRule="exact"/>
      </w:pPr>
    </w:p>
    <w:p>
      <w:pPr>
        <w:pStyle w:val="Style4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t -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bude uvedena ve Smlouvě o zajištěni výkonu TDS.</w:t>
      </w:r>
    </w:p>
    <w:p>
      <w:pPr>
        <w:pStyle w:val="Style4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2- </w:t>
      </w:r>
      <w:r>
        <w:rPr>
          <w:color w:val="000000"/>
          <w:spacing w:val="0"/>
          <w:w w:val="100"/>
          <w:position w:val="0"/>
          <w:u w:val="single"/>
          <w:shd w:val="clear" w:color="auto" w:fill="auto"/>
          <w:lang w:val="cs-CZ" w:eastAsia="cs-CZ" w:bidi="cs-CZ"/>
        </w:rPr>
        <w:t>Cena za práci po dokončení stavby</w:t>
      </w:r>
      <w:r>
        <w:rPr>
          <w:color w:val="000000"/>
          <w:spacing w:val="0"/>
          <w:w w:val="100"/>
          <w:position w:val="0"/>
          <w:shd w:val="clear" w:color="auto" w:fill="auto"/>
          <w:lang w:val="cs-CZ" w:eastAsia="cs-CZ" w:bidi="cs-CZ"/>
        </w:rPr>
        <w:t xml:space="preserve"> bude uvedena ve Stniouvč o zajištční výkonu TDS.</w:t>
      </w:r>
    </w:p>
    <w:p>
      <w:pPr>
        <w:pStyle w:val="Style48"/>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w:t>
      </w:r>
      <w:r>
        <w:rPr>
          <w:rFonts w:ascii="Arial" w:eastAsia="Arial" w:hAnsi="Arial" w:cs="Arial"/>
          <w:b w:val="0"/>
          <w:bCs w:val="0"/>
          <w:i w:val="0"/>
          <w:iCs w:val="0"/>
          <w:color w:val="000000"/>
          <w:spacing w:val="0"/>
          <w:w w:val="100"/>
          <w:position w:val="0"/>
          <w:sz w:val="14"/>
          <w:szCs w:val="14"/>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 při prováděni stavby v rozsahu l hodiny</w:t>
      </w:r>
      <w:r>
        <w:rPr>
          <w:color w:val="000000"/>
          <w:spacing w:val="0"/>
          <w:w w:val="100"/>
          <w:position w:val="0"/>
          <w:shd w:val="clear" w:color="auto" w:fill="auto"/>
          <w:lang w:val="cs-CZ" w:eastAsia="cs-CZ" w:bidi="cs-CZ"/>
        </w:rPr>
        <w:t xml:space="preserve"> bude uvedena ve Smlouvě o zajištění výkonu TDS a bude stoulit pro fakturaci výkonu TDS dle skutečnosti.</w:t>
      </w:r>
    </w:p>
    <w:p>
      <w:pPr>
        <w:pStyle w:val="Style48"/>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prácí na staveništi při provádění stavby</w:t>
      </w:r>
      <w:r>
        <w:rPr>
          <w:rFonts w:ascii="Arial" w:eastAsia="Arial" w:hAnsi="Arial" w:cs="Arial"/>
          <w:b w:val="0"/>
          <w:bCs w:val="0"/>
          <w:i w:val="0"/>
          <w:iCs w:val="0"/>
          <w:color w:val="000000"/>
          <w:spacing w:val="0"/>
          <w:w w:val="100"/>
          <w:position w:val="0"/>
          <w:sz w:val="14"/>
          <w:szCs w:val="14"/>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l hodiny</w:t>
      </w:r>
      <w:r>
        <w:rPr>
          <w:color w:val="000000"/>
          <w:spacing w:val="0"/>
          <w:w w:val="100"/>
          <w:position w:val="0"/>
          <w:shd w:val="clear" w:color="auto" w:fill="auto"/>
          <w:lang w:val="cs-CZ" w:eastAsia="cs-CZ" w:bidi="cs-CZ"/>
        </w:rPr>
        <w:t xml:space="preserve"> bude uvedena ve Smlouvě o zajištění výkonu TDS a bude stoulit pro faktu raci výkonu TDS dle doložené skutečnosti</w:t>
      </w:r>
    </w:p>
    <w:p>
      <w:pPr>
        <w:pStyle w:val="Style48"/>
        <w:keepNext w:val="0"/>
        <w:keepLines w:val="0"/>
        <w:widowControl w:val="0"/>
        <w:shd w:val="clear" w:color="auto" w:fill="auto"/>
        <w:bidi w:val="0"/>
        <w:spacing w:before="0" w:after="240" w:line="276" w:lineRule="auto"/>
        <w:ind w:left="0" w:right="0" w:firstLine="0"/>
        <w:jc w:val="left"/>
      </w:pPr>
      <w:r>
        <w:rPr>
          <w:color w:val="000000"/>
          <w:spacing w:val="0"/>
          <w:w w:val="100"/>
          <w:position w:val="0"/>
          <w:shd w:val="clear" w:color="auto" w:fill="auto"/>
          <w:lang w:val="cs-CZ" w:eastAsia="cs-CZ" w:bidi="cs-CZ"/>
        </w:rPr>
        <w:t>* Cena za práci na staveništi při provádění stavby (pol. č. 3ač. 4) v celkovém předpokládaném rozsahu 10 hodin v kanceláří a 108 hodin na staveništi je uvedena pouze pro rovnocenné hodnoceni podaných nabídek Ve Smlouvě o zajištění výkonu TDS uvedena nebude.</w:t>
      </w:r>
    </w:p>
    <w:p>
      <w:pPr>
        <w:pStyle w:val="Style48"/>
        <w:keepNext w:val="0"/>
        <w:keepLines w:val="0"/>
        <w:widowControl w:val="0"/>
        <w:shd w:val="clear" w:color="auto" w:fill="auto"/>
        <w:bidi w:val="0"/>
        <w:spacing w:before="0" w:after="80"/>
        <w:ind w:left="0" w:right="0" w:firstLine="0"/>
        <w:jc w:val="left"/>
        <w:sectPr>
          <w:footerReference w:type="default" r:id="rId8"/>
          <w:footnotePr>
            <w:pos w:val="pageBottom"/>
            <w:numFmt w:val="decimal"/>
            <w:numRestart w:val="continuous"/>
          </w:footnotePr>
          <w:pgSz w:w="11900" w:h="16840"/>
          <w:pgMar w:top="297" w:left="1040" w:right="376" w:bottom="1986" w:header="0" w:footer="3" w:gutter="0"/>
          <w:cols w:space="720"/>
          <w:noEndnote/>
          <w:rtlGutter w:val="0"/>
          <w:docGrid w:linePitch="360"/>
        </w:sectPr>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bude použita k hodnoceni podaných nabídek, ve Smlouvě o zajištěni výkonu 7</w:t>
      </w:r>
    </w:p>
    <w:p>
      <w:pPr>
        <w:pStyle w:val="Style54"/>
        <w:keepNext/>
        <w:keepLines/>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IBR</w:t>
      </w:r>
      <w:bookmarkEnd w:id="30"/>
      <w:bookmarkEnd w:id="31"/>
    </w:p>
    <w:p>
      <w:pPr>
        <w:pStyle w:val="Style26"/>
        <w:keepNext/>
        <w:keepLines/>
        <w:widowControl w:val="0"/>
        <w:shd w:val="clear" w:color="auto" w:fill="auto"/>
        <w:bidi w:val="0"/>
        <w:spacing w:before="0" w:after="2460" w:line="214"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CONSULTING</w:t>
      </w:r>
      <w:bookmarkEnd w:id="32"/>
      <w:bookmarkEnd w:id="33"/>
    </w:p>
    <w:p>
      <w:pPr>
        <w:pStyle w:val="Style6"/>
        <w:keepNext w:val="0"/>
        <w:keepLines w:val="0"/>
        <w:widowControl w:val="0"/>
        <w:shd w:val="clear" w:color="auto" w:fill="auto"/>
        <w:bidi w:val="0"/>
        <w:spacing w:before="0" w:after="740" w:line="240" w:lineRule="auto"/>
        <w:ind w:left="4520" w:right="0" w:firstLine="0"/>
        <w:jc w:val="left"/>
        <w:rPr>
          <w:sz w:val="18"/>
          <w:szCs w:val="18"/>
        </w:rPr>
      </w:pPr>
      <w:r>
        <w:rPr>
          <w:rFonts w:ascii="Arial" w:eastAsia="Arial" w:hAnsi="Arial" w:cs="Arial"/>
          <w:b/>
          <w:bCs/>
          <w:color w:val="000000"/>
          <w:spacing w:val="0"/>
          <w:w w:val="100"/>
          <w:position w:val="0"/>
          <w:sz w:val="18"/>
          <w:szCs w:val="18"/>
          <w:u w:val="single"/>
          <w:shd w:val="clear" w:color="auto" w:fill="auto"/>
          <w:lang w:val="cs-CZ" w:eastAsia="cs-CZ" w:bidi="cs-CZ"/>
        </w:rPr>
        <w:t>PLNÁ MOC</w:t>
      </w:r>
    </w:p>
    <w:p>
      <w:pPr>
        <w:pStyle w:val="Style52"/>
        <w:keepNext w:val="0"/>
        <w:keepLines w:val="0"/>
        <w:widowControl w:val="0"/>
        <w:shd w:val="clear" w:color="auto" w:fill="auto"/>
        <w:tabs>
          <w:tab w:pos="5883" w:val="left"/>
          <w:tab w:pos="7784" w:val="left"/>
        </w:tabs>
        <w:bidi w:val="0"/>
        <w:spacing w:before="0" w:after="0"/>
        <w:ind w:left="0" w:right="0"/>
        <w:jc w:val="left"/>
      </w:pPr>
      <w:r>
        <w:rPr>
          <w:color w:val="000000"/>
          <w:spacing w:val="0"/>
          <w:w w:val="100"/>
          <w:position w:val="0"/>
          <w:shd w:val="clear" w:color="auto" w:fill="auto"/>
          <w:lang w:val="cs-CZ" w:eastAsia="cs-CZ" w:bidi="cs-CZ"/>
        </w:rPr>
        <w:t>Tímto zplnomocňuji níže podepsanéhc</w:t>
        <w:tab/>
        <w:t>rod. č</w:t>
        <w:tab/>
        <w:t>bytem</w:t>
      </w:r>
    </w:p>
    <w:p>
      <w:pPr>
        <w:pStyle w:val="Style52"/>
        <w:keepNext w:val="0"/>
        <w:keepLines w:val="0"/>
        <w:widowControl w:val="0"/>
        <w:shd w:val="clear" w:color="auto" w:fill="auto"/>
        <w:bidi w:val="0"/>
        <w:spacing w:before="0"/>
        <w:ind w:right="0" w:firstLine="2560"/>
        <w:jc w:val="left"/>
      </w:pPr>
      <w:r>
        <w:rPr>
          <w:color w:val="000000"/>
          <w:spacing w:val="0"/>
          <w:w w:val="100"/>
          <w:position w:val="0"/>
          <w:shd w:val="clear" w:color="auto" w:fill="auto"/>
          <w:lang w:val="cs-CZ" w:eastAsia="cs-CZ" w:bidi="cs-CZ"/>
        </w:rPr>
        <w:t>aby jménem společnosti IBR Consulting, s. r. o., IČ 25023446, podával nabídky a uzavíral smlouvy společnosti IBR Consulting, s. r. o. do výše plnění 2.000.000,- Kč</w:t>
      </w:r>
    </w:p>
    <w:p>
      <w:pPr>
        <w:pStyle w:val="Style52"/>
        <w:keepNext w:val="0"/>
        <w:keepLines w:val="0"/>
        <w:widowControl w:val="0"/>
        <w:shd w:val="clear" w:color="auto" w:fill="auto"/>
        <w:bidi w:val="0"/>
        <w:spacing w:before="0" w:after="660"/>
        <w:ind w:left="0" w:right="0"/>
        <w:jc w:val="left"/>
      </w:pPr>
      <w:r>
        <w:rPr>
          <w:color w:val="000000"/>
          <w:spacing w:val="0"/>
          <w:w w:val="100"/>
          <w:position w:val="0"/>
          <w:shd w:val="clear" w:color="auto" w:fill="auto"/>
          <w:lang w:val="cs-CZ" w:eastAsia="cs-CZ" w:bidi="cs-CZ"/>
        </w:rPr>
        <w:t>Platnost této smlouvy je určena na dobu určitou od 1.1.2019 do 31.12.2019</w:t>
      </w:r>
    </w:p>
    <w:p>
      <w:pPr>
        <w:pStyle w:val="Style52"/>
        <w:keepNext w:val="0"/>
        <w:keepLines w:val="0"/>
        <w:widowControl w:val="0"/>
        <w:shd w:val="clear" w:color="auto" w:fill="auto"/>
        <w:bidi w:val="0"/>
        <w:spacing w:before="0" w:after="660"/>
        <w:ind w:left="0" w:right="0"/>
        <w:jc w:val="left"/>
      </w:pPr>
      <w:r>
        <mc:AlternateContent>
          <mc:Choice Requires="wps">
            <w:drawing>
              <wp:anchor distT="0" distB="0" distL="114300" distR="114300" simplePos="0" relativeHeight="125829403" behindDoc="0" locked="0" layoutInCell="1" allowOverlap="1">
                <wp:simplePos x="0" y="0"/>
                <wp:positionH relativeFrom="page">
                  <wp:posOffset>1320800</wp:posOffset>
                </wp:positionH>
                <wp:positionV relativeFrom="paragraph">
                  <wp:posOffset>558800</wp:posOffset>
                </wp:positionV>
                <wp:extent cx="1551940" cy="274320"/>
                <wp:wrapSquare wrapText="right"/>
                <wp:docPr id="48" name="Shape 48"/>
                <a:graphic xmlns:a="http://schemas.openxmlformats.org/drawingml/2006/main">
                  <a:graphicData uri="http://schemas.microsoft.com/office/word/2010/wordprocessingShape">
                    <wps:wsp>
                      <wps:cNvSpPr txBox="1"/>
                      <wps:spPr>
                        <a:xfrm>
                          <a:ext cx="1551940" cy="274320"/>
                        </a:xfrm>
                        <a:prstGeom prst="rect"/>
                        <a:noFill/>
                      </wps:spPr>
                      <wps:txbx>
                        <w:txbxContent>
                          <w:p>
                            <w:pPr>
                              <w:pStyle w:val="Style52"/>
                              <w:keepNext w:val="0"/>
                              <w:keepLines w:val="0"/>
                              <w:widowControl w:val="0"/>
                              <w:shd w:val="clear" w:color="auto" w:fill="auto"/>
                              <w:tabs>
                                <w:tab w:pos="1991"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t>A .</w:t>
                            </w:r>
                          </w:p>
                        </w:txbxContent>
                      </wps:txbx>
                      <wps:bodyPr wrap="none" lIns="0" tIns="0" rIns="0" bIns="0">
                        <a:noAutoFit/>
                      </wps:bodyPr>
                    </wps:wsp>
                  </a:graphicData>
                </a:graphic>
              </wp:anchor>
            </w:drawing>
          </mc:Choice>
          <mc:Fallback>
            <w:pict>
              <v:shape id="_x0000_s1074" type="#_x0000_t202" style="position:absolute;margin-left:104.pt;margin-top:44.pt;width:122.2pt;height:21.600000000000001pt;z-index:-125829350;mso-wrap-distance-left:9.pt;mso-wrap-distance-right:9.pt;mso-position-horizontal-relative:page" filled="f" stroked="f">
                <v:textbox inset="0,0,0,0">
                  <w:txbxContent>
                    <w:p>
                      <w:pPr>
                        <w:pStyle w:val="Style52"/>
                        <w:keepNext w:val="0"/>
                        <w:keepLines w:val="0"/>
                        <w:widowControl w:val="0"/>
                        <w:shd w:val="clear" w:color="auto" w:fill="auto"/>
                        <w:tabs>
                          <w:tab w:pos="1991"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Praze dne</w:t>
                        <w:tab/>
                        <w:t>A .</w:t>
                      </w:r>
                    </w:p>
                  </w:txbxContent>
                </v:textbox>
                <w10:wrap type="square" side="right" anchorx="page"/>
              </v:shape>
            </w:pict>
          </mc:Fallback>
        </mc:AlternateContent>
      </w:r>
      <w:r>
        <w:rPr>
          <w:color w:val="000000"/>
          <w:spacing w:val="0"/>
          <w:w w:val="100"/>
          <w:position w:val="0"/>
          <w:shd w:val="clear" w:color="auto" w:fill="auto"/>
          <w:lang w:val="cs-CZ" w:eastAsia="cs-CZ" w:bidi="cs-CZ"/>
        </w:rPr>
        <w:t>Tuto plnou moc uděluji jako statutární zástupce - jednatel.</w:t>
      </w:r>
    </w:p>
    <w:p>
      <w:pPr>
        <w:pStyle w:val="Style52"/>
        <w:keepNext w:val="0"/>
        <w:keepLines w:val="0"/>
        <w:widowControl w:val="0"/>
        <w:shd w:val="clear" w:color="auto" w:fill="auto"/>
        <w:bidi w:val="0"/>
        <w:spacing w:before="0"/>
        <w:ind w:left="6600" w:right="0" w:hanging="3520"/>
        <w:jc w:val="left"/>
      </w:pPr>
      <w:r>
        <w:rPr>
          <w:color w:val="000000"/>
          <w:spacing w:val="0"/>
          <w:w w:val="100"/>
          <w:position w:val="0"/>
          <w:shd w:val="clear" w:color="auto" w:fill="auto"/>
          <w:lang w:val="cs-CZ" w:eastAsia="cs-CZ" w:bidi="cs-CZ"/>
        </w:rPr>
        <w:t>Ing. František Benč, Ph.D. jednatel společnosti</w:t>
      </w:r>
    </w:p>
    <w:p>
      <w:pPr>
        <w:pStyle w:val="Style52"/>
        <w:keepNext w:val="0"/>
        <w:keepLines w:val="0"/>
        <w:widowControl w:val="0"/>
        <w:shd w:val="clear" w:color="auto" w:fill="auto"/>
        <w:bidi w:val="0"/>
        <w:spacing w:before="0" w:after="1680"/>
        <w:ind w:left="6600" w:right="0" w:firstLine="0"/>
        <w:jc w:val="left"/>
      </w:pPr>
      <w:r>
        <w:rPr>
          <w:color w:val="000000"/>
          <w:spacing w:val="0"/>
          <w:w w:val="100"/>
          <w:position w:val="0"/>
          <w:shd w:val="clear" w:color="auto" w:fill="auto"/>
          <w:lang w:val="cs-CZ" w:eastAsia="cs-CZ" w:bidi="cs-CZ"/>
        </w:rPr>
        <w:t>IBR Consulting, s r. o.</w:t>
      </w:r>
    </w:p>
    <w:p>
      <w:pPr>
        <w:pStyle w:val="Style52"/>
        <w:keepNext w:val="0"/>
        <w:keepLines w:val="0"/>
        <w:widowControl w:val="0"/>
        <w:shd w:val="clear" w:color="auto" w:fill="auto"/>
        <w:bidi w:val="0"/>
        <w:spacing w:before="0" w:after="440" w:line="240" w:lineRule="auto"/>
        <w:ind w:left="0" w:right="0"/>
        <w:jc w:val="left"/>
      </w:pPr>
      <w:r>
        <w:rPr>
          <w:color w:val="000000"/>
          <w:spacing w:val="0"/>
          <w:w w:val="100"/>
          <w:position w:val="0"/>
          <w:shd w:val="clear" w:color="auto" w:fill="auto"/>
          <w:lang w:val="cs-CZ" w:eastAsia="cs-CZ" w:bidi="cs-CZ"/>
        </w:rPr>
        <w:t>Plnou moc přijímám:</w:t>
      </w:r>
    </w:p>
    <w:p>
      <w:pPr>
        <w:pStyle w:val="Style2"/>
        <w:keepNext w:val="0"/>
        <w:keepLines w:val="0"/>
        <w:widowControl w:val="0"/>
        <w:shd w:val="clear" w:color="auto" w:fill="auto"/>
        <w:bidi w:val="0"/>
        <w:spacing w:before="0" w:after="0" w:line="276" w:lineRule="auto"/>
        <w:ind w:left="0" w:right="0" w:firstLine="240"/>
        <w:jc w:val="left"/>
      </w:pPr>
      <w:r>
        <w:rPr>
          <w:color w:val="000000"/>
          <w:spacing w:val="0"/>
          <w:w w:val="100"/>
          <w:position w:val="0"/>
          <w:shd w:val="clear" w:color="auto" w:fill="auto"/>
          <w:lang w:val="cs-CZ" w:eastAsia="cs-CZ" w:bidi="cs-CZ"/>
        </w:rPr>
        <w:t>1'oaJe ověřovací Knthv urauu MesisKe času Hrana y</w:t>
      </w:r>
    </w:p>
    <w:p>
      <w:pPr>
        <w:pStyle w:val="Style2"/>
        <w:keepNext w:val="0"/>
        <w:keepLines w:val="0"/>
        <w:widowControl w:val="0"/>
        <w:shd w:val="clear" w:color="auto" w:fill="auto"/>
        <w:bidi w:val="0"/>
        <w:spacing w:before="0" w:after="180" w:line="276" w:lineRule="auto"/>
        <w:ind w:left="240" w:right="0" w:firstLine="20"/>
        <w:jc w:val="left"/>
      </w:pPr>
      <w:r>
        <w:rPr>
          <w:color w:val="000000"/>
          <w:spacing w:val="0"/>
          <w:w w:val="100"/>
          <w:position w:val="0"/>
          <w:shd w:val="clear" w:color="auto" w:fill="auto"/>
          <w:lang w:val="cs-CZ" w:eastAsia="cs-CZ" w:bidi="cs-CZ"/>
        </w:rPr>
        <w:t xml:space="preserve">Pořadové Číslo legalizace vlastnoruční Dodensal- </w:t>
      </w:r>
      <w:r>
        <w:rPr>
          <w:b/>
          <w:bCs/>
          <w:strike/>
          <w:color w:val="000000"/>
          <w:spacing w:val="0"/>
          <w:w w:val="100"/>
          <w:position w:val="0"/>
          <w:sz w:val="13"/>
          <w:szCs w:val="13"/>
          <w:shd w:val="clear" w:color="auto" w:fill="auto"/>
          <w:lang w:val="cs-CZ" w:eastAsia="cs-CZ" w:bidi="cs-CZ"/>
        </w:rPr>
        <w:t>uznal</w:t>
      </w:r>
      <w:r>
        <w:rPr>
          <w:color w:val="000000"/>
          <w:spacing w:val="0"/>
          <w:w w:val="100"/>
          <w:position w:val="0"/>
          <w:shd w:val="clear" w:color="auto" w:fill="auto"/>
          <w:lang w:val="cs-CZ" w:eastAsia="cs-CZ" w:bidi="cs-CZ"/>
        </w:rPr>
        <w:t xml:space="preserve"> nod</w:t>
      </w:r>
      <w:r>
        <w:rPr>
          <w:b/>
          <w:bCs/>
          <w:strike/>
          <w:color w:val="000000"/>
          <w:spacing w:val="0"/>
          <w:w w:val="100"/>
          <w:position w:val="0"/>
          <w:sz w:val="13"/>
          <w:szCs w:val="13"/>
          <w:shd w:val="clear" w:color="auto" w:fill="auto"/>
          <w:lang w:val="cs-CZ" w:eastAsia="cs-CZ" w:bidi="cs-CZ"/>
        </w:rPr>
        <w:t>nw na l</w:t>
      </w:r>
      <w:r>
        <w:rPr>
          <w:color w:val="000000"/>
          <w:spacing w:val="0"/>
          <w:w w:val="100"/>
          <w:position w:val="0"/>
          <w:shd w:val="clear" w:color="auto" w:fill="auto"/>
          <w:lang w:val="cs-CZ" w:eastAsia="cs-CZ" w:bidi="cs-CZ"/>
        </w:rPr>
        <w:t>i</w:t>
      </w:r>
      <w:r>
        <w:rPr>
          <w:b/>
          <w:bCs/>
          <w:strike/>
          <w:color w:val="000000"/>
          <w:spacing w:val="0"/>
          <w:w w:val="100"/>
          <w:position w:val="0"/>
          <w:sz w:val="13"/>
          <w:szCs w:val="13"/>
          <w:shd w:val="clear" w:color="auto" w:fill="auto"/>
          <w:lang w:val="cs-CZ" w:eastAsia="cs-CZ" w:bidi="cs-CZ"/>
        </w:rPr>
        <w:t>st</w:t>
      </w:r>
      <w:r>
        <w:rPr>
          <w:color w:val="000000"/>
          <w:spacing w:val="0"/>
          <w:w w:val="100"/>
          <w:position w:val="0"/>
          <w:shd w:val="clear" w:color="auto" w:fill="auto"/>
          <w:lang w:val="cs-CZ" w:eastAsia="cs-CZ" w:bidi="cs-CZ"/>
        </w:rPr>
        <w:t>i</w:t>
      </w:r>
      <w:r>
        <w:rPr>
          <w:b/>
          <w:bCs/>
          <w:strike/>
          <w:color w:val="000000"/>
          <w:spacing w:val="0"/>
          <w:w w:val="100"/>
          <w:position w:val="0"/>
          <w:sz w:val="13"/>
          <w:szCs w:val="13"/>
          <w:shd w:val="clear" w:color="auto" w:fill="auto"/>
          <w:lang w:val="cs-CZ" w:eastAsia="cs-CZ" w:bidi="cs-CZ"/>
        </w:rPr>
        <w:t>n</w:t>
      </w:r>
      <w:r>
        <w:rPr>
          <w:color w:val="000000"/>
          <w:spacing w:val="0"/>
          <w:w w:val="100"/>
          <w:position w:val="0"/>
          <w:shd w:val="clear" w:color="auto" w:fill="auto"/>
          <w:lang w:val="cs-CZ" w:eastAsia="cs-CZ" w:bidi="cs-CZ"/>
        </w:rPr>
        <w:t xml:space="preserve">t </w:t>
      </w:r>
      <w:r>
        <w:rPr>
          <w:b/>
          <w:bCs/>
          <w:strike/>
          <w:color w:val="000000"/>
          <w:spacing w:val="0"/>
          <w:w w:val="100"/>
          <w:position w:val="0"/>
          <w:sz w:val="13"/>
          <w:szCs w:val="13"/>
          <w:shd w:val="clear" w:color="auto" w:fill="auto"/>
          <w:lang w:val="cs-CZ" w:eastAsia="cs-CZ" w:bidi="cs-CZ"/>
        </w:rPr>
        <w:t>za</w:t>
      </w:r>
      <w:r>
        <w:rPr>
          <w:color w:val="000000"/>
          <w:spacing w:val="0"/>
          <w:w w:val="100"/>
          <w:position w:val="0"/>
          <w:shd w:val="clear" w:color="auto" w:fill="auto"/>
          <w:lang w:val="cs-CZ" w:eastAsia="cs-CZ" w:bidi="cs-CZ"/>
        </w:rPr>
        <w:t>-vlastaú</w:t>
      </w:r>
    </w:p>
    <w:p>
      <w:pPr>
        <w:pStyle w:val="Style2"/>
        <w:keepNext w:val="0"/>
        <w:keepLines w:val="0"/>
        <w:widowControl w:val="0"/>
        <w:shd w:val="clear" w:color="auto" w:fill="auto"/>
        <w:bidi w:val="0"/>
        <w:spacing w:before="0" w:after="180" w:line="262" w:lineRule="auto"/>
        <w:ind w:left="0" w:right="0" w:firstLine="240"/>
        <w:jc w:val="left"/>
      </w:pPr>
      <w:r>
        <w:rPr>
          <w:color w:val="000000"/>
          <w:spacing w:val="0"/>
          <w:w w:val="100"/>
          <w:position w:val="0"/>
          <w:shd w:val="clear" w:color="auto" w:fill="auto"/>
          <w:lang w:val="cs-CZ" w:eastAsia="cs-CZ" w:bidi="cs-CZ"/>
        </w:rPr>
        <w:t>Jméno/a. příjmení, datum a místo narozeni žadatele</w:t>
      </w:r>
    </w:p>
    <w:p>
      <w:pPr>
        <w:pStyle w:val="Style2"/>
        <w:keepNext w:val="0"/>
        <w:keepLines w:val="0"/>
        <w:widowControl w:val="0"/>
        <w:shd w:val="clear" w:color="auto" w:fill="auto"/>
        <w:bidi w:val="0"/>
        <w:spacing w:before="0" w:after="180" w:line="262" w:lineRule="auto"/>
        <w:ind w:left="0" w:right="0" w:firstLine="240"/>
        <w:jc w:val="left"/>
      </w:pPr>
      <w:r>
        <w:rPr>
          <w:color w:val="000000"/>
          <w:spacing w:val="0"/>
          <w:w w:val="100"/>
          <w:position w:val="0"/>
          <w:shd w:val="clear" w:color="auto" w:fill="auto"/>
          <w:lang w:val="cs-CZ" w:eastAsia="cs-CZ" w:bidi="cs-CZ"/>
        </w:rPr>
        <w:t>Adresa trval.Dobytu - adresa pobytu na úženu ČR nutno území ČR</w:t>
      </w:r>
    </w:p>
    <w:p>
      <w:pPr>
        <w:pStyle w:val="Style2"/>
        <w:keepNext w:val="0"/>
        <w:keepLines w:val="0"/>
        <w:widowControl w:val="0"/>
        <w:shd w:val="clear" w:color="auto" w:fill="auto"/>
        <w:bidi w:val="0"/>
        <w:spacing w:before="0" w:after="0" w:line="240" w:lineRule="auto"/>
        <w:ind w:left="240" w:right="0" w:firstLine="20"/>
        <w:jc w:val="left"/>
      </w:pPr>
      <w:r>
        <w:rPr>
          <w:color w:val="000000"/>
          <w:spacing w:val="0"/>
          <w:w w:val="100"/>
          <w:position w:val="0"/>
          <w:shd w:val="clear" w:color="auto" w:fill="auto"/>
          <w:lang w:val="cs-CZ" w:eastAsia="cs-CZ" w:bidi="cs-CZ"/>
        </w:rPr>
        <w:t>Druh a č dokladu, na základe kterého bvlv zíiítčnv oschni údaje us edené v této ovéřovací doložce</w:t>
      </w:r>
    </w:p>
    <w:p>
      <w:pPr>
        <w:pStyle w:val="Style2"/>
        <w:keepNext w:val="0"/>
        <w:keepLines w:val="0"/>
        <w:widowControl w:val="0"/>
        <w:shd w:val="clear" w:color="auto" w:fill="auto"/>
        <w:bidi w:val="0"/>
        <w:spacing w:before="0" w:after="440" w:line="240" w:lineRule="auto"/>
        <w:ind w:left="0" w:right="0" w:firstLine="240"/>
        <w:jc w:val="left"/>
      </w:pPr>
      <w:r>
        <w:rPr>
          <w:color w:val="000000"/>
          <w:spacing w:val="0"/>
          <w:w w:val="100"/>
          <w:position w:val="0"/>
          <w:shd w:val="clear" w:color="auto" w:fill="auto"/>
          <w:lang w:val="cs-CZ" w:eastAsia="cs-CZ" w:bidi="cs-CZ"/>
        </w:rPr>
        <w:t>v Praze dne 15 I 2019</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IBR Consulting, s.r.o. • Sídlo: Sokolovská 352/215, 190 00, Praha IČO; 25023446 OIČ: CZ25023446</w:t>
      </w:r>
    </w:p>
    <w:p>
      <w:pPr>
        <w:pStyle w:val="Style2"/>
        <w:keepNext w:val="0"/>
        <w:keepLines w:val="0"/>
        <w:widowControl w:val="0"/>
        <w:shd w:val="clear" w:color="auto" w:fill="auto"/>
        <w:tabs>
          <w:tab w:pos="4583" w:val="left"/>
        </w:tabs>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Raiffeisenbank, a s. • č. účtu:</w:t>
        <w:tab/>
        <w:t>• Obchodní rejstřík: Městský soud v Praze, oddíl C, vložka</w:t>
      </w:r>
    </w:p>
    <w:p>
      <w:pPr>
        <w:pStyle w:val="Style2"/>
        <w:keepNext w:val="0"/>
        <w:keepLines w:val="0"/>
        <w:widowControl w:val="0"/>
        <w:shd w:val="clear" w:color="auto" w:fill="auto"/>
        <w:tabs>
          <w:tab w:pos="1544" w:val="left"/>
          <w:tab w:pos="3229" w:val="left"/>
          <w:tab w:pos="4864" w:val="left"/>
        </w:tabs>
        <w:bidi w:val="0"/>
        <w:spacing w:before="0" w:after="300" w:line="240" w:lineRule="auto"/>
        <w:ind w:left="0" w:right="0" w:firstLine="0"/>
        <w:jc w:val="left"/>
      </w:pPr>
      <w:r>
        <w:rPr>
          <w:color w:val="000000"/>
          <w:spacing w:val="0"/>
          <w:w w:val="100"/>
          <w:position w:val="0"/>
          <w:shd w:val="clear" w:color="auto" w:fill="auto"/>
          <w:lang w:val="cs-CZ" w:eastAsia="cs-CZ" w:bidi="cs-CZ"/>
        </w:rPr>
        <w:t>tel.:</w:t>
        <w:tab/>
        <w:t>• fax: +</w:t>
        <w:tab/>
        <w:t>» e-mail; ř</w:t>
        <w:tab/>
      </w:r>
      <w:r>
        <w:rPr>
          <w:color w:val="000000"/>
          <w:spacing w:val="0"/>
          <w:w w:val="100"/>
          <w:position w:val="0"/>
          <w:shd w:val="clear" w:color="auto" w:fill="auto"/>
          <w:lang w:val="en-US" w:eastAsia="en-US" w:bidi="en-US"/>
        </w:rPr>
        <w:t>‘www.aspe.cz</w:t>
      </w:r>
    </w:p>
    <w:sectPr>
      <w:footerReference w:type="default" r:id="rId9"/>
      <w:footnotePr>
        <w:pos w:val="pageBottom"/>
        <w:numFmt w:val="decimal"/>
        <w:numRestart w:val="continuous"/>
      </w:footnotePr>
      <w:pgSz w:w="11900" w:h="16840"/>
      <w:pgMar w:top="249" w:left="1151" w:right="1788" w:bottom="24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740410</wp:posOffset>
              </wp:positionH>
              <wp:positionV relativeFrom="page">
                <wp:posOffset>9629775</wp:posOffset>
              </wp:positionV>
              <wp:extent cx="3877310" cy="248920"/>
              <wp:wrapNone/>
              <wp:docPr id="41" name="Shape 41"/>
              <a:graphic xmlns:a="http://schemas.openxmlformats.org/drawingml/2006/main">
                <a:graphicData uri="http://schemas.microsoft.com/office/word/2010/wordprocessingShape">
                  <wps:wsp>
                    <wps:cNvSpPr txBox="1"/>
                    <wps:spPr>
                      <a:xfrm>
                        <a:ext cx="3877310" cy="24892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74/2019/TDS/D2/POP/HB/sl</w:t>
                          </w:r>
                        </w:p>
                        <w:p>
                          <w:pPr>
                            <w:pStyle w:val="Style2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 xml:space="preserve">11/348 Chyška - most ev. </w:t>
                          </w:r>
                          <w:r>
                            <w:rPr>
                              <w:color w:val="000000"/>
                              <w:spacing w:val="0"/>
                              <w:w w:val="100"/>
                              <w:position w:val="0"/>
                              <w:sz w:val="16"/>
                              <w:szCs w:val="16"/>
                              <w:shd w:val="clear" w:color="auto" w:fill="auto"/>
                              <w:lang w:val="cs-CZ" w:eastAsia="cs-CZ" w:bidi="cs-CZ"/>
                            </w:rPr>
                            <w:t xml:space="preserve">č. </w:t>
                          </w:r>
                          <w:r>
                            <w:rPr>
                              <w:b/>
                              <w:bCs/>
                              <w:color w:val="000000"/>
                              <w:spacing w:val="0"/>
                              <w:w w:val="100"/>
                              <w:position w:val="0"/>
                              <w:sz w:val="16"/>
                              <w:szCs w:val="16"/>
                              <w:shd w:val="clear" w:color="auto" w:fill="auto"/>
                              <w:lang w:val="cs-CZ" w:eastAsia="cs-CZ" w:bidi="cs-CZ"/>
                            </w:rPr>
                            <w:t>348-4)06</w:t>
                          </w:r>
                        </w:p>
                      </w:txbxContent>
                    </wps:txbx>
                    <wps:bodyPr wrap="none" lIns="0" tIns="0" rIns="0" bIns="0">
                      <a:spAutoFit/>
                    </wps:bodyPr>
                  </wps:wsp>
                </a:graphicData>
              </a:graphic>
            </wp:anchor>
          </w:drawing>
        </mc:Choice>
        <mc:Fallback>
          <w:pict>
            <v:shape id="_x0000_s1067" type="#_x0000_t202" style="position:absolute;margin-left:58.299999999999997pt;margin-top:758.25pt;width:305.30000000000001pt;height:19.600000000000001pt;z-index:-18874406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TDS na staveništi - </w:t>
                    </w:r>
                    <w:r>
                      <w:rPr>
                        <w:b/>
                        <w:bCs/>
                        <w:color w:val="000000"/>
                        <w:spacing w:val="0"/>
                        <w:w w:val="100"/>
                        <w:position w:val="0"/>
                        <w:sz w:val="16"/>
                        <w:szCs w:val="16"/>
                        <w:shd w:val="clear" w:color="auto" w:fill="auto"/>
                        <w:lang w:val="cs-CZ" w:eastAsia="cs-CZ" w:bidi="cs-CZ"/>
                      </w:rPr>
                      <w:t>74/2019/TDS/D2/POP/HB/sl</w:t>
                    </w:r>
                  </w:p>
                  <w:p>
                    <w:pPr>
                      <w:pStyle w:val="Style2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 xml:space="preserve">11/348 Chyška - most ev. </w:t>
                    </w:r>
                    <w:r>
                      <w:rPr>
                        <w:color w:val="000000"/>
                        <w:spacing w:val="0"/>
                        <w:w w:val="100"/>
                        <w:position w:val="0"/>
                        <w:sz w:val="16"/>
                        <w:szCs w:val="16"/>
                        <w:shd w:val="clear" w:color="auto" w:fill="auto"/>
                        <w:lang w:val="cs-CZ" w:eastAsia="cs-CZ" w:bidi="cs-CZ"/>
                      </w:rPr>
                      <w:t xml:space="preserve">č. </w:t>
                    </w:r>
                    <w:r>
                      <w:rPr>
                        <w:b/>
                        <w:bCs/>
                        <w:color w:val="000000"/>
                        <w:spacing w:val="0"/>
                        <w:w w:val="100"/>
                        <w:position w:val="0"/>
                        <w:sz w:val="16"/>
                        <w:szCs w:val="16"/>
                        <w:shd w:val="clear" w:color="auto" w:fill="auto"/>
                        <w:lang w:val="cs-CZ" w:eastAsia="cs-CZ" w:bidi="cs-CZ"/>
                      </w:rPr>
                      <w:t>348-4)06</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5701030</wp:posOffset>
              </wp:positionH>
              <wp:positionV relativeFrom="page">
                <wp:posOffset>9632315</wp:posOffset>
              </wp:positionV>
              <wp:extent cx="635635" cy="93980"/>
              <wp:wrapNone/>
              <wp:docPr id="43" name="Shape 43"/>
              <a:graphic xmlns:a="http://schemas.openxmlformats.org/drawingml/2006/main">
                <a:graphicData uri="http://schemas.microsoft.com/office/word/2010/wordprocessingShape">
                  <wps:wsp>
                    <wps:cNvSpPr txBox="1"/>
                    <wps:spPr>
                      <a:xfrm>
                        <a:ext cx="635635" cy="9398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69" type="#_x0000_t202" style="position:absolute;margin-left:448.89999999999998pt;margin-top:758.45000000000005pt;width:50.049999999999997pt;height:7.4000000000000004pt;z-index:-188744061;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721995</wp:posOffset>
              </wp:positionH>
              <wp:positionV relativeFrom="page">
                <wp:posOffset>9551670</wp:posOffset>
              </wp:positionV>
              <wp:extent cx="6217920" cy="0"/>
              <wp:wrapNone/>
              <wp:docPr id="45" name="Shape 45"/>
              <a:graphic xmlns:a="http://schemas.openxmlformats.org/drawingml/2006/main">
                <a:graphicData uri="http://schemas.microsoft.com/office/word/2010/wordprocessingShape">
                  <wps:wsp>
                    <wps:cNvCnPr/>
                    <wps:spPr>
                      <a:xfrm>
                        <a:ext cx="6217920" cy="0"/>
                      </a:xfrm>
                      <a:prstGeom prst="straightConnector1"/>
                      <a:ln w="12700">
                        <a:solidFill/>
                      </a:ln>
                    </wps:spPr>
                    <wps:bodyPr/>
                  </wps:wsp>
                </a:graphicData>
              </a:graphic>
            </wp:anchor>
          </w:drawing>
        </mc:Choice>
        <mc:Fallback>
          <w:pict>
            <v:shape o:spt="32" o:oned="true" path="m,l21600,21600e" style="position:absolute;margin-left:56.850000000000001pt;margin-top:752.10000000000002pt;width:489.60000000000002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720090</wp:posOffset>
              </wp:positionH>
              <wp:positionV relativeFrom="page">
                <wp:posOffset>9495790</wp:posOffset>
              </wp:positionV>
              <wp:extent cx="1631950" cy="75565"/>
              <wp:wrapNone/>
              <wp:docPr id="46" name="Shape 46"/>
              <a:graphic xmlns:a="http://schemas.openxmlformats.org/drawingml/2006/main">
                <a:graphicData uri="http://schemas.microsoft.com/office/word/2010/wordprocessingShape">
                  <wps:wsp>
                    <wps:cNvSpPr txBox="1"/>
                    <wps:spPr>
                      <a:xfrm>
                        <a:ext cx="1631950" cy="75565"/>
                      </a:xfrm>
                      <a:prstGeom prst="rect"/>
                      <a:noFill/>
                    </wps:spPr>
                    <wps:txbx>
                      <w:txbxContent>
                        <w:p>
                          <w:pPr>
                            <w:pStyle w:val="Style21"/>
                            <w:keepNext w:val="0"/>
                            <w:keepLines w:val="0"/>
                            <w:widowControl w:val="0"/>
                            <w:shd w:val="clear" w:color="auto" w:fill="auto"/>
                            <w:tabs>
                              <w:tab w:pos="821" w:val="right"/>
                              <w:tab w:pos="1548" w:val="right"/>
                              <w:tab w:pos="2570"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w:t>
                            <w:tab/>
                            <w:t>Liberci</w:t>
                            <w:tab/>
                            <w:t>dne</w:t>
                            <w:tab/>
                            <w:t>16.4.2019</w:t>
                          </w:r>
                        </w:p>
                      </w:txbxContent>
                    </wps:txbx>
                    <wps:bodyPr lIns="0" tIns="0" rIns="0" bIns="0">
                      <a:spAutoFit/>
                    </wps:bodyPr>
                  </wps:wsp>
                </a:graphicData>
              </a:graphic>
            </wp:anchor>
          </w:drawing>
        </mc:Choice>
        <mc:Fallback>
          <w:pict>
            <v:shape id="_x0000_s1072" type="#_x0000_t202" style="position:absolute;margin-left:56.700000000000003pt;margin-top:747.70000000000005pt;width:128.5pt;height:5.9500000000000002pt;z-index:-188744059;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tabs>
                        <w:tab w:pos="821" w:val="right"/>
                        <w:tab w:pos="1548" w:val="right"/>
                        <w:tab w:pos="2570" w:val="right"/>
                      </w:tabs>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V</w:t>
                      <w:tab/>
                      <w:t>Liberci</w:t>
                      <w:tab/>
                      <w:t>dne</w:t>
                      <w:tab/>
                      <w:t>16.4.2019</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val="0"/>
      <w:bCs w:val="0"/>
      <w:i w:val="0"/>
      <w:iCs w:val="0"/>
      <w:smallCaps w:val="0"/>
      <w:strike w:val="0"/>
      <w:sz w:val="14"/>
      <w:szCs w:val="14"/>
      <w:u w:val="none"/>
    </w:rPr>
  </w:style>
  <w:style w:type="character" w:customStyle="1" w:styleId="CharStyle7">
    <w:name w:val="Jiné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10">
    <w:name w:val="Titulek tabulky_"/>
    <w:basedOn w:val="DefaultParagraphFont"/>
    <w:link w:val="Style9"/>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Základní text_"/>
    <w:basedOn w:val="DefaultParagraphFont"/>
    <w:link w:val="Style12"/>
    <w:rPr>
      <w:rFonts w:ascii="Times New Roman" w:eastAsia="Times New Roman" w:hAnsi="Times New Roman" w:cs="Times New Roman"/>
      <w:b w:val="0"/>
      <w:bCs w:val="0"/>
      <w:i w:val="0"/>
      <w:iCs w:val="0"/>
      <w:smallCaps w:val="0"/>
      <w:strike w:val="0"/>
      <w:sz w:val="22"/>
      <w:szCs w:val="22"/>
      <w:u w:val="none"/>
    </w:rPr>
  </w:style>
  <w:style w:type="character" w:customStyle="1" w:styleId="CharStyle15">
    <w:name w:val="Základní text (5)_"/>
    <w:basedOn w:val="DefaultParagraphFont"/>
    <w:link w:val="Style14"/>
    <w:rPr>
      <w:rFonts w:ascii="Arial" w:eastAsia="Arial" w:hAnsi="Arial" w:cs="Arial"/>
      <w:b w:val="0"/>
      <w:bCs w:val="0"/>
      <w:i w:val="0"/>
      <w:iCs w:val="0"/>
      <w:smallCaps w:val="0"/>
      <w:strike w:val="0"/>
      <w:sz w:val="22"/>
      <w:szCs w:val="22"/>
      <w:u w:val="none"/>
    </w:rPr>
  </w:style>
  <w:style w:type="character" w:customStyle="1" w:styleId="CharStyle20">
    <w:name w:val="Titulek obrázku_"/>
    <w:basedOn w:val="DefaultParagraphFont"/>
    <w:link w:val="Style19"/>
    <w:rPr>
      <w:rFonts w:ascii="Times New Roman" w:eastAsia="Times New Roman" w:hAnsi="Times New Roman" w:cs="Times New Roman"/>
      <w:b w:val="0"/>
      <w:bCs w:val="0"/>
      <w:i w:val="0"/>
      <w:iCs w:val="0"/>
      <w:smallCaps w:val="0"/>
      <w:strike w:val="0"/>
      <w:sz w:val="22"/>
      <w:szCs w:val="22"/>
      <w:u w:val="none"/>
    </w:rPr>
  </w:style>
  <w:style w:type="character" w:customStyle="1" w:styleId="CharStyle22">
    <w:name w:val="Záhlaví nebo zápatí (2)_"/>
    <w:basedOn w:val="DefaultParagraphFont"/>
    <w:link w:val="Style21"/>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Nadpis #2_"/>
    <w:basedOn w:val="DefaultParagraphFont"/>
    <w:link w:val="Style26"/>
    <w:rPr>
      <w:rFonts w:ascii="Times New Roman" w:eastAsia="Times New Roman" w:hAnsi="Times New Roman" w:cs="Times New Roman"/>
      <w:b/>
      <w:bCs/>
      <w:i w:val="0"/>
      <w:iCs w:val="0"/>
      <w:smallCaps w:val="0"/>
      <w:strike w:val="0"/>
      <w:sz w:val="38"/>
      <w:szCs w:val="38"/>
      <w:u w:val="none"/>
    </w:rPr>
  </w:style>
  <w:style w:type="character" w:customStyle="1" w:styleId="CharStyle32">
    <w:name w:val="Nadpis #3_"/>
    <w:basedOn w:val="DefaultParagraphFont"/>
    <w:link w:val="Style31"/>
    <w:rPr>
      <w:rFonts w:ascii="Times New Roman" w:eastAsia="Times New Roman" w:hAnsi="Times New Roman" w:cs="Times New Roman"/>
      <w:b/>
      <w:bCs/>
      <w:i w:val="0"/>
      <w:iCs w:val="0"/>
      <w:smallCaps w:val="0"/>
      <w:strike w:val="0"/>
      <w:sz w:val="22"/>
      <w:szCs w:val="22"/>
      <w:u w:val="none"/>
    </w:rPr>
  </w:style>
  <w:style w:type="character" w:customStyle="1" w:styleId="CharStyle49">
    <w:name w:val="Základní text (2)_"/>
    <w:basedOn w:val="DefaultParagraphFont"/>
    <w:link w:val="Style48"/>
    <w:rPr>
      <w:rFonts w:ascii="Times New Roman" w:eastAsia="Times New Roman" w:hAnsi="Times New Roman" w:cs="Times New Roman"/>
      <w:b/>
      <w:bCs/>
      <w:i/>
      <w:iCs/>
      <w:smallCaps w:val="0"/>
      <w:strike w:val="0"/>
      <w:sz w:val="15"/>
      <w:szCs w:val="15"/>
      <w:u w:val="none"/>
    </w:rPr>
  </w:style>
  <w:style w:type="character" w:customStyle="1" w:styleId="CharStyle53">
    <w:name w:val="Základní text (4)_"/>
    <w:basedOn w:val="DefaultParagraphFont"/>
    <w:link w:val="Style52"/>
    <w:rPr>
      <w:rFonts w:ascii="Calibri" w:eastAsia="Calibri" w:hAnsi="Calibri" w:cs="Calibri"/>
      <w:b w:val="0"/>
      <w:bCs w:val="0"/>
      <w:i w:val="0"/>
      <w:iCs w:val="0"/>
      <w:smallCaps w:val="0"/>
      <w:strike w:val="0"/>
      <w:sz w:val="22"/>
      <w:szCs w:val="22"/>
      <w:u w:val="none"/>
    </w:rPr>
  </w:style>
  <w:style w:type="character" w:customStyle="1" w:styleId="CharStyle55">
    <w:name w:val="Nadpis #1_"/>
    <w:basedOn w:val="DefaultParagraphFont"/>
    <w:link w:val="Style54"/>
    <w:rPr>
      <w:rFonts w:ascii="Arial" w:eastAsia="Arial" w:hAnsi="Arial" w:cs="Arial"/>
      <w:b/>
      <w:bCs/>
      <w:i w:val="0"/>
      <w:iCs w:val="0"/>
      <w:smallCaps w:val="0"/>
      <w:strike w:val="0"/>
      <w:sz w:val="142"/>
      <w:szCs w:val="142"/>
      <w:u w:val="none"/>
    </w:rPr>
  </w:style>
  <w:style w:type="paragraph" w:customStyle="1" w:styleId="Style2">
    <w:name w:val="Základní text (3)"/>
    <w:basedOn w:val="Normal"/>
    <w:link w:val="CharStyle3"/>
    <w:pPr>
      <w:widowControl w:val="0"/>
      <w:shd w:val="clear" w:color="auto" w:fill="FFFFFF"/>
      <w:spacing w:after="80" w:line="250" w:lineRule="auto"/>
      <w:ind w:firstLine="10"/>
    </w:pPr>
    <w:rPr>
      <w:rFonts w:ascii="Arial" w:eastAsia="Arial" w:hAnsi="Arial" w:cs="Arial"/>
      <w:b w:val="0"/>
      <w:bCs w:val="0"/>
      <w:i w:val="0"/>
      <w:iCs w:val="0"/>
      <w:smallCaps w:val="0"/>
      <w:strike w:val="0"/>
      <w:sz w:val="14"/>
      <w:szCs w:val="14"/>
      <w:u w:val="none"/>
    </w:rPr>
  </w:style>
  <w:style w:type="paragraph" w:customStyle="1" w:styleId="Style6">
    <w:name w:val="Jiné"/>
    <w:basedOn w:val="Normal"/>
    <w:link w:val="CharStyle7"/>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9">
    <w:name w:val="Titulek tabulky"/>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Základní text"/>
    <w:basedOn w:val="Normal"/>
    <w:link w:val="CharStyle13"/>
    <w:pPr>
      <w:widowControl w:val="0"/>
      <w:shd w:val="clear" w:color="auto" w:fill="FFFFFF"/>
      <w:spacing w:after="100"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4">
    <w:name w:val="Základní text (5)"/>
    <w:basedOn w:val="Normal"/>
    <w:link w:val="CharStyle15"/>
    <w:pPr>
      <w:widowControl w:val="0"/>
      <w:shd w:val="clear" w:color="auto" w:fill="FFFFFF"/>
      <w:ind w:firstLine="140"/>
    </w:pPr>
    <w:rPr>
      <w:rFonts w:ascii="Arial" w:eastAsia="Arial" w:hAnsi="Arial" w:cs="Arial"/>
      <w:b w:val="0"/>
      <w:bCs w:val="0"/>
      <w:i w:val="0"/>
      <w:iCs w:val="0"/>
      <w:smallCaps w:val="0"/>
      <w:strike w:val="0"/>
      <w:sz w:val="22"/>
      <w:szCs w:val="22"/>
      <w:u w:val="none"/>
    </w:rPr>
  </w:style>
  <w:style w:type="paragraph" w:customStyle="1" w:styleId="Style19">
    <w:name w:val="Titulek obrázku"/>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21">
    <w:name w:val="Záhlaví nebo zápatí (2)"/>
    <w:basedOn w:val="Normal"/>
    <w:link w:val="CharStyle2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Nadpis #2"/>
    <w:basedOn w:val="Normal"/>
    <w:link w:val="CharStyle27"/>
    <w:pPr>
      <w:widowControl w:val="0"/>
      <w:shd w:val="clear" w:color="auto" w:fill="FFFFFF"/>
      <w:spacing w:after="1410"/>
      <w:jc w:val="center"/>
      <w:outlineLvl w:val="1"/>
    </w:pPr>
    <w:rPr>
      <w:rFonts w:ascii="Times New Roman" w:eastAsia="Times New Roman" w:hAnsi="Times New Roman" w:cs="Times New Roman"/>
      <w:b/>
      <w:bCs/>
      <w:i w:val="0"/>
      <w:iCs w:val="0"/>
      <w:smallCaps w:val="0"/>
      <w:strike w:val="0"/>
      <w:sz w:val="38"/>
      <w:szCs w:val="38"/>
      <w:u w:val="none"/>
    </w:rPr>
  </w:style>
  <w:style w:type="paragraph" w:customStyle="1" w:styleId="Style31">
    <w:name w:val="Nadpis #3"/>
    <w:basedOn w:val="Normal"/>
    <w:link w:val="CharStyle32"/>
    <w:pPr>
      <w:widowControl w:val="0"/>
      <w:shd w:val="clear" w:color="auto" w:fill="FFFFFF"/>
      <w:spacing w:after="120" w:line="254" w:lineRule="auto"/>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48">
    <w:name w:val="Základní text (2)"/>
    <w:basedOn w:val="Normal"/>
    <w:link w:val="CharStyle49"/>
    <w:pPr>
      <w:widowControl w:val="0"/>
      <w:shd w:val="clear" w:color="auto" w:fill="FFFFFF"/>
      <w:spacing w:after="110" w:line="266" w:lineRule="auto"/>
    </w:pPr>
    <w:rPr>
      <w:rFonts w:ascii="Times New Roman" w:eastAsia="Times New Roman" w:hAnsi="Times New Roman" w:cs="Times New Roman"/>
      <w:b/>
      <w:bCs/>
      <w:i/>
      <w:iCs/>
      <w:smallCaps w:val="0"/>
      <w:strike w:val="0"/>
      <w:sz w:val="15"/>
      <w:szCs w:val="15"/>
      <w:u w:val="none"/>
    </w:rPr>
  </w:style>
  <w:style w:type="paragraph" w:customStyle="1" w:styleId="Style52">
    <w:name w:val="Základní text (4)"/>
    <w:basedOn w:val="Normal"/>
    <w:link w:val="CharStyle53"/>
    <w:pPr>
      <w:widowControl w:val="0"/>
      <w:shd w:val="clear" w:color="auto" w:fill="FFFFFF"/>
      <w:spacing w:after="180" w:line="276" w:lineRule="auto"/>
      <w:ind w:left="940" w:firstLine="940"/>
    </w:pPr>
    <w:rPr>
      <w:rFonts w:ascii="Calibri" w:eastAsia="Calibri" w:hAnsi="Calibri" w:cs="Calibri"/>
      <w:b w:val="0"/>
      <w:bCs w:val="0"/>
      <w:i w:val="0"/>
      <w:iCs w:val="0"/>
      <w:smallCaps w:val="0"/>
      <w:strike w:val="0"/>
      <w:sz w:val="22"/>
      <w:szCs w:val="22"/>
      <w:u w:val="none"/>
    </w:rPr>
  </w:style>
  <w:style w:type="paragraph" w:customStyle="1" w:styleId="Style54">
    <w:name w:val="Nadpis #1"/>
    <w:basedOn w:val="Normal"/>
    <w:link w:val="CharStyle55"/>
    <w:pPr>
      <w:widowControl w:val="0"/>
      <w:shd w:val="clear" w:color="auto" w:fill="FFFFFF"/>
      <w:outlineLvl w:val="0"/>
    </w:pPr>
    <w:rPr>
      <w:rFonts w:ascii="Arial" w:eastAsia="Arial" w:hAnsi="Arial" w:cs="Arial"/>
      <w:b/>
      <w:bCs/>
      <w:i w:val="0"/>
      <w:iCs w:val="0"/>
      <w:smallCaps w:val="0"/>
      <w:strike w:val="0"/>
      <w:sz w:val="142"/>
      <w:szCs w:val="14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