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6264" w:left="72" w:firstLine="0"/>
        <w:spacing w:before="0" w:after="540" w:line="266" w:lineRule="auto"/>
        <w:jc w:val="left"/>
        <w:rPr>
          <w:i w:val="true"/>
          <w:color w:val="#000000"/>
          <w:sz w:val="17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i w:val="true"/>
          <w:color w:val="#000000"/>
          <w:sz w:val="17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</w:t>
      </w:r>
      <w:r>
        <w:rPr>
          <w:i w:val="true"/>
          <w:color w:val="#000000"/>
          <w:sz w:val="17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říloha č. 2 servisní smlouvy č. WCZ 00063 </w:t>
      </w:r>
      <w:r>
        <w:rPr>
          <w:b w:val="true"/>
          <w:color w:val="#000000"/>
          <w:sz w:val="16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Obsah pravidelně půlroční prohlídky</w:t>
      </w: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1490"/>
        <w:gridCol w:w="8266"/>
      </w:tblGrid>
      <w:tr>
        <w:trPr>
          <w:trHeight w:val="364" w:hRule="exact"/>
        </w:trPr>
        <w:tc>
          <w:tcPr>
            <w:gridSpan w:val="1"/>
            <w:tcBorders>
              <w:top w:val="single" w:sz="12" w:color="#000000"/>
              <w:bottom w:val="0" w:sz="0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1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CCTV</w:t>
            </w:r>
          </w:p>
        </w:tc>
        <w:tc>
          <w:tcPr>
            <w:gridSpan w:val="1"/>
            <w:tcBorders>
              <w:top w:val="single" w:sz="12" w:color="#000000"/>
              <w:bottom w:val="single" w:sz="5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-1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-1"/>
                <w:w w:val="105"/>
                <w:strike w:val="false"/>
                <w:vertAlign w:val="baseline"/>
                <w:rFonts w:ascii="Arial" w:hAnsi="Arial"/>
              </w:rPr>
              <w:t xml:space="preserve">Kontrola nastavení ostrosti obrazu</w:t>
            </w:r>
          </w:p>
        </w:tc>
      </w:tr>
      <w:tr>
        <w:trPr>
          <w:trHeight w:val="349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Kontrola, p</w:t>
            </w: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řípadně adjustace pohledů jednotlivých kamer</w:t>
            </w:r>
          </w:p>
        </w:tc>
      </w:tr>
      <w:tr>
        <w:trPr>
          <w:trHeight w:val="353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Vy</w:t>
            </w: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čištění optiky kamer a krytů</w:t>
            </w:r>
          </w:p>
        </w:tc>
      </w:tr>
      <w:tr>
        <w:trPr>
          <w:trHeight w:val="349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vy</w:t>
            </w: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čištění a kontrola rozvodných skříní s aktivními prvky CCTV</w:t>
            </w:r>
          </w:p>
        </w:tc>
      </w:tr>
      <w:tr>
        <w:trPr>
          <w:trHeight w:val="353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Vizuální kontrola mechanické nepoškozenosti prvku a stability upevn</w:t>
            </w: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ění kamery</w:t>
            </w:r>
          </w:p>
        </w:tc>
      </w:tr>
      <w:tr>
        <w:trPr>
          <w:trHeight w:val="349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Kontrola funk</w:t>
            </w: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čnosti ovládacích prvků - klávesnice</w:t>
            </w:r>
          </w:p>
        </w:tc>
      </w:tr>
      <w:tr>
        <w:trPr>
          <w:trHeight w:val="353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Kontrola základních funkcí DVR</w:t>
            </w:r>
          </w:p>
        </w:tc>
      </w:tr>
      <w:tr>
        <w:trPr>
          <w:trHeight w:val="349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Kontrola p</w:t>
            </w: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řívodní kabeláže DVR</w:t>
            </w:r>
          </w:p>
        </w:tc>
      </w:tr>
      <w:tr>
        <w:trPr>
          <w:trHeight w:val="353" w:hRule="exact"/>
        </w:trPr>
        <w:tc>
          <w:tcPr>
            <w:gridSpan w:val="1"/>
            <w:tcBorders>
              <w:top w:val="0" w:sz="0" w:color="#000000"/>
              <w:bottom w:val="0" w:sz="0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Kontrola a prom</w:t>
            </w:r>
            <w:r>
              <w:rPr>
                <w:color w:val="#000000"/>
                <w:sz w:val="21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ěření UPS</w:t>
            </w:r>
          </w:p>
        </w:tc>
      </w:tr>
      <w:tr>
        <w:trPr>
          <w:trHeight w:val="364" w:hRule="exact"/>
        </w:trPr>
        <w:tc>
          <w:tcPr>
            <w:gridSpan w:val="1"/>
            <w:tcBorders>
              <w:top w:val="0" w:sz="0" w:color="#000000"/>
              <w:bottom w:val="single" w:sz="12" w:color="#000000"/>
              <w:left w:val="single" w:sz="12" w:color="#000000"/>
              <w:right w:val="single" w:sz="5" w:color="#000000"/>
            </w:tcBorders>
            <w:tcW w:w="1504" w:type="auto"/>
            <w:textDirection w:val="lrTb"/>
            <w:vAlign w:val="center"/>
            <w:vMerge w:val="continue"/>
          </w:tcPr>
          <w:p/>
        </w:tc>
        <w:tc>
          <w:tcPr>
            <w:gridSpan w:val="1"/>
            <w:tcBorders>
              <w:top w:val="single" w:sz="5" w:color="#000000"/>
              <w:bottom w:val="single" w:sz="12" w:color="#000000"/>
              <w:left w:val="single" w:sz="5" w:color="#000000"/>
              <w:right w:val="single" w:sz="12" w:color="#000000"/>
            </w:tcBorders>
            <w:tcW w:w="9770" w:type="auto"/>
            <w:textDirection w:val="lrTb"/>
            <w:vAlign w:val="center"/>
          </w:tcPr>
          <w:p>
            <w:pPr>
              <w:ind w:right="0" w:left="50" w:firstLine="0"/>
              <w:spacing w:before="0" w:after="0" w:line="240" w:lineRule="auto"/>
              <w:jc w:val="left"/>
              <w:rPr>
                <w:color w:val="#000000"/>
                <w:sz w:val="21"/>
                <w:lang w:val="cs-CZ"/>
                <w:spacing w:val="-1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1"/>
                <w:lang w:val="cs-CZ"/>
                <w:spacing w:val="-1"/>
                <w:w w:val="105"/>
                <w:strike w:val="false"/>
                <w:vertAlign w:val="baseline"/>
                <w:rFonts w:ascii="Arial" w:hAnsi="Arial"/>
              </w:rPr>
              <w:t xml:space="preserve">Kontrola baterií a bateriových box</w:t>
            </w:r>
            <w:r>
              <w:rPr>
                <w:color w:val="#000000"/>
                <w:sz w:val="21"/>
                <w:lang w:val="cs-CZ"/>
                <w:spacing w:val="-1"/>
                <w:w w:val="105"/>
                <w:strike w:val="false"/>
                <w:vertAlign w:val="baseline"/>
                <w:rFonts w:ascii="Arial" w:hAnsi="Arial"/>
              </w:rPr>
              <w:t xml:space="preserve">ů UPS</w:t>
            </w:r>
          </w:p>
        </w:tc>
      </w:tr>
    </w:tbl>
    <w:sectPr>
      <w:pgSz w:w="11918" w:h="16854" w:orient="portrait"/>
      <w:type w:val="nextPage"/>
      <w:textDirection w:val="lrTb"/>
      <w:pgMar w:bottom="10584" w:top="1280" w:right="990" w:left="106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