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6FB" w:rsidRDefault="00FB76FB" w:rsidP="0082594D">
      <w:pPr>
        <w:jc w:val="center"/>
        <w:rPr>
          <w:sz w:val="24"/>
          <w:szCs w:val="24"/>
        </w:rPr>
      </w:pPr>
    </w:p>
    <w:p w:rsidR="006B3370" w:rsidRDefault="0082594D" w:rsidP="0082594D">
      <w:pPr>
        <w:jc w:val="center"/>
        <w:rPr>
          <w:b/>
          <w:sz w:val="32"/>
          <w:szCs w:val="32"/>
        </w:rPr>
      </w:pPr>
      <w:r w:rsidRPr="0082594D">
        <w:rPr>
          <w:b/>
          <w:sz w:val="32"/>
          <w:szCs w:val="32"/>
        </w:rPr>
        <w:t xml:space="preserve">Dodatek č. </w:t>
      </w:r>
      <w:r w:rsidR="000F72B4">
        <w:rPr>
          <w:b/>
          <w:sz w:val="32"/>
          <w:szCs w:val="32"/>
        </w:rPr>
        <w:t>1</w:t>
      </w:r>
    </w:p>
    <w:p w:rsidR="00AC14DC" w:rsidRPr="00AC14DC" w:rsidRDefault="00AC14DC" w:rsidP="00AC14DC">
      <w:pPr>
        <w:pStyle w:val="Bezmezer"/>
        <w:jc w:val="center"/>
        <w:rPr>
          <w:b/>
        </w:rPr>
      </w:pPr>
      <w:r w:rsidRPr="00AC14DC">
        <w:rPr>
          <w:b/>
        </w:rPr>
        <w:t xml:space="preserve">ke </w:t>
      </w:r>
      <w:proofErr w:type="gramStart"/>
      <w:r w:rsidRPr="00AC14DC">
        <w:rPr>
          <w:b/>
        </w:rPr>
        <w:t>SMLOUVĚ  O  DÍLO</w:t>
      </w:r>
      <w:proofErr w:type="gramEnd"/>
    </w:p>
    <w:p w:rsidR="00AC14DC" w:rsidRPr="00281536" w:rsidRDefault="00AC14DC" w:rsidP="00AC14DC">
      <w:pPr>
        <w:pStyle w:val="Bezmezer"/>
        <w:jc w:val="center"/>
        <w:rPr>
          <w:b/>
        </w:rPr>
      </w:pPr>
      <w:r w:rsidRPr="00281536">
        <w:rPr>
          <w:b/>
        </w:rPr>
        <w:t xml:space="preserve">č. </w:t>
      </w:r>
      <w:r w:rsidR="00242DF9">
        <w:rPr>
          <w:b/>
        </w:rPr>
        <w:t>181804</w:t>
      </w:r>
    </w:p>
    <w:p w:rsidR="00AC14DC" w:rsidRPr="00AC14DC" w:rsidRDefault="00AC14DC" w:rsidP="00AC14DC">
      <w:pPr>
        <w:pStyle w:val="Bezmezer"/>
        <w:jc w:val="center"/>
        <w:rPr>
          <w:b/>
        </w:rPr>
      </w:pPr>
    </w:p>
    <w:p w:rsidR="006B1ABE" w:rsidRPr="00AC14DC" w:rsidRDefault="00AC14DC" w:rsidP="006B1ABE">
      <w:pPr>
        <w:spacing w:after="0" w:line="240" w:lineRule="auto"/>
        <w:rPr>
          <w:rFonts w:ascii="Calibri" w:eastAsia="Times New Roman" w:hAnsi="Calibri" w:cs="Times New Roman"/>
          <w:b/>
          <w:lang w:eastAsia="cs-CZ"/>
        </w:rPr>
      </w:pPr>
      <w:r w:rsidRPr="00AC14DC">
        <w:rPr>
          <w:rFonts w:ascii="Calibri" w:eastAsia="Times New Roman" w:hAnsi="Calibri" w:cs="Times New Roman"/>
          <w:u w:val="single"/>
          <w:lang w:eastAsia="cs-CZ"/>
        </w:rPr>
        <w:t>Objednatel</w:t>
      </w:r>
      <w:r w:rsidRPr="00AC14DC">
        <w:rPr>
          <w:rFonts w:ascii="Calibri" w:eastAsia="Times New Roman" w:hAnsi="Calibri" w:cs="Times New Roman"/>
          <w:lang w:eastAsia="cs-CZ"/>
        </w:rPr>
        <w:t>:</w:t>
      </w:r>
      <w:r w:rsidRPr="00AC14DC">
        <w:rPr>
          <w:rFonts w:ascii="Calibri" w:eastAsia="Times New Roman" w:hAnsi="Calibri" w:cs="Times New Roman"/>
          <w:lang w:eastAsia="cs-CZ"/>
        </w:rPr>
        <w:tab/>
      </w:r>
      <w:r w:rsidRPr="00AC14DC">
        <w:rPr>
          <w:rFonts w:ascii="Calibri" w:eastAsia="Times New Roman" w:hAnsi="Calibri" w:cs="Times New Roman"/>
          <w:lang w:eastAsia="cs-CZ"/>
        </w:rPr>
        <w:tab/>
      </w:r>
      <w:r w:rsidRPr="00AC14DC">
        <w:rPr>
          <w:rFonts w:ascii="Calibri" w:eastAsia="Times New Roman" w:hAnsi="Calibri" w:cs="Times New Roman"/>
          <w:lang w:eastAsia="cs-CZ"/>
        </w:rPr>
        <w:tab/>
      </w:r>
      <w:r w:rsidRPr="00AC14DC">
        <w:rPr>
          <w:rFonts w:ascii="Calibri" w:eastAsia="Times New Roman" w:hAnsi="Calibri" w:cs="Times New Roman"/>
          <w:b/>
          <w:lang w:eastAsia="cs-CZ"/>
        </w:rPr>
        <w:t>Národní muzeum</w:t>
      </w:r>
    </w:p>
    <w:p w:rsidR="00AC14DC" w:rsidRPr="00AC14DC" w:rsidRDefault="00AC14DC" w:rsidP="00AC14DC">
      <w:pPr>
        <w:spacing w:after="0" w:line="240" w:lineRule="auto"/>
        <w:jc w:val="both"/>
        <w:rPr>
          <w:rFonts w:ascii="Calibri" w:eastAsia="Times New Roman" w:hAnsi="Calibri" w:cs="Times New Roman"/>
          <w:lang w:eastAsia="cs-CZ"/>
        </w:rPr>
      </w:pPr>
      <w:r w:rsidRPr="00AC14DC">
        <w:rPr>
          <w:rFonts w:ascii="Calibri" w:eastAsia="Times New Roman" w:hAnsi="Calibri" w:cs="Times New Roman"/>
          <w:lang w:eastAsia="cs-CZ"/>
        </w:rPr>
        <w:t>Sídlo:</w:t>
      </w:r>
      <w:r w:rsidRPr="00AC14DC">
        <w:rPr>
          <w:rFonts w:ascii="Calibri" w:eastAsia="Times New Roman" w:hAnsi="Calibri" w:cs="Times New Roman"/>
          <w:lang w:eastAsia="cs-CZ"/>
        </w:rPr>
        <w:tab/>
      </w:r>
      <w:r w:rsidRPr="00AC14DC">
        <w:rPr>
          <w:rFonts w:ascii="Calibri" w:eastAsia="Times New Roman" w:hAnsi="Calibri" w:cs="Times New Roman"/>
          <w:lang w:eastAsia="cs-CZ"/>
        </w:rPr>
        <w:tab/>
      </w:r>
      <w:r w:rsidRPr="00AC14DC">
        <w:rPr>
          <w:rFonts w:ascii="Calibri" w:eastAsia="Times New Roman" w:hAnsi="Calibri" w:cs="Times New Roman"/>
          <w:lang w:eastAsia="cs-CZ"/>
        </w:rPr>
        <w:tab/>
      </w:r>
      <w:r w:rsidRPr="00AC14DC">
        <w:rPr>
          <w:rFonts w:ascii="Calibri" w:eastAsia="Times New Roman" w:hAnsi="Calibri" w:cs="Times New Roman"/>
          <w:lang w:eastAsia="cs-CZ"/>
        </w:rPr>
        <w:tab/>
        <w:t>Václavské náměstí 68, 115 79 Praha 1</w:t>
      </w:r>
      <w:r w:rsidRPr="00AC14DC">
        <w:rPr>
          <w:rFonts w:ascii="Calibri" w:eastAsia="Times New Roman" w:hAnsi="Calibri" w:cs="Times New Roman"/>
          <w:lang w:eastAsia="cs-CZ"/>
        </w:rPr>
        <w:tab/>
      </w:r>
      <w:r w:rsidRPr="00AC14DC">
        <w:rPr>
          <w:rFonts w:ascii="Calibri" w:eastAsia="Times New Roman" w:hAnsi="Calibri" w:cs="Times New Roman"/>
          <w:lang w:eastAsia="cs-CZ"/>
        </w:rPr>
        <w:tab/>
      </w:r>
    </w:p>
    <w:p w:rsidR="00AC14DC" w:rsidRPr="00AC14DC" w:rsidRDefault="00AC14DC" w:rsidP="00AC14DC">
      <w:pPr>
        <w:spacing w:after="0" w:line="240" w:lineRule="auto"/>
        <w:jc w:val="both"/>
        <w:rPr>
          <w:rFonts w:ascii="Calibri" w:eastAsia="Times New Roman" w:hAnsi="Calibri" w:cs="Times New Roman"/>
          <w:lang w:eastAsia="cs-CZ"/>
        </w:rPr>
      </w:pPr>
      <w:r w:rsidRPr="00AC14DC">
        <w:rPr>
          <w:rFonts w:ascii="Calibri" w:eastAsia="Times New Roman" w:hAnsi="Calibri" w:cs="Times New Roman"/>
          <w:lang w:eastAsia="cs-CZ"/>
        </w:rPr>
        <w:t>Osoby oprávněné jednat</w:t>
      </w:r>
    </w:p>
    <w:p w:rsidR="00AC14DC" w:rsidRPr="00AC14DC" w:rsidRDefault="00AC14DC" w:rsidP="00AC14DC">
      <w:pPr>
        <w:spacing w:after="0" w:line="240" w:lineRule="auto"/>
        <w:ind w:left="2694" w:hanging="2691"/>
        <w:jc w:val="both"/>
        <w:rPr>
          <w:rFonts w:ascii="Calibri" w:eastAsia="Times New Roman" w:hAnsi="Calibri" w:cs="Times New Roman"/>
          <w:lang w:eastAsia="cs-CZ"/>
        </w:rPr>
      </w:pPr>
      <w:r w:rsidRPr="00AC14DC">
        <w:rPr>
          <w:rFonts w:ascii="Calibri" w:eastAsia="Times New Roman" w:hAnsi="Calibri" w:cs="Times New Roman"/>
          <w:lang w:eastAsia="cs-CZ"/>
        </w:rPr>
        <w:t>a) ve věcech smluvních:</w:t>
      </w:r>
      <w:r w:rsidRPr="00AC14DC">
        <w:rPr>
          <w:rFonts w:ascii="Calibri" w:eastAsia="Times New Roman" w:hAnsi="Calibri" w:cs="Times New Roman"/>
          <w:lang w:eastAsia="cs-CZ"/>
        </w:rPr>
        <w:tab/>
      </w:r>
      <w:r w:rsidRPr="00AC14DC">
        <w:rPr>
          <w:rFonts w:ascii="Calibri" w:eastAsia="Times New Roman" w:hAnsi="Calibri" w:cs="Times New Roman"/>
          <w:lang w:eastAsia="cs-CZ"/>
        </w:rPr>
        <w:tab/>
        <w:t xml:space="preserve">doc. PhDr. Michal Stehlík, PhD., náměstek generálního </w:t>
      </w:r>
      <w:r w:rsidRPr="00AC14DC">
        <w:rPr>
          <w:rFonts w:ascii="Calibri" w:eastAsia="Times New Roman" w:hAnsi="Calibri" w:cs="Times New Roman"/>
          <w:lang w:eastAsia="cs-CZ"/>
        </w:rPr>
        <w:tab/>
      </w:r>
      <w:r w:rsidRPr="00AC14DC">
        <w:rPr>
          <w:rFonts w:ascii="Calibri" w:eastAsia="Times New Roman" w:hAnsi="Calibri" w:cs="Times New Roman"/>
          <w:lang w:eastAsia="cs-CZ"/>
        </w:rPr>
        <w:tab/>
      </w:r>
      <w:r w:rsidRPr="00AC14DC">
        <w:rPr>
          <w:rFonts w:ascii="Calibri" w:eastAsia="Times New Roman" w:hAnsi="Calibri" w:cs="Times New Roman"/>
          <w:lang w:eastAsia="cs-CZ"/>
        </w:rPr>
        <w:tab/>
        <w:t>ředitele pro výstavní a sbírkovou činnost</w:t>
      </w:r>
    </w:p>
    <w:p w:rsidR="00AC14DC" w:rsidRPr="00AC14DC" w:rsidRDefault="00AC14DC" w:rsidP="00AC14DC">
      <w:pPr>
        <w:spacing w:after="0" w:line="240" w:lineRule="auto"/>
        <w:jc w:val="both"/>
        <w:rPr>
          <w:rFonts w:ascii="Calibri" w:eastAsia="Times New Roman" w:hAnsi="Calibri" w:cs="Times New Roman"/>
          <w:lang w:eastAsia="cs-CZ"/>
        </w:rPr>
      </w:pPr>
      <w:r w:rsidRPr="00AC14DC">
        <w:rPr>
          <w:rFonts w:ascii="Calibri" w:eastAsia="Times New Roman" w:hAnsi="Calibri" w:cs="Times New Roman"/>
          <w:lang w:eastAsia="cs-CZ"/>
        </w:rPr>
        <w:t>b) ve věcech technických:</w:t>
      </w:r>
      <w:r w:rsidRPr="00AC14DC">
        <w:rPr>
          <w:rFonts w:ascii="Calibri" w:eastAsia="Times New Roman" w:hAnsi="Calibri" w:cs="Times New Roman"/>
          <w:lang w:eastAsia="cs-CZ"/>
        </w:rPr>
        <w:tab/>
      </w:r>
      <w:r w:rsidR="003F4F0D">
        <w:rPr>
          <w:rFonts w:ascii="Calibri" w:eastAsia="Times New Roman" w:hAnsi="Calibri" w:cs="Times New Roman"/>
          <w:lang w:eastAsia="cs-CZ"/>
        </w:rPr>
        <w:t>XXXXXXXXXXXXXXXXXXXXXXXXXXXXXX</w:t>
      </w:r>
      <w:r w:rsidRPr="00AC14DC">
        <w:rPr>
          <w:rFonts w:ascii="Calibri" w:eastAsia="Times New Roman" w:hAnsi="Calibri" w:cs="Times New Roman"/>
          <w:lang w:eastAsia="cs-CZ"/>
        </w:rPr>
        <w:tab/>
      </w:r>
      <w:r w:rsidRPr="00AC14DC">
        <w:rPr>
          <w:rFonts w:ascii="Calibri" w:eastAsia="Times New Roman" w:hAnsi="Calibri" w:cs="Times New Roman"/>
          <w:lang w:eastAsia="cs-CZ"/>
        </w:rPr>
        <w:tab/>
        <w:t xml:space="preserve"> </w:t>
      </w:r>
    </w:p>
    <w:p w:rsidR="00AC14DC" w:rsidRPr="00AC14DC" w:rsidRDefault="00AC14DC" w:rsidP="00AC14DC">
      <w:pPr>
        <w:spacing w:after="0" w:line="240" w:lineRule="auto"/>
        <w:jc w:val="both"/>
        <w:rPr>
          <w:rFonts w:ascii="Calibri" w:eastAsia="Times New Roman" w:hAnsi="Calibri" w:cs="Times New Roman"/>
          <w:lang w:eastAsia="cs-CZ"/>
        </w:rPr>
      </w:pPr>
      <w:r w:rsidRPr="00AC14DC">
        <w:rPr>
          <w:rFonts w:ascii="Calibri" w:eastAsia="Times New Roman" w:hAnsi="Calibri" w:cs="Times New Roman"/>
          <w:lang w:eastAsia="cs-CZ"/>
        </w:rPr>
        <w:t>elektronický kontakt:</w:t>
      </w:r>
      <w:r w:rsidRPr="00AC14DC">
        <w:rPr>
          <w:rFonts w:ascii="Calibri" w:eastAsia="Times New Roman" w:hAnsi="Calibri" w:cs="Times New Roman"/>
          <w:lang w:eastAsia="cs-CZ"/>
        </w:rPr>
        <w:tab/>
      </w:r>
      <w:r w:rsidRPr="00AC14DC">
        <w:rPr>
          <w:rFonts w:ascii="Calibri" w:eastAsia="Times New Roman" w:hAnsi="Calibri" w:cs="Times New Roman"/>
          <w:lang w:eastAsia="cs-CZ"/>
        </w:rPr>
        <w:tab/>
      </w:r>
      <w:r w:rsidR="003F4F0D">
        <w:rPr>
          <w:rFonts w:ascii="Calibri" w:eastAsia="Times New Roman" w:hAnsi="Calibri" w:cs="Times New Roman"/>
          <w:lang w:eastAsia="cs-CZ"/>
        </w:rPr>
        <w:t>XXXXXXXXXXXXXXXXXXXXX</w:t>
      </w:r>
    </w:p>
    <w:p w:rsidR="00AC14DC" w:rsidRPr="00AC14DC" w:rsidRDefault="00AC14DC" w:rsidP="00AC14DC">
      <w:pPr>
        <w:spacing w:after="0" w:line="240" w:lineRule="auto"/>
        <w:jc w:val="both"/>
        <w:rPr>
          <w:rFonts w:ascii="Calibri" w:eastAsia="Times New Roman" w:hAnsi="Calibri" w:cs="Times New Roman"/>
          <w:lang w:eastAsia="cs-CZ"/>
        </w:rPr>
      </w:pPr>
      <w:r w:rsidRPr="00AC14DC">
        <w:rPr>
          <w:rFonts w:ascii="Calibri" w:eastAsia="Times New Roman" w:hAnsi="Calibri" w:cs="Times New Roman"/>
          <w:lang w:eastAsia="cs-CZ"/>
        </w:rPr>
        <w:t>IČ:</w:t>
      </w:r>
      <w:r w:rsidRPr="00AC14DC">
        <w:rPr>
          <w:rFonts w:ascii="Calibri" w:eastAsia="Times New Roman" w:hAnsi="Calibri" w:cs="Times New Roman"/>
          <w:lang w:eastAsia="cs-CZ"/>
        </w:rPr>
        <w:tab/>
      </w:r>
      <w:r w:rsidRPr="00AC14DC">
        <w:rPr>
          <w:rFonts w:ascii="Calibri" w:eastAsia="Times New Roman" w:hAnsi="Calibri" w:cs="Times New Roman"/>
          <w:lang w:eastAsia="cs-CZ"/>
        </w:rPr>
        <w:tab/>
      </w:r>
      <w:r w:rsidRPr="00AC14DC">
        <w:rPr>
          <w:rFonts w:ascii="Calibri" w:eastAsia="Times New Roman" w:hAnsi="Calibri" w:cs="Times New Roman"/>
          <w:lang w:eastAsia="cs-CZ"/>
        </w:rPr>
        <w:tab/>
      </w:r>
      <w:r w:rsidRPr="00AC14DC">
        <w:rPr>
          <w:rFonts w:ascii="Calibri" w:eastAsia="Times New Roman" w:hAnsi="Calibri" w:cs="Times New Roman"/>
          <w:lang w:eastAsia="cs-CZ"/>
        </w:rPr>
        <w:tab/>
        <w:t>00023272</w:t>
      </w:r>
    </w:p>
    <w:p w:rsidR="00AC14DC" w:rsidRPr="00AC14DC" w:rsidRDefault="00AC14DC" w:rsidP="00AC14DC">
      <w:pPr>
        <w:spacing w:after="0" w:line="240" w:lineRule="auto"/>
        <w:jc w:val="both"/>
        <w:rPr>
          <w:rFonts w:ascii="Calibri" w:eastAsia="Times New Roman" w:hAnsi="Calibri" w:cs="Times New Roman"/>
          <w:lang w:eastAsia="cs-CZ"/>
        </w:rPr>
      </w:pPr>
      <w:r w:rsidRPr="00AC14DC">
        <w:rPr>
          <w:rFonts w:ascii="Calibri" w:eastAsia="Times New Roman" w:hAnsi="Calibri" w:cs="Times New Roman"/>
          <w:lang w:eastAsia="cs-CZ"/>
        </w:rPr>
        <w:t>DIČ:</w:t>
      </w:r>
      <w:r w:rsidRPr="00AC14DC">
        <w:rPr>
          <w:rFonts w:ascii="Calibri" w:eastAsia="Times New Roman" w:hAnsi="Calibri" w:cs="Times New Roman"/>
          <w:lang w:eastAsia="cs-CZ"/>
        </w:rPr>
        <w:tab/>
      </w:r>
      <w:r w:rsidRPr="00AC14DC">
        <w:rPr>
          <w:rFonts w:ascii="Calibri" w:eastAsia="Times New Roman" w:hAnsi="Calibri" w:cs="Times New Roman"/>
          <w:lang w:eastAsia="cs-CZ"/>
        </w:rPr>
        <w:tab/>
      </w:r>
      <w:r w:rsidRPr="00AC14DC">
        <w:rPr>
          <w:rFonts w:ascii="Calibri" w:eastAsia="Times New Roman" w:hAnsi="Calibri" w:cs="Times New Roman"/>
          <w:lang w:eastAsia="cs-CZ"/>
        </w:rPr>
        <w:tab/>
      </w:r>
      <w:r w:rsidRPr="00AC14DC">
        <w:rPr>
          <w:rFonts w:ascii="Calibri" w:eastAsia="Times New Roman" w:hAnsi="Calibri" w:cs="Times New Roman"/>
          <w:lang w:eastAsia="cs-CZ"/>
        </w:rPr>
        <w:tab/>
        <w:t>CZ 00023272</w:t>
      </w:r>
    </w:p>
    <w:p w:rsidR="00FB76FB" w:rsidRPr="00AC14DC" w:rsidRDefault="00FB76FB" w:rsidP="00AC14DC">
      <w:pPr>
        <w:spacing w:after="0" w:line="240" w:lineRule="auto"/>
        <w:jc w:val="both"/>
        <w:rPr>
          <w:rFonts w:ascii="Calibri" w:eastAsia="Times New Roman" w:hAnsi="Calibri" w:cs="Times New Roman"/>
          <w:lang w:eastAsia="cs-CZ"/>
        </w:rPr>
      </w:pPr>
    </w:p>
    <w:p w:rsidR="00AC14DC" w:rsidRPr="00AC14DC" w:rsidRDefault="00AC14DC" w:rsidP="00AC14DC">
      <w:pPr>
        <w:spacing w:after="0" w:line="240" w:lineRule="auto"/>
        <w:rPr>
          <w:rFonts w:ascii="Calibri" w:eastAsia="Times New Roman" w:hAnsi="Calibri" w:cs="Times New Roman"/>
          <w:lang w:eastAsia="cs-CZ"/>
        </w:rPr>
      </w:pPr>
      <w:r w:rsidRPr="00AC14DC">
        <w:rPr>
          <w:rFonts w:ascii="Calibri" w:eastAsia="Times New Roman" w:hAnsi="Calibri" w:cs="Times New Roman"/>
          <w:lang w:eastAsia="cs-CZ"/>
        </w:rPr>
        <w:t>(dále jen objednatel)</w:t>
      </w:r>
    </w:p>
    <w:p w:rsidR="00AC14DC" w:rsidRPr="00AC14DC" w:rsidRDefault="00AC14DC" w:rsidP="00AC14DC">
      <w:pPr>
        <w:spacing w:after="0" w:line="240" w:lineRule="auto"/>
        <w:jc w:val="center"/>
        <w:rPr>
          <w:rFonts w:ascii="Calibri" w:eastAsia="Times New Roman" w:hAnsi="Calibri" w:cs="Times New Roman"/>
          <w:lang w:eastAsia="cs-CZ"/>
        </w:rPr>
      </w:pPr>
    </w:p>
    <w:p w:rsidR="00AC14DC" w:rsidRDefault="006B1ABE" w:rsidP="00AC14DC">
      <w:pPr>
        <w:spacing w:after="0" w:line="240" w:lineRule="auto"/>
        <w:jc w:val="both"/>
        <w:rPr>
          <w:rFonts w:ascii="Calibri" w:eastAsia="Times New Roman" w:hAnsi="Calibri" w:cs="Times New Roman"/>
          <w:lang w:eastAsia="cs-CZ"/>
        </w:rPr>
      </w:pPr>
      <w:r>
        <w:rPr>
          <w:rFonts w:ascii="Calibri" w:eastAsia="Times New Roman" w:hAnsi="Calibri" w:cs="Times New Roman"/>
          <w:lang w:eastAsia="cs-CZ"/>
        </w:rPr>
        <w:t>a</w:t>
      </w:r>
    </w:p>
    <w:p w:rsidR="00AC14DC" w:rsidRPr="00C9798E" w:rsidRDefault="00C9798E" w:rsidP="00C9798E">
      <w:pPr>
        <w:rPr>
          <w:b/>
          <w:bCs/>
        </w:rPr>
      </w:pPr>
      <w:r>
        <w:rPr>
          <w:b/>
          <w:bCs/>
        </w:rPr>
        <w:tab/>
        <w:t xml:space="preserve">         </w:t>
      </w:r>
    </w:p>
    <w:p w:rsidR="00FB76FB" w:rsidRPr="009403F6" w:rsidRDefault="00AC14DC" w:rsidP="00FB76FB">
      <w:pPr>
        <w:rPr>
          <w:b/>
          <w:bCs/>
        </w:rPr>
      </w:pPr>
      <w:r w:rsidRPr="00AC14DC">
        <w:rPr>
          <w:rFonts w:ascii="Calibri" w:eastAsia="Times New Roman" w:hAnsi="Calibri" w:cs="Times New Roman"/>
          <w:u w:val="single"/>
          <w:lang w:eastAsia="cs-CZ"/>
        </w:rPr>
        <w:t>Zhotovitel:</w:t>
      </w:r>
      <w:r w:rsidR="00EC3037">
        <w:rPr>
          <w:rFonts w:ascii="Calibri" w:eastAsia="Times New Roman" w:hAnsi="Calibri" w:cs="Times New Roman"/>
          <w:lang w:eastAsia="cs-CZ"/>
        </w:rPr>
        <w:tab/>
      </w:r>
      <w:r w:rsidR="00EC3037">
        <w:rPr>
          <w:rFonts w:ascii="Calibri" w:eastAsia="Times New Roman" w:hAnsi="Calibri" w:cs="Times New Roman"/>
          <w:lang w:eastAsia="cs-CZ"/>
        </w:rPr>
        <w:tab/>
      </w:r>
      <w:r w:rsidR="00FB76FB">
        <w:rPr>
          <w:rFonts w:ascii="Calibri" w:eastAsia="Times New Roman" w:hAnsi="Calibri" w:cs="Times New Roman"/>
          <w:lang w:eastAsia="cs-CZ"/>
        </w:rPr>
        <w:tab/>
      </w:r>
      <w:r w:rsidR="00FB76FB">
        <w:rPr>
          <w:b/>
          <w:bCs/>
        </w:rPr>
        <w:t>Ing.</w:t>
      </w:r>
      <w:r w:rsidR="001B17AD">
        <w:rPr>
          <w:b/>
          <w:bCs/>
        </w:rPr>
        <w:t xml:space="preserve"> </w:t>
      </w:r>
      <w:r w:rsidR="00FB76FB">
        <w:rPr>
          <w:b/>
          <w:bCs/>
        </w:rPr>
        <w:t>arch.</w:t>
      </w:r>
      <w:r w:rsidR="001B17AD">
        <w:rPr>
          <w:b/>
          <w:bCs/>
        </w:rPr>
        <w:t xml:space="preserve"> </w:t>
      </w:r>
      <w:r w:rsidR="00242DF9">
        <w:rPr>
          <w:b/>
          <w:bCs/>
        </w:rPr>
        <w:t>Tomáš Bílek</w:t>
      </w: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1"/>
        <w:gridCol w:w="6441"/>
      </w:tblGrid>
      <w:tr w:rsidR="00FB76FB" w:rsidRPr="009403F6" w:rsidTr="00AA23A3">
        <w:tc>
          <w:tcPr>
            <w:tcW w:w="2631" w:type="dxa"/>
          </w:tcPr>
          <w:p w:rsidR="00FB76FB" w:rsidRPr="009403F6" w:rsidRDefault="00FB76FB" w:rsidP="00AA23A3">
            <w:r w:rsidRPr="009403F6">
              <w:t>Se sídlem:</w:t>
            </w:r>
          </w:p>
        </w:tc>
        <w:tc>
          <w:tcPr>
            <w:tcW w:w="6441" w:type="dxa"/>
          </w:tcPr>
          <w:p w:rsidR="00FB76FB" w:rsidRPr="004125D4" w:rsidRDefault="00242DF9" w:rsidP="000842F1">
            <w:pPr>
              <w:ind w:left="204"/>
            </w:pPr>
            <w:r>
              <w:t>Terronská 66/877, 160 00 Praha 6</w:t>
            </w:r>
          </w:p>
        </w:tc>
      </w:tr>
      <w:tr w:rsidR="00FB76FB" w:rsidRPr="009403F6" w:rsidTr="00AA23A3">
        <w:tc>
          <w:tcPr>
            <w:tcW w:w="2631" w:type="dxa"/>
          </w:tcPr>
          <w:p w:rsidR="00FB76FB" w:rsidRPr="009403F6" w:rsidRDefault="00FB76FB" w:rsidP="00AA23A3">
            <w:r w:rsidRPr="009403F6">
              <w:t>IČO:</w:t>
            </w:r>
          </w:p>
        </w:tc>
        <w:tc>
          <w:tcPr>
            <w:tcW w:w="6441" w:type="dxa"/>
          </w:tcPr>
          <w:p w:rsidR="00FB76FB" w:rsidRPr="004125D4" w:rsidRDefault="00242DF9" w:rsidP="000842F1">
            <w:pPr>
              <w:ind w:left="204"/>
            </w:pPr>
            <w:r>
              <w:t>66011281</w:t>
            </w:r>
          </w:p>
        </w:tc>
      </w:tr>
      <w:tr w:rsidR="00FB76FB" w:rsidRPr="009403F6" w:rsidTr="00AA23A3">
        <w:tc>
          <w:tcPr>
            <w:tcW w:w="2631" w:type="dxa"/>
          </w:tcPr>
          <w:p w:rsidR="00FB76FB" w:rsidRPr="009403F6" w:rsidRDefault="00FB76FB" w:rsidP="00AA23A3">
            <w:r w:rsidRPr="009403F6">
              <w:t>DIČ:</w:t>
            </w:r>
          </w:p>
        </w:tc>
        <w:tc>
          <w:tcPr>
            <w:tcW w:w="6441" w:type="dxa"/>
          </w:tcPr>
          <w:p w:rsidR="00FB76FB" w:rsidRPr="004125D4" w:rsidRDefault="001B17AD" w:rsidP="00242DF9">
            <w:pPr>
              <w:ind w:left="204"/>
            </w:pPr>
            <w:r>
              <w:t>CZ</w:t>
            </w:r>
            <w:r w:rsidR="00242DF9">
              <w:t>7110030389</w:t>
            </w:r>
          </w:p>
        </w:tc>
      </w:tr>
    </w:tbl>
    <w:p w:rsidR="00AC14DC" w:rsidRPr="006B1ABE" w:rsidRDefault="00AC14DC" w:rsidP="00281536">
      <w:pPr>
        <w:rPr>
          <w:b/>
          <w:bCs/>
        </w:rPr>
      </w:pPr>
    </w:p>
    <w:p w:rsidR="00AC14DC" w:rsidRPr="00AC14DC" w:rsidRDefault="00AC14DC" w:rsidP="00AC14DC">
      <w:pPr>
        <w:spacing w:after="0" w:line="240" w:lineRule="auto"/>
        <w:jc w:val="both"/>
        <w:rPr>
          <w:rFonts w:ascii="Calibri" w:eastAsia="Times New Roman" w:hAnsi="Calibri" w:cs="Times New Roman"/>
          <w:lang w:eastAsia="cs-CZ"/>
        </w:rPr>
      </w:pPr>
      <w:r w:rsidRPr="00AC14DC">
        <w:rPr>
          <w:rFonts w:ascii="Calibri" w:eastAsia="Times New Roman" w:hAnsi="Calibri" w:cs="Times New Roman"/>
          <w:lang w:eastAsia="cs-CZ"/>
        </w:rPr>
        <w:t>(dále jen zhotovitel)</w:t>
      </w:r>
    </w:p>
    <w:p w:rsidR="00281536" w:rsidRPr="00AC14DC" w:rsidRDefault="00281536" w:rsidP="00AC14DC">
      <w:pPr>
        <w:spacing w:after="0" w:line="240" w:lineRule="auto"/>
        <w:jc w:val="both"/>
        <w:rPr>
          <w:rFonts w:ascii="Calibri" w:eastAsia="Times New Roman" w:hAnsi="Calibri" w:cs="Times New Roman"/>
          <w:b/>
          <w:bCs/>
          <w:lang w:eastAsia="cs-CZ"/>
        </w:rPr>
      </w:pPr>
    </w:p>
    <w:p w:rsidR="00AC14DC" w:rsidRPr="00AC14DC" w:rsidRDefault="00AC14DC" w:rsidP="00AC14DC">
      <w:pPr>
        <w:spacing w:after="0" w:line="240" w:lineRule="auto"/>
        <w:jc w:val="center"/>
        <w:rPr>
          <w:rFonts w:ascii="Calibri" w:eastAsia="Times New Roman" w:hAnsi="Calibri" w:cs="Times New Roman"/>
          <w:b/>
          <w:bCs/>
          <w:lang w:eastAsia="cs-CZ"/>
        </w:rPr>
      </w:pPr>
    </w:p>
    <w:p w:rsidR="00AC14DC" w:rsidRPr="00AC14DC" w:rsidRDefault="00AC14DC" w:rsidP="00AC14DC">
      <w:pPr>
        <w:spacing w:after="0" w:line="240" w:lineRule="auto"/>
        <w:jc w:val="center"/>
        <w:rPr>
          <w:rFonts w:ascii="Calibri" w:eastAsia="Times New Roman" w:hAnsi="Calibri" w:cs="Times New Roman"/>
          <w:b/>
          <w:bCs/>
          <w:lang w:eastAsia="cs-CZ"/>
        </w:rPr>
      </w:pPr>
      <w:r w:rsidRPr="00AC14DC">
        <w:rPr>
          <w:rFonts w:ascii="Calibri" w:eastAsia="Times New Roman" w:hAnsi="Calibri" w:cs="Times New Roman"/>
          <w:b/>
          <w:bCs/>
          <w:lang w:eastAsia="cs-CZ"/>
        </w:rPr>
        <w:t>I.</w:t>
      </w:r>
    </w:p>
    <w:p w:rsidR="00AC14DC" w:rsidRPr="00DD7BCF" w:rsidRDefault="00AC14DC" w:rsidP="00AC14DC">
      <w:pPr>
        <w:spacing w:after="0" w:line="240" w:lineRule="auto"/>
        <w:jc w:val="both"/>
        <w:rPr>
          <w:rFonts w:ascii="Calibri" w:eastAsia="Times New Roman" w:hAnsi="Calibri" w:cs="Times New Roman"/>
          <w:bCs/>
          <w:lang w:eastAsia="cs-CZ"/>
        </w:rPr>
      </w:pPr>
      <w:r w:rsidRPr="00DD7BCF">
        <w:rPr>
          <w:rFonts w:ascii="Calibri" w:eastAsia="Times New Roman" w:hAnsi="Calibri" w:cs="Times New Roman"/>
          <w:bCs/>
          <w:lang w:eastAsia="cs-CZ"/>
        </w:rPr>
        <w:t xml:space="preserve">Shora uvedené smluvní strany uzavřely </w:t>
      </w:r>
      <w:r w:rsidR="00FB76FB">
        <w:rPr>
          <w:rFonts w:ascii="Calibri" w:eastAsia="Times New Roman" w:hAnsi="Calibri" w:cs="Times New Roman"/>
          <w:bCs/>
          <w:lang w:eastAsia="cs-CZ"/>
        </w:rPr>
        <w:t xml:space="preserve">dne </w:t>
      </w:r>
      <w:r w:rsidR="00242DF9">
        <w:rPr>
          <w:rFonts w:ascii="Calibri" w:eastAsia="Times New Roman" w:hAnsi="Calibri" w:cs="Times New Roman"/>
          <w:b/>
          <w:bCs/>
          <w:lang w:eastAsia="cs-CZ"/>
        </w:rPr>
        <w:t>18. 3. 2019</w:t>
      </w:r>
      <w:r w:rsidRPr="00D96596">
        <w:rPr>
          <w:rFonts w:ascii="Calibri" w:eastAsia="Times New Roman" w:hAnsi="Calibri" w:cs="Times New Roman"/>
          <w:b/>
          <w:bCs/>
          <w:lang w:eastAsia="cs-CZ"/>
        </w:rPr>
        <w:t xml:space="preserve"> </w:t>
      </w:r>
      <w:r w:rsidRPr="00DD7BCF">
        <w:rPr>
          <w:rFonts w:ascii="Calibri" w:eastAsia="Times New Roman" w:hAnsi="Calibri" w:cs="Times New Roman"/>
          <w:bCs/>
          <w:lang w:eastAsia="cs-CZ"/>
        </w:rPr>
        <w:t xml:space="preserve">v souladu s ustanoveními § 2586 a násl. </w:t>
      </w:r>
      <w:r w:rsidR="00696660">
        <w:rPr>
          <w:rFonts w:ascii="Calibri" w:eastAsia="Times New Roman" w:hAnsi="Calibri" w:cs="Times New Roman"/>
          <w:bCs/>
          <w:lang w:eastAsia="cs-CZ"/>
        </w:rPr>
        <w:t>a </w:t>
      </w:r>
      <w:r w:rsidRPr="00DD7BCF">
        <w:rPr>
          <w:rFonts w:ascii="Calibri" w:eastAsia="Times New Roman" w:hAnsi="Calibri" w:cs="Times New Roman"/>
          <w:bCs/>
          <w:lang w:eastAsia="cs-CZ"/>
        </w:rPr>
        <w:t>§ 2623 a násl. zákona č. 89/2012 Sb., občanský zákoník, smlouvu o dílo shora uvedeného čísla (dále jen Smlouva).</w:t>
      </w:r>
    </w:p>
    <w:p w:rsidR="00DD7BCF" w:rsidRDefault="00B50B41" w:rsidP="00DD7BCF">
      <w:pPr>
        <w:jc w:val="both"/>
        <w:rPr>
          <w:rFonts w:cs="Arial"/>
        </w:rPr>
      </w:pPr>
      <w:r>
        <w:rPr>
          <w:rFonts w:cs="Arial"/>
        </w:rPr>
        <w:t>V rámci příprav výstavy vznikla potřeba změny původního zadání výstavy, smluvní strany se dohodly</w:t>
      </w:r>
      <w:r w:rsidR="00DD7BCF" w:rsidRPr="00DD7BCF">
        <w:rPr>
          <w:rFonts w:cs="Arial"/>
        </w:rPr>
        <w:t xml:space="preserve"> na následující změně Smlouvy takto:</w:t>
      </w:r>
    </w:p>
    <w:p w:rsidR="00DD7BCF" w:rsidRPr="00D24747" w:rsidRDefault="00DD7BCF" w:rsidP="009F10F2">
      <w:pPr>
        <w:spacing w:after="0"/>
        <w:jc w:val="center"/>
        <w:rPr>
          <w:rFonts w:cs="Arial"/>
          <w:b/>
          <w:sz w:val="24"/>
          <w:szCs w:val="24"/>
        </w:rPr>
      </w:pPr>
      <w:r w:rsidRPr="00D24747">
        <w:rPr>
          <w:rFonts w:cs="Arial"/>
          <w:b/>
          <w:sz w:val="24"/>
          <w:szCs w:val="24"/>
        </w:rPr>
        <w:t>II.</w:t>
      </w:r>
    </w:p>
    <w:p w:rsidR="00B10428" w:rsidRDefault="00DD7BCF" w:rsidP="00B80F76">
      <w:pPr>
        <w:spacing w:after="0"/>
        <w:jc w:val="both"/>
        <w:rPr>
          <w:rFonts w:cs="Arial"/>
          <w:b/>
          <w:sz w:val="24"/>
          <w:szCs w:val="24"/>
        </w:rPr>
      </w:pPr>
      <w:r w:rsidRPr="006B1ABE">
        <w:rPr>
          <w:rFonts w:cs="Arial"/>
          <w:b/>
          <w:sz w:val="24"/>
          <w:szCs w:val="24"/>
        </w:rPr>
        <w:t>Ustanovení č</w:t>
      </w:r>
      <w:r w:rsidR="00341EDF">
        <w:rPr>
          <w:rFonts w:cs="Arial"/>
          <w:b/>
          <w:sz w:val="24"/>
          <w:szCs w:val="24"/>
        </w:rPr>
        <w:t xml:space="preserve">l. III </w:t>
      </w:r>
      <w:r w:rsidR="005612C7">
        <w:rPr>
          <w:rFonts w:cs="Arial"/>
          <w:b/>
          <w:sz w:val="24"/>
          <w:szCs w:val="24"/>
        </w:rPr>
        <w:t xml:space="preserve">a následujících odstavců </w:t>
      </w:r>
      <w:r w:rsidR="00B10428">
        <w:rPr>
          <w:rFonts w:cs="Arial"/>
          <w:b/>
          <w:sz w:val="24"/>
          <w:szCs w:val="24"/>
        </w:rPr>
        <w:t>se mění</w:t>
      </w:r>
      <w:r w:rsidR="00B80F76">
        <w:rPr>
          <w:rFonts w:cs="Arial"/>
          <w:b/>
          <w:sz w:val="24"/>
          <w:szCs w:val="24"/>
        </w:rPr>
        <w:t xml:space="preserve"> a doplňuje</w:t>
      </w:r>
      <w:r w:rsidRPr="006B1ABE">
        <w:rPr>
          <w:rFonts w:cs="Arial"/>
          <w:b/>
          <w:sz w:val="24"/>
          <w:szCs w:val="24"/>
        </w:rPr>
        <w:t>:</w:t>
      </w:r>
    </w:p>
    <w:p w:rsidR="000842F1" w:rsidRDefault="000842F1" w:rsidP="000842F1">
      <w:pPr>
        <w:spacing w:after="0"/>
        <w:jc w:val="both"/>
        <w:rPr>
          <w:rFonts w:eastAsiaTheme="minorEastAsia"/>
          <w:b/>
          <w:lang w:bidi="en-US"/>
        </w:rPr>
      </w:pPr>
      <w:r w:rsidRPr="00F93F46">
        <w:rPr>
          <w:rFonts w:eastAsiaTheme="minorEastAsia"/>
          <w:b/>
          <w:lang w:bidi="en-US"/>
        </w:rPr>
        <w:t>Povinnosti a termíny zhotovitele</w:t>
      </w:r>
    </w:p>
    <w:p w:rsidR="00C66854" w:rsidRDefault="00C66854" w:rsidP="000842F1">
      <w:pPr>
        <w:spacing w:after="0"/>
        <w:jc w:val="both"/>
        <w:rPr>
          <w:rFonts w:eastAsiaTheme="minorEastAsia"/>
          <w:b/>
          <w:lang w:bidi="en-US"/>
        </w:rPr>
      </w:pPr>
    </w:p>
    <w:p w:rsidR="000842F1" w:rsidRPr="00F93F46" w:rsidRDefault="000842F1" w:rsidP="000842F1">
      <w:pPr>
        <w:spacing w:after="0"/>
        <w:jc w:val="both"/>
        <w:rPr>
          <w:rFonts w:eastAsiaTheme="minorEastAsia"/>
          <w:lang w:bidi="en-US"/>
        </w:rPr>
      </w:pPr>
      <w:r w:rsidRPr="00F93F46">
        <w:rPr>
          <w:rFonts w:eastAsiaTheme="minorEastAsia"/>
          <w:lang w:bidi="en-US"/>
        </w:rPr>
        <w:t>Zhotovitel se podpisem této smlouvy zavazuje:</w:t>
      </w:r>
    </w:p>
    <w:p w:rsidR="000842F1" w:rsidRPr="00F93F46" w:rsidRDefault="000842F1" w:rsidP="000842F1">
      <w:pPr>
        <w:numPr>
          <w:ilvl w:val="0"/>
          <w:numId w:val="7"/>
        </w:numPr>
        <w:spacing w:after="0"/>
        <w:contextualSpacing/>
        <w:jc w:val="both"/>
        <w:rPr>
          <w:rFonts w:eastAsiaTheme="minorEastAsia"/>
          <w:lang w:bidi="en-US"/>
        </w:rPr>
      </w:pPr>
      <w:r w:rsidRPr="00F93F46">
        <w:rPr>
          <w:rFonts w:eastAsiaTheme="minorEastAsia"/>
          <w:lang w:bidi="en-US"/>
        </w:rPr>
        <w:t xml:space="preserve">Zhotovit veškerou výkresovou dokumentaci projektu pro realizaci výstavy, včetně návrhu výstavního mobiliáře. Realizační projekt bude proveden tak, aby mohl být použit jako zadávací dokumentace pro zhotovitele stavby výstavy. Jeho součástí bude úplná specifikace prvků (soupis položek) a technická zpráva včetně kontrolního rozpočtu vyplněného do tabulky </w:t>
      </w:r>
      <w:r w:rsidRPr="00F93F46">
        <w:rPr>
          <w:rFonts w:eastAsiaTheme="minorEastAsia"/>
          <w:i/>
          <w:lang w:bidi="en-US"/>
        </w:rPr>
        <w:t>Výkazu výměr,</w:t>
      </w:r>
      <w:r w:rsidRPr="00F93F46">
        <w:rPr>
          <w:rFonts w:eastAsiaTheme="minorEastAsia"/>
          <w:lang w:bidi="en-US"/>
        </w:rPr>
        <w:t xml:space="preserve"> která bude dodána zhotoviteli zadavatelem. Projektová dokumentace b</w:t>
      </w:r>
      <w:r w:rsidR="002A34A6">
        <w:rPr>
          <w:rFonts w:eastAsiaTheme="minorEastAsia"/>
          <w:lang w:bidi="en-US"/>
        </w:rPr>
        <w:t xml:space="preserve">ude provedena v měřítku </w:t>
      </w:r>
      <w:r w:rsidR="002A34A6">
        <w:rPr>
          <w:rFonts w:eastAsiaTheme="minorEastAsia"/>
          <w:lang w:bidi="en-US"/>
        </w:rPr>
        <w:lastRenderedPageBreak/>
        <w:t>1:100, 1:30, v případě potřeby i jiné, dle uvážení zhotovitele</w:t>
      </w:r>
      <w:r w:rsidRPr="00F93F46">
        <w:rPr>
          <w:rFonts w:eastAsiaTheme="minorEastAsia"/>
          <w:lang w:bidi="en-US"/>
        </w:rPr>
        <w:t>. Zhotovi</w:t>
      </w:r>
      <w:r w:rsidR="00696660">
        <w:rPr>
          <w:rFonts w:eastAsiaTheme="minorEastAsia"/>
          <w:lang w:bidi="en-US"/>
        </w:rPr>
        <w:t>tel je povinen si bez ohledu na </w:t>
      </w:r>
      <w:r w:rsidRPr="00F93F46">
        <w:rPr>
          <w:rFonts w:eastAsiaTheme="minorEastAsia"/>
          <w:lang w:bidi="en-US"/>
        </w:rPr>
        <w:t>dodané podklady přeměřit rozměry výstavních sálů.</w:t>
      </w:r>
    </w:p>
    <w:p w:rsidR="000842F1" w:rsidRDefault="000842F1" w:rsidP="000842F1">
      <w:pPr>
        <w:spacing w:after="0"/>
        <w:ind w:left="360"/>
        <w:contextualSpacing/>
        <w:jc w:val="both"/>
        <w:rPr>
          <w:rFonts w:eastAsiaTheme="minorEastAsia"/>
          <w:b/>
          <w:lang w:bidi="en-US"/>
        </w:rPr>
      </w:pPr>
      <w:r w:rsidRPr="00A02EC0">
        <w:rPr>
          <w:rFonts w:eastAsiaTheme="minorEastAsia"/>
          <w:b/>
          <w:lang w:bidi="en-US"/>
        </w:rPr>
        <w:t xml:space="preserve">Odevzdání PD </w:t>
      </w:r>
      <w:proofErr w:type="gramStart"/>
      <w:r w:rsidRPr="00A02EC0">
        <w:rPr>
          <w:rFonts w:eastAsiaTheme="minorEastAsia"/>
          <w:b/>
          <w:lang w:bidi="en-US"/>
        </w:rPr>
        <w:t>ke</w:t>
      </w:r>
      <w:proofErr w:type="gramEnd"/>
      <w:r w:rsidRPr="00A02EC0">
        <w:rPr>
          <w:rFonts w:eastAsiaTheme="minorEastAsia"/>
          <w:b/>
          <w:lang w:bidi="en-US"/>
        </w:rPr>
        <w:t xml:space="preserve"> připomínkám:</w:t>
      </w:r>
      <w:r>
        <w:rPr>
          <w:rFonts w:eastAsiaTheme="minorEastAsia"/>
          <w:lang w:bidi="en-US"/>
        </w:rPr>
        <w:t xml:space="preserve"> </w:t>
      </w:r>
      <w:r w:rsidR="002A34A6">
        <w:rPr>
          <w:rFonts w:eastAsiaTheme="minorEastAsia"/>
          <w:b/>
          <w:lang w:bidi="en-US"/>
        </w:rPr>
        <w:t>18. 4. 2019</w:t>
      </w:r>
    </w:p>
    <w:p w:rsidR="002A34A6" w:rsidRPr="00A02EC0" w:rsidRDefault="002A34A6" w:rsidP="000842F1">
      <w:pPr>
        <w:spacing w:after="0"/>
        <w:ind w:left="360"/>
        <w:contextualSpacing/>
        <w:jc w:val="both"/>
        <w:rPr>
          <w:rFonts w:eastAsiaTheme="minorEastAsia"/>
          <w:lang w:bidi="en-US"/>
        </w:rPr>
      </w:pPr>
      <w:r>
        <w:rPr>
          <w:rFonts w:eastAsiaTheme="minorEastAsia"/>
          <w:b/>
          <w:lang w:bidi="en-US"/>
        </w:rPr>
        <w:t>Předání připomínek: 24. 4. 2019</w:t>
      </w:r>
    </w:p>
    <w:p w:rsidR="000842F1" w:rsidRPr="00F93F46" w:rsidRDefault="000842F1" w:rsidP="000842F1">
      <w:pPr>
        <w:spacing w:after="0"/>
        <w:ind w:firstLine="360"/>
        <w:jc w:val="both"/>
        <w:rPr>
          <w:rFonts w:eastAsiaTheme="minorEastAsia"/>
          <w:lang w:bidi="en-US"/>
        </w:rPr>
      </w:pPr>
      <w:r w:rsidRPr="00A02EC0">
        <w:rPr>
          <w:rFonts w:eastAsiaTheme="minorEastAsia"/>
          <w:b/>
          <w:lang w:bidi="en-US"/>
        </w:rPr>
        <w:t>Odevzdání finální PD</w:t>
      </w:r>
      <w:r w:rsidR="002A34A6">
        <w:rPr>
          <w:rFonts w:eastAsiaTheme="minorEastAsia"/>
          <w:b/>
          <w:lang w:bidi="en-US"/>
        </w:rPr>
        <w:t xml:space="preserve"> včetně výkazu výměr a kontrolního rozpočtu</w:t>
      </w:r>
      <w:r w:rsidRPr="00A02EC0">
        <w:rPr>
          <w:rFonts w:eastAsiaTheme="minorEastAsia"/>
          <w:b/>
          <w:lang w:bidi="en-US"/>
        </w:rPr>
        <w:t>:</w:t>
      </w:r>
      <w:r>
        <w:rPr>
          <w:rFonts w:eastAsiaTheme="minorEastAsia"/>
          <w:lang w:bidi="en-US"/>
        </w:rPr>
        <w:t xml:space="preserve"> </w:t>
      </w:r>
      <w:r w:rsidR="002A34A6">
        <w:rPr>
          <w:rFonts w:eastAsiaTheme="minorEastAsia"/>
          <w:b/>
          <w:lang w:bidi="en-US"/>
        </w:rPr>
        <w:t>26</w:t>
      </w:r>
      <w:r w:rsidR="007A5946">
        <w:rPr>
          <w:rFonts w:eastAsiaTheme="minorEastAsia"/>
          <w:b/>
          <w:lang w:bidi="en-US"/>
        </w:rPr>
        <w:t>. 4. 2019</w:t>
      </w:r>
    </w:p>
    <w:p w:rsidR="000842F1" w:rsidRPr="00F93F46" w:rsidRDefault="000842F1" w:rsidP="000842F1">
      <w:pPr>
        <w:numPr>
          <w:ilvl w:val="0"/>
          <w:numId w:val="7"/>
        </w:numPr>
        <w:spacing w:after="0"/>
        <w:contextualSpacing/>
        <w:jc w:val="both"/>
        <w:rPr>
          <w:rFonts w:eastAsiaTheme="minorEastAsia"/>
          <w:lang w:bidi="en-US"/>
        </w:rPr>
      </w:pPr>
      <w:r w:rsidRPr="00F93F46">
        <w:rPr>
          <w:rFonts w:eastAsiaTheme="minorEastAsia"/>
          <w:lang w:bidi="en-US"/>
        </w:rPr>
        <w:t>Provádět pravidelný autorský dozor</w:t>
      </w:r>
      <w:r>
        <w:rPr>
          <w:rFonts w:eastAsiaTheme="minorEastAsia"/>
          <w:lang w:bidi="en-US"/>
        </w:rPr>
        <w:t xml:space="preserve"> alespoň 1x týdně</w:t>
      </w:r>
      <w:r w:rsidRPr="00F93F46">
        <w:rPr>
          <w:rFonts w:eastAsiaTheme="minorEastAsia"/>
          <w:lang w:bidi="en-US"/>
        </w:rPr>
        <w:t xml:space="preserve">, a to zejména osobní přítomností (nebo přítomností oprávněného zástupce) při realizaci výstavy včetně instalace výstavní grafiky, výstavního mobiliáře a aranžování exponátů, a to po dobu od zahájení realizace výstavy, kterou se objednatel zavazuje započít nejpozději do </w:t>
      </w:r>
      <w:r w:rsidR="00573475">
        <w:rPr>
          <w:rFonts w:eastAsiaTheme="minorEastAsia"/>
          <w:b/>
          <w:lang w:bidi="en-US"/>
        </w:rPr>
        <w:t>15</w:t>
      </w:r>
      <w:r w:rsidR="007A5946">
        <w:rPr>
          <w:rFonts w:eastAsiaTheme="minorEastAsia"/>
          <w:b/>
          <w:lang w:bidi="en-US"/>
        </w:rPr>
        <w:t>. 5. 2019</w:t>
      </w:r>
      <w:r w:rsidRPr="00F93F46">
        <w:rPr>
          <w:rFonts w:eastAsiaTheme="minorEastAsia"/>
          <w:lang w:bidi="en-US"/>
        </w:rPr>
        <w:t xml:space="preserve"> až do </w:t>
      </w:r>
      <w:r w:rsidR="007A5946">
        <w:rPr>
          <w:rFonts w:eastAsiaTheme="minorEastAsia"/>
          <w:lang w:bidi="en-US"/>
        </w:rPr>
        <w:t>vernisáže</w:t>
      </w:r>
      <w:r>
        <w:rPr>
          <w:rFonts w:eastAsiaTheme="minorEastAsia"/>
          <w:lang w:bidi="en-US"/>
        </w:rPr>
        <w:t xml:space="preserve"> výstavy, která se</w:t>
      </w:r>
      <w:r w:rsidR="00696660">
        <w:rPr>
          <w:rFonts w:eastAsiaTheme="minorEastAsia"/>
          <w:lang w:bidi="en-US"/>
        </w:rPr>
        <w:t> </w:t>
      </w:r>
      <w:r w:rsidR="007A5946">
        <w:rPr>
          <w:rFonts w:eastAsiaTheme="minorEastAsia"/>
          <w:b/>
          <w:lang w:bidi="en-US"/>
        </w:rPr>
        <w:t>uskuteční 20. 6. 2019</w:t>
      </w:r>
      <w:r w:rsidRPr="00F93F46">
        <w:rPr>
          <w:rFonts w:eastAsiaTheme="minorEastAsia"/>
          <w:lang w:bidi="en-US"/>
        </w:rPr>
        <w:t>. Zhotovitel se zavazuje poskytno</w:t>
      </w:r>
      <w:r w:rsidR="00696660">
        <w:rPr>
          <w:rFonts w:eastAsiaTheme="minorEastAsia"/>
          <w:lang w:bidi="en-US"/>
        </w:rPr>
        <w:t>ut písemné a ústní konzultace a </w:t>
      </w:r>
      <w:r w:rsidRPr="00F93F46">
        <w:rPr>
          <w:rFonts w:eastAsiaTheme="minorEastAsia"/>
          <w:lang w:bidi="en-US"/>
        </w:rPr>
        <w:t>stanoviska dle potřeby objednatele tak, aby nedocházelo k prodlevám instalace.</w:t>
      </w:r>
    </w:p>
    <w:p w:rsidR="000842F1" w:rsidRPr="00C56FF0" w:rsidRDefault="00573475" w:rsidP="000842F1">
      <w:pPr>
        <w:spacing w:after="0"/>
        <w:ind w:left="360"/>
        <w:contextualSpacing/>
        <w:jc w:val="both"/>
        <w:rPr>
          <w:rFonts w:eastAsiaTheme="minorEastAsia"/>
          <w:b/>
          <w:lang w:bidi="en-US"/>
        </w:rPr>
      </w:pPr>
      <w:r>
        <w:rPr>
          <w:rFonts w:eastAsiaTheme="minorEastAsia"/>
          <w:b/>
          <w:lang w:bidi="en-US"/>
        </w:rPr>
        <w:t>Termín: 15</w:t>
      </w:r>
      <w:r w:rsidR="007A5946">
        <w:rPr>
          <w:rFonts w:eastAsiaTheme="minorEastAsia"/>
          <w:b/>
          <w:lang w:bidi="en-US"/>
        </w:rPr>
        <w:t>. 5. – 20. 6. 2019</w:t>
      </w:r>
    </w:p>
    <w:p w:rsidR="000842F1" w:rsidRPr="00F93F46" w:rsidRDefault="000842F1" w:rsidP="000842F1">
      <w:pPr>
        <w:numPr>
          <w:ilvl w:val="0"/>
          <w:numId w:val="7"/>
        </w:numPr>
        <w:spacing w:after="0"/>
        <w:contextualSpacing/>
        <w:jc w:val="both"/>
        <w:rPr>
          <w:rFonts w:eastAsiaTheme="minorEastAsia"/>
          <w:lang w:bidi="en-US"/>
        </w:rPr>
      </w:pPr>
      <w:r w:rsidRPr="00F93F46">
        <w:rPr>
          <w:rFonts w:eastAsiaTheme="minorEastAsia"/>
          <w:lang w:bidi="en-US"/>
        </w:rPr>
        <w:t xml:space="preserve">Vypracovat grafické řešení výstavy včetně DTP (velkoplošné obrazy/fotografie, výstavní panely </w:t>
      </w:r>
      <w:r w:rsidRPr="00696660">
        <w:t>a</w:t>
      </w:r>
      <w:r w:rsidR="00696660">
        <w:t> </w:t>
      </w:r>
      <w:r w:rsidRPr="00696660">
        <w:t>kompletní</w:t>
      </w:r>
      <w:r w:rsidRPr="00F93F46">
        <w:rPr>
          <w:rFonts w:eastAsiaTheme="minorEastAsia"/>
          <w:lang w:bidi="en-US"/>
        </w:rPr>
        <w:t xml:space="preserve"> popisky k exponátům výstavy) vypracování výkazu výměr ceny grafiky tak i kontrolní výkaz výměr pro tiskárnu, grafické zpracování předloh dodaných autorským týmem (fotografie, kresby, mapy, grafy), přeměřit finální rozměry stavby pro kontrolu tiskových dat. Do jednoho měsíce od konání vernisáže se také zhotovitel zavazuje poskytnout grafické úpravy dat, vyplývající z průběhu přípravy výstavy. </w:t>
      </w:r>
    </w:p>
    <w:p w:rsidR="000842F1" w:rsidRDefault="000842F1" w:rsidP="000842F1">
      <w:pPr>
        <w:spacing w:after="0"/>
        <w:ind w:left="360"/>
        <w:contextualSpacing/>
        <w:jc w:val="both"/>
        <w:rPr>
          <w:rFonts w:eastAsiaTheme="minorEastAsia"/>
          <w:lang w:bidi="en-US"/>
        </w:rPr>
      </w:pPr>
      <w:r w:rsidRPr="00F93F46">
        <w:rPr>
          <w:rFonts w:eastAsiaTheme="minorEastAsia"/>
          <w:lang w:bidi="en-US"/>
        </w:rPr>
        <w:t>Termín:</w:t>
      </w:r>
      <w:r w:rsidR="00573475">
        <w:rPr>
          <w:rFonts w:eastAsiaTheme="minorEastAsia"/>
          <w:lang w:bidi="en-US"/>
        </w:rPr>
        <w:t xml:space="preserve"> </w:t>
      </w:r>
      <w:r w:rsidR="00573475">
        <w:rPr>
          <w:rFonts w:eastAsiaTheme="minorEastAsia"/>
          <w:b/>
          <w:lang w:bidi="en-US"/>
        </w:rPr>
        <w:t>13. 5</w:t>
      </w:r>
      <w:r w:rsidR="007A5946">
        <w:rPr>
          <w:rFonts w:eastAsiaTheme="minorEastAsia"/>
          <w:b/>
          <w:lang w:bidi="en-US"/>
        </w:rPr>
        <w:t>. 2019</w:t>
      </w:r>
      <w:r w:rsidRPr="00C56FF0">
        <w:rPr>
          <w:rFonts w:eastAsiaTheme="minorEastAsia"/>
          <w:b/>
          <w:lang w:bidi="en-US"/>
        </w:rPr>
        <w:t xml:space="preserve"> </w:t>
      </w:r>
      <w:r w:rsidRPr="00F93F46">
        <w:rPr>
          <w:rFonts w:eastAsiaTheme="minorEastAsia"/>
          <w:lang w:bidi="en-US"/>
        </w:rPr>
        <w:t xml:space="preserve">odevzdání DTP výstavní grafiky (panely, popisky) ke korekturám. </w:t>
      </w:r>
    </w:p>
    <w:p w:rsidR="000842F1" w:rsidRDefault="000842F1" w:rsidP="000842F1">
      <w:pPr>
        <w:spacing w:after="0"/>
        <w:ind w:left="360"/>
        <w:contextualSpacing/>
        <w:jc w:val="both"/>
        <w:rPr>
          <w:b/>
        </w:rPr>
      </w:pPr>
      <w:r>
        <w:rPr>
          <w:rFonts w:eastAsiaTheme="minorEastAsia"/>
          <w:lang w:bidi="en-US"/>
        </w:rPr>
        <w:t xml:space="preserve">Konečná verze včetně zapracovaných korektur: </w:t>
      </w:r>
      <w:r w:rsidR="00573475">
        <w:rPr>
          <w:b/>
        </w:rPr>
        <w:t>20</w:t>
      </w:r>
      <w:r w:rsidR="007A5946">
        <w:rPr>
          <w:b/>
        </w:rPr>
        <w:t>. 5. 2019</w:t>
      </w:r>
    </w:p>
    <w:p w:rsidR="007A5946" w:rsidRPr="003C0513" w:rsidRDefault="007A5946" w:rsidP="007A5946">
      <w:pPr>
        <w:numPr>
          <w:ilvl w:val="0"/>
          <w:numId w:val="7"/>
        </w:numPr>
        <w:spacing w:after="0"/>
        <w:contextualSpacing/>
        <w:jc w:val="both"/>
        <w:rPr>
          <w:rFonts w:eastAsiaTheme="minorEastAsia"/>
          <w:lang w:bidi="en-US"/>
        </w:rPr>
      </w:pPr>
      <w:r w:rsidRPr="003C0513">
        <w:rPr>
          <w:rFonts w:eastAsiaTheme="minorEastAsia"/>
          <w:lang w:bidi="en-US"/>
        </w:rPr>
        <w:t>Zhotovit grafické zpracování a sazbu tiskovin pro návštěvníky výstavy:</w:t>
      </w:r>
    </w:p>
    <w:p w:rsidR="007A5946" w:rsidRPr="007A5946" w:rsidRDefault="00CA62B1" w:rsidP="007A5946">
      <w:pPr>
        <w:pStyle w:val="Odstavecseseznamem"/>
        <w:numPr>
          <w:ilvl w:val="0"/>
          <w:numId w:val="21"/>
        </w:numPr>
        <w:spacing w:after="0"/>
        <w:ind w:left="709" w:hanging="283"/>
        <w:jc w:val="both"/>
        <w:rPr>
          <w:rFonts w:eastAsiaTheme="minorEastAsia"/>
          <w:b/>
          <w:color w:val="FF0000"/>
          <w:lang w:bidi="en-US"/>
        </w:rPr>
      </w:pPr>
      <w:r>
        <w:t>K</w:t>
      </w:r>
      <w:r w:rsidR="007A5946">
        <w:t>atalog k </w:t>
      </w:r>
      <w:proofErr w:type="gramStart"/>
      <w:r w:rsidR="007A5946">
        <w:t>výstavě –114</w:t>
      </w:r>
      <w:proofErr w:type="gramEnd"/>
      <w:r w:rsidR="007A5946">
        <w:t xml:space="preserve"> stran, formát 250 x 260 mm, vazba V4, šitá měkká, obálka: matné lamino, klopy 75mm, přičemž obal katalogu bude vycházet z vizuálu a plakátu a propagační grafiky výstavy, kterou koordinuje oddělení marketingu Národního muzea.</w:t>
      </w:r>
    </w:p>
    <w:p w:rsidR="007A5946" w:rsidRPr="007A5946" w:rsidRDefault="007A5946" w:rsidP="007A5946">
      <w:pPr>
        <w:pStyle w:val="Odstavecseseznamem"/>
        <w:spacing w:after="0"/>
        <w:ind w:left="709"/>
        <w:jc w:val="both"/>
        <w:rPr>
          <w:rFonts w:eastAsiaTheme="minorEastAsia"/>
          <w:b/>
          <w:color w:val="FF0000"/>
          <w:lang w:bidi="en-US"/>
        </w:rPr>
      </w:pPr>
      <w:r w:rsidRPr="007A5946">
        <w:rPr>
          <w:rFonts w:eastAsiaTheme="minorEastAsia"/>
          <w:lang w:bidi="en-US"/>
        </w:rPr>
        <w:t xml:space="preserve">Termín odevzdání ke korekturám: </w:t>
      </w:r>
      <w:r w:rsidR="00573475">
        <w:rPr>
          <w:rFonts w:eastAsiaTheme="minorEastAsia"/>
          <w:b/>
          <w:lang w:bidi="en-US"/>
        </w:rPr>
        <w:t>20</w:t>
      </w:r>
      <w:r w:rsidRPr="007A5946">
        <w:rPr>
          <w:rFonts w:eastAsiaTheme="minorEastAsia"/>
          <w:b/>
          <w:lang w:bidi="en-US"/>
        </w:rPr>
        <w:t>.</w:t>
      </w:r>
      <w:r>
        <w:rPr>
          <w:rFonts w:eastAsiaTheme="minorEastAsia"/>
          <w:b/>
          <w:lang w:bidi="en-US"/>
        </w:rPr>
        <w:t xml:space="preserve"> 5</w:t>
      </w:r>
      <w:r w:rsidRPr="007A5946">
        <w:rPr>
          <w:rFonts w:eastAsiaTheme="minorEastAsia"/>
          <w:b/>
          <w:lang w:bidi="en-US"/>
        </w:rPr>
        <w:t>. 2019</w:t>
      </w:r>
    </w:p>
    <w:p w:rsidR="007A5946" w:rsidRPr="003C0513" w:rsidRDefault="007A5946" w:rsidP="007A5946">
      <w:pPr>
        <w:spacing w:after="0"/>
        <w:ind w:firstLine="708"/>
        <w:contextualSpacing/>
        <w:jc w:val="both"/>
        <w:rPr>
          <w:rFonts w:eastAsiaTheme="minorEastAsia"/>
          <w:b/>
          <w:lang w:bidi="en-US"/>
        </w:rPr>
      </w:pPr>
      <w:r w:rsidRPr="003C0513">
        <w:rPr>
          <w:rFonts w:eastAsiaTheme="minorEastAsia"/>
          <w:lang w:bidi="en-US"/>
        </w:rPr>
        <w:t xml:space="preserve">Termín odevzdání verze včetně zapracovaných </w:t>
      </w:r>
      <w:r w:rsidRPr="00335BC8">
        <w:rPr>
          <w:rFonts w:eastAsiaTheme="minorEastAsia"/>
          <w:lang w:bidi="en-US"/>
        </w:rPr>
        <w:t xml:space="preserve">korektur: </w:t>
      </w:r>
      <w:r w:rsidR="00573475">
        <w:rPr>
          <w:rFonts w:eastAsiaTheme="minorEastAsia"/>
          <w:b/>
          <w:lang w:bidi="en-US"/>
        </w:rPr>
        <w:t>27. 5</w:t>
      </w:r>
      <w:r w:rsidRPr="00335BC8">
        <w:rPr>
          <w:rFonts w:eastAsiaTheme="minorEastAsia"/>
          <w:b/>
          <w:lang w:bidi="en-US"/>
        </w:rPr>
        <w:t>. 2019</w:t>
      </w:r>
    </w:p>
    <w:p w:rsidR="007A5946" w:rsidRDefault="007A5946" w:rsidP="007A5946">
      <w:pPr>
        <w:pStyle w:val="Odstavecseseznamem"/>
        <w:numPr>
          <w:ilvl w:val="0"/>
          <w:numId w:val="21"/>
        </w:numPr>
        <w:spacing w:after="0"/>
        <w:ind w:hanging="294"/>
        <w:jc w:val="both"/>
        <w:rPr>
          <w:rFonts w:eastAsiaTheme="minorEastAsia"/>
          <w:lang w:bidi="en-US"/>
        </w:rPr>
      </w:pPr>
      <w:r w:rsidRPr="007A5946">
        <w:rPr>
          <w:rFonts w:eastAsiaTheme="minorEastAsia"/>
          <w:lang w:bidi="en-US"/>
        </w:rPr>
        <w:t>Pracovní listy (40 stran) pro tři věkové kategorie ve dvou jazykových mutacích. Ze zaslaných textových a obrazových podkladů k jednotlivým úkolům grafik vytvoří pracovní listy dle základů grafického designu. Grafické symboly, obrazce a grafy jsou součástí grafického zpracování stejně jako překreslení a úprava fotografií. Grafické zpracování pracovních listů by mělo odpovídat grafice výstavy a nárokům na grafický design pro dětského uživatele.</w:t>
      </w:r>
    </w:p>
    <w:p w:rsidR="00CA62B1" w:rsidRPr="00CA62B1" w:rsidRDefault="00CA62B1" w:rsidP="00CA62B1">
      <w:pPr>
        <w:pStyle w:val="Odstavecseseznamem"/>
        <w:spacing w:after="0"/>
        <w:rPr>
          <w:rFonts w:eastAsiaTheme="minorEastAsia"/>
          <w:b/>
          <w:lang w:bidi="en-US"/>
        </w:rPr>
      </w:pPr>
      <w:r w:rsidRPr="00CA62B1">
        <w:rPr>
          <w:rFonts w:eastAsiaTheme="minorEastAsia"/>
          <w:lang w:bidi="en-US"/>
        </w:rPr>
        <w:t xml:space="preserve">Termín: </w:t>
      </w:r>
      <w:r w:rsidRPr="00CA62B1">
        <w:rPr>
          <w:rFonts w:eastAsiaTheme="minorEastAsia"/>
          <w:b/>
          <w:lang w:bidi="en-US"/>
        </w:rPr>
        <w:t>14. 6. 2019</w:t>
      </w:r>
    </w:p>
    <w:p w:rsidR="00CA62B1" w:rsidRDefault="00CA62B1" w:rsidP="00CA62B1">
      <w:pPr>
        <w:pStyle w:val="Odstavecseseznamem"/>
        <w:numPr>
          <w:ilvl w:val="0"/>
          <w:numId w:val="21"/>
        </w:numPr>
        <w:spacing w:after="0"/>
        <w:ind w:hanging="294"/>
        <w:jc w:val="both"/>
        <w:rPr>
          <w:rFonts w:eastAsiaTheme="minorEastAsia"/>
          <w:lang w:bidi="en-US"/>
        </w:rPr>
      </w:pPr>
      <w:r>
        <w:rPr>
          <w:rFonts w:eastAsiaTheme="minorEastAsia"/>
          <w:lang w:bidi="en-US"/>
        </w:rPr>
        <w:t>Návrh plakátu, pozvánky a skládačky ve formátu DL zhotovené ve spolupráci s autory výstavy a oddělením marketingu Národního muzea.</w:t>
      </w:r>
    </w:p>
    <w:p w:rsidR="00CA62B1" w:rsidRPr="00CA62B1" w:rsidRDefault="00CA62B1" w:rsidP="00CA62B1">
      <w:pPr>
        <w:pStyle w:val="Odstavecseseznamem"/>
        <w:spacing w:after="0"/>
        <w:jc w:val="both"/>
        <w:rPr>
          <w:rFonts w:eastAsiaTheme="minorEastAsia"/>
          <w:lang w:bidi="en-US"/>
        </w:rPr>
      </w:pPr>
      <w:r w:rsidRPr="00CA62B1">
        <w:rPr>
          <w:rFonts w:eastAsiaTheme="minorEastAsia"/>
          <w:lang w:bidi="en-US"/>
        </w:rPr>
        <w:t>Termín odevzdání verze včetně zapracovaných korektur:</w:t>
      </w:r>
      <w:r>
        <w:rPr>
          <w:rFonts w:eastAsiaTheme="minorEastAsia"/>
          <w:lang w:bidi="en-US"/>
        </w:rPr>
        <w:t xml:space="preserve"> plakát nejpozději do </w:t>
      </w:r>
      <w:bookmarkStart w:id="0" w:name="_GoBack"/>
      <w:bookmarkEnd w:id="0"/>
      <w:r>
        <w:rPr>
          <w:rFonts w:eastAsiaTheme="minorEastAsia"/>
          <w:b/>
          <w:lang w:bidi="en-US"/>
        </w:rPr>
        <w:t>27</w:t>
      </w:r>
      <w:r w:rsidRPr="00CA62B1">
        <w:rPr>
          <w:rFonts w:eastAsiaTheme="minorEastAsia"/>
          <w:b/>
          <w:lang w:bidi="en-US"/>
        </w:rPr>
        <w:t>. 5. 2019</w:t>
      </w:r>
      <w:r>
        <w:rPr>
          <w:rFonts w:eastAsiaTheme="minorEastAsia"/>
          <w:b/>
          <w:lang w:bidi="en-US"/>
        </w:rPr>
        <w:t xml:space="preserve">, </w:t>
      </w:r>
      <w:r w:rsidRPr="00CA62B1">
        <w:rPr>
          <w:rFonts w:eastAsiaTheme="minorEastAsia"/>
          <w:lang w:bidi="en-US"/>
        </w:rPr>
        <w:t>pozvánky a DL skládačky</w:t>
      </w:r>
      <w:r>
        <w:rPr>
          <w:rFonts w:eastAsiaTheme="minorEastAsia"/>
          <w:b/>
          <w:lang w:bidi="en-US"/>
        </w:rPr>
        <w:t xml:space="preserve"> do 10. 6. 2019</w:t>
      </w:r>
      <w:r w:rsidR="005B274C">
        <w:rPr>
          <w:rFonts w:eastAsiaTheme="minorEastAsia"/>
          <w:b/>
          <w:lang w:bidi="en-US"/>
        </w:rPr>
        <w:t>.</w:t>
      </w:r>
    </w:p>
    <w:p w:rsidR="007A5946" w:rsidRPr="00F35564" w:rsidRDefault="007A5946" w:rsidP="007A5946">
      <w:pPr>
        <w:spacing w:after="0"/>
        <w:rPr>
          <w:b/>
        </w:rPr>
      </w:pPr>
    </w:p>
    <w:p w:rsidR="00C66854" w:rsidRDefault="00B80F76" w:rsidP="00F35564">
      <w:pPr>
        <w:spacing w:after="0"/>
        <w:rPr>
          <w:rFonts w:cs="Arial"/>
          <w:b/>
          <w:sz w:val="24"/>
          <w:szCs w:val="24"/>
        </w:rPr>
      </w:pPr>
      <w:r w:rsidRPr="009669BE">
        <w:rPr>
          <w:rFonts w:cs="Arial"/>
          <w:b/>
          <w:sz w:val="24"/>
          <w:szCs w:val="24"/>
        </w:rPr>
        <w:t>Ustanovení čl. IV</w:t>
      </w:r>
      <w:r w:rsidR="007A5946">
        <w:rPr>
          <w:rFonts w:cs="Arial"/>
          <w:b/>
          <w:sz w:val="24"/>
          <w:szCs w:val="24"/>
        </w:rPr>
        <w:t xml:space="preserve"> odst. 4</w:t>
      </w:r>
      <w:r w:rsidR="00341EDF" w:rsidRPr="009669BE">
        <w:rPr>
          <w:rFonts w:cs="Arial"/>
          <w:b/>
          <w:sz w:val="24"/>
          <w:szCs w:val="24"/>
        </w:rPr>
        <w:t xml:space="preserve"> </w:t>
      </w:r>
      <w:r w:rsidR="009669BE">
        <w:rPr>
          <w:rFonts w:cs="Arial"/>
          <w:b/>
          <w:sz w:val="24"/>
          <w:szCs w:val="24"/>
        </w:rPr>
        <w:t>s</w:t>
      </w:r>
      <w:r w:rsidR="00DD7BCF" w:rsidRPr="009669BE">
        <w:rPr>
          <w:rFonts w:cs="Arial"/>
          <w:b/>
          <w:sz w:val="24"/>
          <w:szCs w:val="24"/>
        </w:rPr>
        <w:t>mlouvy se mění</w:t>
      </w:r>
      <w:r w:rsidR="00C66854">
        <w:rPr>
          <w:rFonts w:cs="Arial"/>
          <w:b/>
          <w:sz w:val="24"/>
          <w:szCs w:val="24"/>
        </w:rPr>
        <w:t>:</w:t>
      </w:r>
      <w:r w:rsidR="003B0198">
        <w:rPr>
          <w:rFonts w:cs="Arial"/>
          <w:b/>
          <w:sz w:val="24"/>
          <w:szCs w:val="24"/>
        </w:rPr>
        <w:br/>
      </w:r>
      <w:r w:rsidR="003B0198" w:rsidRPr="00F93F46">
        <w:rPr>
          <w:rFonts w:eastAsiaTheme="minorEastAsia"/>
          <w:b/>
          <w:lang w:bidi="en-US"/>
        </w:rPr>
        <w:t>Povinnosti objednatele</w:t>
      </w:r>
    </w:p>
    <w:p w:rsidR="00C66854" w:rsidRDefault="00C66854" w:rsidP="00C66854">
      <w:pPr>
        <w:spacing w:after="0"/>
        <w:rPr>
          <w:rFonts w:cs="Arial"/>
          <w:b/>
          <w:sz w:val="24"/>
          <w:szCs w:val="24"/>
        </w:rPr>
      </w:pPr>
    </w:p>
    <w:p w:rsidR="00FD0B0F" w:rsidRPr="001F176E" w:rsidRDefault="00FD0B0F" w:rsidP="001F176E">
      <w:pPr>
        <w:pStyle w:val="Odstavecseseznamem"/>
        <w:numPr>
          <w:ilvl w:val="0"/>
          <w:numId w:val="23"/>
        </w:numPr>
        <w:spacing w:after="0"/>
        <w:ind w:left="426" w:hanging="426"/>
        <w:jc w:val="both"/>
        <w:rPr>
          <w:b/>
        </w:rPr>
      </w:pPr>
      <w:r w:rsidRPr="001F176E">
        <w:rPr>
          <w:rFonts w:eastAsiaTheme="minorEastAsia"/>
          <w:lang w:bidi="en-US"/>
        </w:rPr>
        <w:t xml:space="preserve">Zahájit předávání podkladů ke zhotovení výstavní grafiky (texty s překlady, veškeré obrazové přílohy a brožury), a to ihned po podpisu smlouvy. Všechny podklady pro tvorbu výstavní grafiky budou zhotoviteli předávány průběžně avšak nejpozději do </w:t>
      </w:r>
      <w:r w:rsidR="00573475">
        <w:rPr>
          <w:rFonts w:eastAsiaTheme="minorEastAsia"/>
          <w:b/>
          <w:lang w:bidi="en-US"/>
        </w:rPr>
        <w:t>15</w:t>
      </w:r>
      <w:r w:rsidR="001F176E">
        <w:rPr>
          <w:rFonts w:eastAsiaTheme="minorEastAsia"/>
          <w:b/>
          <w:lang w:bidi="en-US"/>
        </w:rPr>
        <w:t>. 4</w:t>
      </w:r>
      <w:r w:rsidRPr="001F176E">
        <w:rPr>
          <w:rFonts w:eastAsiaTheme="minorEastAsia"/>
          <w:b/>
          <w:lang w:bidi="en-US"/>
        </w:rPr>
        <w:t>. 20</w:t>
      </w:r>
      <w:r w:rsidR="001F176E">
        <w:rPr>
          <w:rFonts w:eastAsiaTheme="minorEastAsia"/>
          <w:b/>
          <w:lang w:bidi="en-US"/>
        </w:rPr>
        <w:t>19</w:t>
      </w:r>
      <w:r w:rsidRPr="001F176E">
        <w:rPr>
          <w:rFonts w:eastAsiaTheme="minorEastAsia"/>
          <w:lang w:bidi="en-US"/>
        </w:rPr>
        <w:t xml:space="preserve">. Podklady pro tvorbu </w:t>
      </w:r>
      <w:r w:rsidR="001F176E">
        <w:rPr>
          <w:rFonts w:eastAsiaTheme="minorEastAsia"/>
          <w:lang w:bidi="en-US"/>
        </w:rPr>
        <w:t xml:space="preserve">katalogu </w:t>
      </w:r>
      <w:r w:rsidR="001F176E" w:rsidRPr="001F176E">
        <w:rPr>
          <w:rFonts w:eastAsiaTheme="minorEastAsia"/>
          <w:lang w:bidi="en-US"/>
        </w:rPr>
        <w:t xml:space="preserve">budou zhotoviteli předávány průběžně avšak nejpozději do </w:t>
      </w:r>
      <w:r w:rsidR="00573475">
        <w:rPr>
          <w:rFonts w:eastAsiaTheme="minorEastAsia"/>
          <w:b/>
          <w:lang w:bidi="en-US"/>
        </w:rPr>
        <w:t>15</w:t>
      </w:r>
      <w:r w:rsidR="001F176E">
        <w:rPr>
          <w:rFonts w:eastAsiaTheme="minorEastAsia"/>
          <w:b/>
          <w:lang w:bidi="en-US"/>
        </w:rPr>
        <w:t>. 4</w:t>
      </w:r>
      <w:r w:rsidR="001F176E" w:rsidRPr="001F176E">
        <w:rPr>
          <w:rFonts w:eastAsiaTheme="minorEastAsia"/>
          <w:b/>
          <w:lang w:bidi="en-US"/>
        </w:rPr>
        <w:t>. 20</w:t>
      </w:r>
      <w:r w:rsidR="001F176E">
        <w:rPr>
          <w:rFonts w:eastAsiaTheme="minorEastAsia"/>
          <w:b/>
          <w:lang w:bidi="en-US"/>
        </w:rPr>
        <w:t xml:space="preserve">19. </w:t>
      </w:r>
      <w:r w:rsidR="001F176E" w:rsidRPr="001F176E">
        <w:rPr>
          <w:rFonts w:eastAsiaTheme="minorEastAsia"/>
          <w:lang w:bidi="en-US"/>
        </w:rPr>
        <w:t>Podklady pro tvorbu</w:t>
      </w:r>
      <w:r w:rsidR="001F176E">
        <w:rPr>
          <w:rFonts w:eastAsiaTheme="minorEastAsia"/>
          <w:lang w:bidi="en-US"/>
        </w:rPr>
        <w:t xml:space="preserve"> </w:t>
      </w:r>
      <w:r w:rsidRPr="001F176E">
        <w:rPr>
          <w:rFonts w:eastAsiaTheme="minorEastAsia"/>
          <w:lang w:bidi="en-US"/>
        </w:rPr>
        <w:t xml:space="preserve">pracovních listů objednavatel dodá nejpozději </w:t>
      </w:r>
      <w:r w:rsidR="00573475">
        <w:rPr>
          <w:rFonts w:eastAsiaTheme="minorEastAsia"/>
          <w:b/>
          <w:lang w:bidi="en-US"/>
        </w:rPr>
        <w:t>20</w:t>
      </w:r>
      <w:r w:rsidR="001F176E">
        <w:rPr>
          <w:rFonts w:eastAsiaTheme="minorEastAsia"/>
          <w:b/>
          <w:lang w:bidi="en-US"/>
        </w:rPr>
        <w:t>. 5. 2019</w:t>
      </w:r>
      <w:r w:rsidRPr="001F176E">
        <w:rPr>
          <w:rFonts w:eastAsiaTheme="minorEastAsia"/>
          <w:b/>
          <w:lang w:bidi="en-US"/>
        </w:rPr>
        <w:t>.</w:t>
      </w:r>
      <w:r w:rsidRPr="001F176E">
        <w:rPr>
          <w:rFonts w:eastAsiaTheme="minorEastAsia"/>
          <w:lang w:bidi="en-US"/>
        </w:rPr>
        <w:t xml:space="preserve">  Objednatel prohlašuje, že je </w:t>
      </w:r>
      <w:r w:rsidRPr="001F176E">
        <w:rPr>
          <w:rFonts w:eastAsiaTheme="minorEastAsia"/>
          <w:lang w:bidi="en-US"/>
        </w:rPr>
        <w:lastRenderedPageBreak/>
        <w:t>oprávněn podklady, které zhotoviteli předá, užít způsobem podle této smlouvy a že jejich začleněním do díla a dalším užíváním díla nebudou dotčena autorská práva nositelů těchto práv k podkladům (či práva související s právem autorským, či práva pořizovatele databáze) a dále práva nositelů práv k ochranné známce či jiná práva průmyslového vlastnictví. V případě nepravdivosti tohoto prohlášení se objednatel zavazuje uhradit zhotoviteli škodu, která mu tím vznikne, a podniknout kroky k odvrácení hrozící škody.</w:t>
      </w:r>
    </w:p>
    <w:p w:rsidR="00C66854" w:rsidRPr="00C66854" w:rsidRDefault="00C66854" w:rsidP="00F35564">
      <w:pPr>
        <w:spacing w:after="0"/>
      </w:pPr>
    </w:p>
    <w:p w:rsidR="00C66854" w:rsidRPr="00F35564" w:rsidRDefault="00B80F76" w:rsidP="00F35564">
      <w:pPr>
        <w:spacing w:after="0"/>
        <w:jc w:val="both"/>
        <w:rPr>
          <w:b/>
          <w:sz w:val="24"/>
          <w:szCs w:val="24"/>
        </w:rPr>
      </w:pPr>
      <w:r w:rsidRPr="00F35564">
        <w:rPr>
          <w:b/>
          <w:sz w:val="24"/>
          <w:szCs w:val="24"/>
        </w:rPr>
        <w:t>Ustanovení čl. VII</w:t>
      </w:r>
      <w:r w:rsidR="005612C7">
        <w:rPr>
          <w:b/>
          <w:sz w:val="24"/>
          <w:szCs w:val="24"/>
        </w:rPr>
        <w:t xml:space="preserve"> odst. 2</w:t>
      </w:r>
      <w:r w:rsidRPr="00F35564">
        <w:rPr>
          <w:b/>
          <w:sz w:val="24"/>
          <w:szCs w:val="24"/>
        </w:rPr>
        <w:t xml:space="preserve"> se mění</w:t>
      </w:r>
      <w:r w:rsidR="002A34A6">
        <w:rPr>
          <w:b/>
          <w:sz w:val="24"/>
          <w:szCs w:val="24"/>
        </w:rPr>
        <w:t xml:space="preserve"> a doplňuje</w:t>
      </w:r>
      <w:r w:rsidRPr="00F35564">
        <w:rPr>
          <w:b/>
          <w:sz w:val="24"/>
          <w:szCs w:val="24"/>
        </w:rPr>
        <w:t xml:space="preserve">: </w:t>
      </w:r>
    </w:p>
    <w:p w:rsidR="00B80F76" w:rsidRDefault="00C66854" w:rsidP="00B80F76">
      <w:pPr>
        <w:spacing w:after="0"/>
        <w:jc w:val="both"/>
        <w:rPr>
          <w:rFonts w:eastAsiaTheme="minorEastAsia"/>
          <w:b/>
          <w:lang w:bidi="en-US"/>
        </w:rPr>
      </w:pPr>
      <w:r w:rsidRPr="00F35564">
        <w:rPr>
          <w:rFonts w:eastAsiaTheme="minorEastAsia"/>
          <w:b/>
          <w:lang w:bidi="en-US"/>
        </w:rPr>
        <w:t>Dohoda o odměně</w:t>
      </w:r>
    </w:p>
    <w:p w:rsidR="002A34A6" w:rsidRDefault="002A34A6" w:rsidP="00B80F76">
      <w:pPr>
        <w:spacing w:after="0"/>
        <w:jc w:val="both"/>
        <w:rPr>
          <w:rFonts w:eastAsiaTheme="minorEastAsia"/>
          <w:b/>
          <w:lang w:bidi="en-US"/>
        </w:rPr>
      </w:pPr>
    </w:p>
    <w:p w:rsidR="00F87473" w:rsidRDefault="00F87473" w:rsidP="00F87473">
      <w:pPr>
        <w:pStyle w:val="Odstavecseseznamem"/>
        <w:ind w:left="426"/>
        <w:jc w:val="both"/>
      </w:pPr>
      <w:r>
        <w:t xml:space="preserve">Zhotoviteli náleží odměna za vícepráce oproti původní smlouvě a poskytnutí licence k dílu dle této smlouvy: </w:t>
      </w:r>
    </w:p>
    <w:tbl>
      <w:tblPr>
        <w:tblStyle w:val="Mkatabulky"/>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77"/>
        <w:gridCol w:w="4291"/>
      </w:tblGrid>
      <w:tr w:rsidR="00F87473" w:rsidTr="00564B1F">
        <w:tc>
          <w:tcPr>
            <w:tcW w:w="4606" w:type="dxa"/>
          </w:tcPr>
          <w:p w:rsidR="00F87473" w:rsidRDefault="00F87473" w:rsidP="00564B1F">
            <w:pPr>
              <w:jc w:val="both"/>
            </w:pPr>
            <w:r>
              <w:t>Sjednaná cena díla:</w:t>
            </w:r>
          </w:p>
        </w:tc>
        <w:tc>
          <w:tcPr>
            <w:tcW w:w="4606" w:type="dxa"/>
          </w:tcPr>
          <w:p w:rsidR="00F87473" w:rsidRDefault="00573475" w:rsidP="00564B1F">
            <w:pPr>
              <w:jc w:val="both"/>
            </w:pPr>
            <w:r>
              <w:t>17.5</w:t>
            </w:r>
            <w:r w:rsidR="00F87473">
              <w:t>00,- Kč</w:t>
            </w:r>
          </w:p>
        </w:tc>
      </w:tr>
      <w:tr w:rsidR="00F87473" w:rsidTr="00564B1F">
        <w:tc>
          <w:tcPr>
            <w:tcW w:w="4606" w:type="dxa"/>
          </w:tcPr>
          <w:p w:rsidR="00F87473" w:rsidRDefault="00F87473" w:rsidP="00564B1F">
            <w:pPr>
              <w:jc w:val="both"/>
            </w:pPr>
            <w:r>
              <w:t>DPH:</w:t>
            </w:r>
          </w:p>
        </w:tc>
        <w:tc>
          <w:tcPr>
            <w:tcW w:w="4606" w:type="dxa"/>
          </w:tcPr>
          <w:p w:rsidR="00F87473" w:rsidRDefault="00573475" w:rsidP="00564B1F">
            <w:pPr>
              <w:jc w:val="both"/>
            </w:pPr>
            <w:r>
              <w:t>3.675</w:t>
            </w:r>
          </w:p>
        </w:tc>
      </w:tr>
      <w:tr w:rsidR="00F87473" w:rsidTr="00564B1F">
        <w:tc>
          <w:tcPr>
            <w:tcW w:w="4606" w:type="dxa"/>
          </w:tcPr>
          <w:p w:rsidR="00F87473" w:rsidRPr="00437367" w:rsidRDefault="00F87473" w:rsidP="00564B1F">
            <w:pPr>
              <w:jc w:val="both"/>
              <w:rPr>
                <w:b/>
              </w:rPr>
            </w:pPr>
            <w:r w:rsidRPr="00437367">
              <w:rPr>
                <w:b/>
              </w:rPr>
              <w:t>Cena celkem včetně DPH:</w:t>
            </w:r>
          </w:p>
        </w:tc>
        <w:tc>
          <w:tcPr>
            <w:tcW w:w="4606" w:type="dxa"/>
          </w:tcPr>
          <w:p w:rsidR="00F87473" w:rsidRPr="00437367" w:rsidRDefault="00573475" w:rsidP="00564B1F">
            <w:pPr>
              <w:jc w:val="both"/>
              <w:rPr>
                <w:b/>
              </w:rPr>
            </w:pPr>
            <w:r>
              <w:rPr>
                <w:b/>
              </w:rPr>
              <w:t>21.175</w:t>
            </w:r>
            <w:r w:rsidR="00F87473" w:rsidRPr="00437367">
              <w:rPr>
                <w:b/>
              </w:rPr>
              <w:t>,- Kč</w:t>
            </w:r>
          </w:p>
        </w:tc>
      </w:tr>
      <w:tr w:rsidR="00F87473" w:rsidTr="00564B1F">
        <w:tc>
          <w:tcPr>
            <w:tcW w:w="4606" w:type="dxa"/>
          </w:tcPr>
          <w:p w:rsidR="00F87473" w:rsidRDefault="00F87473" w:rsidP="00564B1F">
            <w:pPr>
              <w:jc w:val="both"/>
            </w:pPr>
            <w:r>
              <w:t>Slovy:</w:t>
            </w:r>
          </w:p>
        </w:tc>
        <w:tc>
          <w:tcPr>
            <w:tcW w:w="4606" w:type="dxa"/>
          </w:tcPr>
          <w:p w:rsidR="00F87473" w:rsidRDefault="00573475" w:rsidP="00564B1F">
            <w:pPr>
              <w:jc w:val="both"/>
            </w:pPr>
            <w:r>
              <w:t>Dvacet jedna tisíc sto sedmdesát pět korun českých</w:t>
            </w:r>
          </w:p>
        </w:tc>
      </w:tr>
    </w:tbl>
    <w:p w:rsidR="002A34A6" w:rsidRPr="00F35564" w:rsidRDefault="002A34A6" w:rsidP="00B80F76">
      <w:pPr>
        <w:spacing w:after="0"/>
        <w:jc w:val="both"/>
        <w:rPr>
          <w:b/>
        </w:rPr>
      </w:pPr>
    </w:p>
    <w:p w:rsidR="00B80F76" w:rsidRDefault="00B80F76" w:rsidP="00B80F76">
      <w:pPr>
        <w:spacing w:after="0"/>
        <w:jc w:val="both"/>
      </w:pPr>
    </w:p>
    <w:p w:rsidR="00213D0B" w:rsidRPr="005612C7" w:rsidRDefault="00213D0B" w:rsidP="005612C7">
      <w:pPr>
        <w:pStyle w:val="Odstavecseseznamem"/>
        <w:numPr>
          <w:ilvl w:val="0"/>
          <w:numId w:val="19"/>
        </w:numPr>
        <w:spacing w:after="0"/>
        <w:ind w:left="426" w:hanging="426"/>
        <w:jc w:val="both"/>
        <w:rPr>
          <w:rFonts w:eastAsiaTheme="minorEastAsia"/>
          <w:lang w:bidi="en-US"/>
        </w:rPr>
      </w:pPr>
      <w:r w:rsidRPr="005612C7">
        <w:rPr>
          <w:rFonts w:eastAsiaTheme="minorEastAsia"/>
          <w:lang w:bidi="en-US"/>
        </w:rPr>
        <w:t>Plná výše odměny je splatná při dodržení následujících termínů:</w:t>
      </w:r>
    </w:p>
    <w:p w:rsidR="00213D0B" w:rsidRPr="00F93F46" w:rsidRDefault="00213D0B" w:rsidP="00213D0B">
      <w:pPr>
        <w:numPr>
          <w:ilvl w:val="0"/>
          <w:numId w:val="11"/>
        </w:numPr>
        <w:spacing w:after="0"/>
        <w:contextualSpacing/>
        <w:jc w:val="both"/>
        <w:rPr>
          <w:rFonts w:eastAsiaTheme="minorEastAsia"/>
          <w:lang w:bidi="en-US"/>
        </w:rPr>
      </w:pPr>
      <w:r w:rsidRPr="00F93F46">
        <w:rPr>
          <w:rFonts w:eastAsiaTheme="minorEastAsia"/>
          <w:lang w:bidi="en-US"/>
        </w:rPr>
        <w:t xml:space="preserve">předání </w:t>
      </w:r>
      <w:r w:rsidR="002A34A6">
        <w:rPr>
          <w:rFonts w:eastAsiaTheme="minorEastAsia"/>
          <w:lang w:bidi="en-US"/>
        </w:rPr>
        <w:t>projektové</w:t>
      </w:r>
      <w:r w:rsidRPr="00F93F46">
        <w:rPr>
          <w:rFonts w:eastAsiaTheme="minorEastAsia"/>
          <w:lang w:bidi="en-US"/>
        </w:rPr>
        <w:t xml:space="preserve"> dokumentace realizačního pro</w:t>
      </w:r>
      <w:r w:rsidR="00696660">
        <w:rPr>
          <w:rFonts w:eastAsiaTheme="minorEastAsia"/>
          <w:lang w:bidi="en-US"/>
        </w:rPr>
        <w:t xml:space="preserve">jektu, včetně </w:t>
      </w:r>
      <w:r w:rsidR="002A34A6">
        <w:rPr>
          <w:rFonts w:eastAsiaTheme="minorEastAsia"/>
          <w:lang w:bidi="en-US"/>
        </w:rPr>
        <w:t xml:space="preserve">technické </w:t>
      </w:r>
      <w:r w:rsidR="00696660">
        <w:rPr>
          <w:rFonts w:eastAsiaTheme="minorEastAsia"/>
          <w:lang w:bidi="en-US"/>
        </w:rPr>
        <w:t>zprávy a </w:t>
      </w:r>
      <w:r w:rsidR="002A34A6">
        <w:rPr>
          <w:rFonts w:eastAsiaTheme="minorEastAsia"/>
          <w:lang w:bidi="en-US"/>
        </w:rPr>
        <w:t>výkazu výměr s kontrolním rozpočtem</w:t>
      </w:r>
      <w:r w:rsidRPr="00F93F46">
        <w:rPr>
          <w:rFonts w:eastAsiaTheme="minorEastAsia"/>
          <w:lang w:bidi="en-US"/>
        </w:rPr>
        <w:t xml:space="preserve"> do </w:t>
      </w:r>
      <w:r w:rsidR="002A34A6">
        <w:rPr>
          <w:rFonts w:eastAsiaTheme="minorEastAsia"/>
          <w:b/>
          <w:lang w:bidi="en-US"/>
        </w:rPr>
        <w:t>26</w:t>
      </w:r>
      <w:r w:rsidR="001F176E">
        <w:rPr>
          <w:rFonts w:eastAsiaTheme="minorEastAsia"/>
          <w:b/>
          <w:lang w:bidi="en-US"/>
        </w:rPr>
        <w:t>. 4. 2019</w:t>
      </w:r>
      <w:r w:rsidRPr="00F93F46">
        <w:rPr>
          <w:rFonts w:eastAsiaTheme="minorEastAsia"/>
          <w:lang w:bidi="en-US"/>
        </w:rPr>
        <w:t>;</w:t>
      </w:r>
    </w:p>
    <w:p w:rsidR="00213D0B" w:rsidRPr="00F93F46" w:rsidRDefault="00213D0B" w:rsidP="00213D0B">
      <w:pPr>
        <w:numPr>
          <w:ilvl w:val="0"/>
          <w:numId w:val="11"/>
        </w:numPr>
        <w:spacing w:after="0"/>
        <w:contextualSpacing/>
        <w:jc w:val="both"/>
        <w:rPr>
          <w:rFonts w:eastAsiaTheme="minorEastAsia"/>
          <w:lang w:bidi="en-US"/>
        </w:rPr>
      </w:pPr>
      <w:r w:rsidRPr="00F93F46">
        <w:rPr>
          <w:rFonts w:eastAsiaTheme="minorEastAsia"/>
          <w:lang w:bidi="en-US"/>
        </w:rPr>
        <w:t>autorský dozor při výrobě a instalaci výstavy, a to jak při instalaci mobiliáře</w:t>
      </w:r>
      <w:r>
        <w:rPr>
          <w:rFonts w:eastAsiaTheme="minorEastAsia"/>
          <w:lang w:bidi="en-US"/>
        </w:rPr>
        <w:t xml:space="preserve">, tak i instalaci exponátů do </w:t>
      </w:r>
      <w:r>
        <w:rPr>
          <w:rFonts w:eastAsiaTheme="minorEastAsia"/>
          <w:b/>
          <w:lang w:bidi="en-US"/>
        </w:rPr>
        <w:t>2</w:t>
      </w:r>
      <w:r w:rsidR="001F176E">
        <w:rPr>
          <w:rFonts w:eastAsiaTheme="minorEastAsia"/>
          <w:b/>
          <w:lang w:bidi="en-US"/>
        </w:rPr>
        <w:t>0. 6. 2019</w:t>
      </w:r>
      <w:r w:rsidRPr="00F93F46">
        <w:rPr>
          <w:rFonts w:eastAsiaTheme="minorEastAsia"/>
          <w:lang w:bidi="en-US"/>
        </w:rPr>
        <w:t>;</w:t>
      </w:r>
    </w:p>
    <w:p w:rsidR="00213D0B" w:rsidRPr="00F93F46" w:rsidRDefault="00213D0B" w:rsidP="00213D0B">
      <w:pPr>
        <w:numPr>
          <w:ilvl w:val="0"/>
          <w:numId w:val="11"/>
        </w:numPr>
        <w:spacing w:after="0"/>
        <w:contextualSpacing/>
        <w:jc w:val="both"/>
        <w:rPr>
          <w:rFonts w:eastAsiaTheme="minorEastAsia"/>
          <w:lang w:bidi="en-US"/>
        </w:rPr>
      </w:pPr>
      <w:r w:rsidRPr="00F93F46">
        <w:rPr>
          <w:rFonts w:eastAsiaTheme="minorEastAsia"/>
          <w:lang w:bidi="en-US"/>
        </w:rPr>
        <w:t xml:space="preserve">dodání všech tiskových dat výstavní grafiky a grafického zpracování tiskovin výstavy průběžně, nejpozději však do </w:t>
      </w:r>
      <w:r w:rsidR="00573475">
        <w:rPr>
          <w:rFonts w:eastAsiaTheme="minorEastAsia"/>
          <w:b/>
          <w:lang w:bidi="en-US"/>
        </w:rPr>
        <w:t>14</w:t>
      </w:r>
      <w:r w:rsidR="001F176E">
        <w:rPr>
          <w:rFonts w:eastAsiaTheme="minorEastAsia"/>
          <w:b/>
          <w:lang w:bidi="en-US"/>
        </w:rPr>
        <w:t>. 6. 2019</w:t>
      </w:r>
      <w:r w:rsidRPr="00F93F46">
        <w:rPr>
          <w:rFonts w:eastAsiaTheme="minorEastAsia"/>
          <w:lang w:bidi="en-US"/>
        </w:rPr>
        <w:t xml:space="preserve"> viz čl. III. odst. 3. a 4.</w:t>
      </w:r>
    </w:p>
    <w:p w:rsidR="006B1ABE" w:rsidRPr="000842F1" w:rsidRDefault="006B1ABE" w:rsidP="009F10F2">
      <w:pPr>
        <w:spacing w:after="0" w:line="240" w:lineRule="auto"/>
        <w:ind w:left="-357" w:hanging="357"/>
        <w:jc w:val="center"/>
        <w:rPr>
          <w:rFonts w:ascii="Calibri" w:eastAsia="Times New Roman" w:hAnsi="Calibri" w:cs="Arial"/>
          <w:b/>
          <w:u w:val="single"/>
          <w:lang w:eastAsia="cs-CZ"/>
        </w:rPr>
      </w:pPr>
    </w:p>
    <w:p w:rsidR="00AC14DC" w:rsidRPr="00C66854" w:rsidRDefault="00AC14DC" w:rsidP="00C66854">
      <w:pPr>
        <w:spacing w:after="0" w:line="240" w:lineRule="auto"/>
        <w:ind w:left="-357" w:firstLine="499"/>
        <w:jc w:val="center"/>
        <w:rPr>
          <w:rFonts w:ascii="Calibri" w:eastAsia="Times New Roman" w:hAnsi="Calibri" w:cs="Arial"/>
          <w:b/>
          <w:lang w:eastAsia="cs-CZ"/>
        </w:rPr>
      </w:pPr>
      <w:r w:rsidRPr="00C66854">
        <w:rPr>
          <w:rFonts w:ascii="Calibri" w:eastAsia="Times New Roman" w:hAnsi="Calibri" w:cs="Arial"/>
          <w:b/>
          <w:lang w:eastAsia="cs-CZ"/>
        </w:rPr>
        <w:t>II</w:t>
      </w:r>
      <w:r w:rsidR="00DD7BCF" w:rsidRPr="00C66854">
        <w:rPr>
          <w:rFonts w:ascii="Calibri" w:eastAsia="Times New Roman" w:hAnsi="Calibri" w:cs="Arial"/>
          <w:b/>
          <w:lang w:eastAsia="cs-CZ"/>
        </w:rPr>
        <w:t>I</w:t>
      </w:r>
      <w:r w:rsidRPr="00C66854">
        <w:rPr>
          <w:rFonts w:ascii="Calibri" w:eastAsia="Times New Roman" w:hAnsi="Calibri" w:cs="Arial"/>
          <w:b/>
          <w:lang w:eastAsia="cs-CZ"/>
        </w:rPr>
        <w:t>.</w:t>
      </w:r>
    </w:p>
    <w:p w:rsidR="00C96CD4" w:rsidRPr="00C66854" w:rsidRDefault="00C96CD4" w:rsidP="009669BE">
      <w:pPr>
        <w:numPr>
          <w:ilvl w:val="0"/>
          <w:numId w:val="5"/>
        </w:numPr>
        <w:spacing w:after="0" w:line="240" w:lineRule="auto"/>
        <w:jc w:val="both"/>
        <w:rPr>
          <w:rFonts w:ascii="Calibri" w:eastAsia="Times New Roman" w:hAnsi="Calibri" w:cs="Arial"/>
          <w:lang w:eastAsia="cs-CZ"/>
        </w:rPr>
      </w:pPr>
      <w:r w:rsidRPr="00C66854">
        <w:rPr>
          <w:rFonts w:ascii="Calibri" w:eastAsia="Times New Roman" w:hAnsi="Calibri" w:cs="Arial"/>
          <w:lang w:eastAsia="cs-CZ"/>
        </w:rPr>
        <w:t xml:space="preserve">Ostatní ustanovení Smlouvy tímto dodatkem nezměněné, zůstávají v platnosti. </w:t>
      </w:r>
    </w:p>
    <w:p w:rsidR="00AC14DC" w:rsidRPr="00C66854" w:rsidRDefault="00AC14DC" w:rsidP="009669BE">
      <w:pPr>
        <w:numPr>
          <w:ilvl w:val="0"/>
          <w:numId w:val="5"/>
        </w:numPr>
        <w:spacing w:after="0" w:line="240" w:lineRule="auto"/>
        <w:jc w:val="both"/>
        <w:rPr>
          <w:rFonts w:ascii="Calibri" w:eastAsia="Times New Roman" w:hAnsi="Calibri" w:cs="Arial"/>
          <w:lang w:eastAsia="cs-CZ"/>
        </w:rPr>
      </w:pPr>
      <w:r w:rsidRPr="00C66854">
        <w:rPr>
          <w:rFonts w:ascii="Calibri" w:eastAsia="Times New Roman" w:hAnsi="Calibri" w:cs="Arial"/>
          <w:lang w:eastAsia="cs-CZ"/>
        </w:rPr>
        <w:t>Tento</w:t>
      </w:r>
      <w:r w:rsidR="00081067" w:rsidRPr="00C66854">
        <w:rPr>
          <w:rFonts w:ascii="Calibri" w:eastAsia="Times New Roman" w:hAnsi="Calibri" w:cs="Arial"/>
          <w:lang w:eastAsia="cs-CZ"/>
        </w:rPr>
        <w:t xml:space="preserve"> dodatek je vyhotoven ve třech</w:t>
      </w:r>
      <w:r w:rsidRPr="00C66854">
        <w:rPr>
          <w:rFonts w:ascii="Calibri" w:eastAsia="Times New Roman" w:hAnsi="Calibri" w:cs="Arial"/>
          <w:lang w:eastAsia="cs-CZ"/>
        </w:rPr>
        <w:t xml:space="preserve"> vyhotoveních,</w:t>
      </w:r>
      <w:r w:rsidR="00081067" w:rsidRPr="00C66854">
        <w:rPr>
          <w:rFonts w:ascii="Calibri" w:eastAsia="Times New Roman" w:hAnsi="Calibri" w:cs="Arial"/>
          <w:lang w:eastAsia="cs-CZ"/>
        </w:rPr>
        <w:t xml:space="preserve"> z nichž objednatel obdrží dva a zhotovitel jeden.</w:t>
      </w:r>
      <w:r w:rsidRPr="00C66854">
        <w:rPr>
          <w:rFonts w:ascii="Calibri" w:eastAsia="Times New Roman" w:hAnsi="Calibri" w:cs="Arial"/>
          <w:lang w:eastAsia="cs-CZ"/>
        </w:rPr>
        <w:t xml:space="preserve"> Tento dodatek nabývá platnosti a účinnosti dnem jeho podpisu oběma smluvními stranami.</w:t>
      </w:r>
    </w:p>
    <w:p w:rsidR="00AC14DC" w:rsidRDefault="00AC14DC" w:rsidP="009669BE">
      <w:pPr>
        <w:numPr>
          <w:ilvl w:val="0"/>
          <w:numId w:val="5"/>
        </w:numPr>
        <w:spacing w:after="0" w:line="240" w:lineRule="auto"/>
        <w:jc w:val="both"/>
        <w:rPr>
          <w:rFonts w:ascii="Calibri" w:eastAsia="Times New Roman" w:hAnsi="Calibri" w:cs="Arial"/>
          <w:lang w:eastAsia="cs-CZ"/>
        </w:rPr>
      </w:pPr>
      <w:r w:rsidRPr="00C66854">
        <w:rPr>
          <w:rFonts w:ascii="Calibri" w:eastAsia="Times New Roman" w:hAnsi="Calibri" w:cs="Arial"/>
          <w:lang w:eastAsia="cs-CZ"/>
        </w:rPr>
        <w:t>Smluvní strany prohlašují, že tento dodatek ke smlouvě byl sepsán podle jejich pravé a svobodné vůle, nikoli v tísni nebo za jinak jednostranně nevýhodných podmínek. Dodatek si přečetli, souhlasí bez výhrad s jeho obsahem a na důkaz toho připojují své podpisy.</w:t>
      </w:r>
    </w:p>
    <w:p w:rsidR="00C66854" w:rsidRPr="00C66854" w:rsidRDefault="00C66854" w:rsidP="00C66854">
      <w:pPr>
        <w:spacing w:after="0" w:line="240" w:lineRule="auto"/>
        <w:jc w:val="both"/>
        <w:rPr>
          <w:rFonts w:ascii="Calibri" w:eastAsia="Times New Roman" w:hAnsi="Calibri" w:cs="Arial"/>
          <w:lang w:eastAsia="cs-CZ"/>
        </w:rPr>
      </w:pPr>
    </w:p>
    <w:p w:rsidR="00AC14DC" w:rsidRPr="000842F1" w:rsidRDefault="00AC14DC" w:rsidP="009F10F2">
      <w:pPr>
        <w:spacing w:after="0" w:line="240" w:lineRule="auto"/>
        <w:jc w:val="both"/>
        <w:rPr>
          <w:rFonts w:ascii="Calibri" w:eastAsia="Times New Roman" w:hAnsi="Calibri" w:cs="Times New Roman"/>
          <w:sz w:val="24"/>
          <w:szCs w:val="20"/>
          <w:u w:val="single"/>
          <w:lang w:eastAsia="cs-CZ"/>
        </w:rPr>
      </w:pPr>
    </w:p>
    <w:p w:rsidR="00AC14DC" w:rsidRPr="00AC14DC" w:rsidRDefault="00AC14DC" w:rsidP="009F10F2">
      <w:pPr>
        <w:spacing w:after="0" w:line="240" w:lineRule="auto"/>
        <w:jc w:val="both"/>
        <w:rPr>
          <w:rFonts w:ascii="Calibri" w:eastAsia="Times New Roman" w:hAnsi="Calibri" w:cs="Times New Roman"/>
          <w:sz w:val="24"/>
          <w:szCs w:val="20"/>
          <w:lang w:eastAsia="cs-CZ"/>
        </w:rPr>
      </w:pPr>
    </w:p>
    <w:p w:rsidR="00AC14DC" w:rsidRPr="00AC14DC" w:rsidRDefault="00AC14DC" w:rsidP="009F10F2">
      <w:pPr>
        <w:spacing w:after="0" w:line="240" w:lineRule="auto"/>
        <w:jc w:val="both"/>
        <w:rPr>
          <w:rFonts w:ascii="Calibri" w:eastAsia="Times New Roman" w:hAnsi="Calibri" w:cs="Times New Roman"/>
          <w:lang w:eastAsia="cs-CZ"/>
        </w:rPr>
      </w:pPr>
      <w:r w:rsidRPr="00AC14DC">
        <w:rPr>
          <w:rFonts w:ascii="Calibri" w:eastAsia="Times New Roman" w:hAnsi="Calibri" w:cs="Times New Roman"/>
          <w:lang w:eastAsia="cs-CZ"/>
        </w:rPr>
        <w:t xml:space="preserve">V Praze dne </w:t>
      </w:r>
      <w:r w:rsidRPr="00AC14DC">
        <w:rPr>
          <w:rFonts w:ascii="Calibri" w:eastAsia="Times New Roman" w:hAnsi="Calibri" w:cs="Times New Roman"/>
          <w:lang w:eastAsia="cs-CZ"/>
        </w:rPr>
        <w:tab/>
      </w:r>
      <w:r w:rsidRPr="00AC14DC">
        <w:rPr>
          <w:rFonts w:ascii="Calibri" w:eastAsia="Times New Roman" w:hAnsi="Calibri" w:cs="Times New Roman"/>
          <w:lang w:eastAsia="cs-CZ"/>
        </w:rPr>
        <w:tab/>
      </w:r>
      <w:r w:rsidRPr="00AC14DC">
        <w:rPr>
          <w:rFonts w:ascii="Calibri" w:eastAsia="Times New Roman" w:hAnsi="Calibri" w:cs="Times New Roman"/>
          <w:lang w:eastAsia="cs-CZ"/>
        </w:rPr>
        <w:tab/>
      </w:r>
      <w:r w:rsidRPr="00AC14DC">
        <w:rPr>
          <w:rFonts w:ascii="Calibri" w:eastAsia="Times New Roman" w:hAnsi="Calibri" w:cs="Times New Roman"/>
          <w:lang w:eastAsia="cs-CZ"/>
        </w:rPr>
        <w:tab/>
      </w:r>
      <w:r w:rsidRPr="00AC14DC">
        <w:rPr>
          <w:rFonts w:ascii="Calibri" w:eastAsia="Times New Roman" w:hAnsi="Calibri" w:cs="Times New Roman"/>
          <w:lang w:eastAsia="cs-CZ"/>
        </w:rPr>
        <w:tab/>
      </w:r>
      <w:r w:rsidRPr="00AC14DC">
        <w:rPr>
          <w:rFonts w:ascii="Calibri" w:eastAsia="Times New Roman" w:hAnsi="Calibri" w:cs="Times New Roman"/>
          <w:lang w:eastAsia="cs-CZ"/>
        </w:rPr>
        <w:tab/>
      </w:r>
      <w:r w:rsidRPr="00AC14DC">
        <w:rPr>
          <w:rFonts w:ascii="Calibri" w:eastAsia="Times New Roman" w:hAnsi="Calibri" w:cs="Times New Roman"/>
          <w:lang w:eastAsia="cs-CZ"/>
        </w:rPr>
        <w:tab/>
        <w:t xml:space="preserve">   V Praze dne </w:t>
      </w:r>
      <w:r w:rsidRPr="00AC14DC">
        <w:rPr>
          <w:rFonts w:ascii="Calibri" w:eastAsia="Times New Roman" w:hAnsi="Calibri" w:cs="Times New Roman"/>
          <w:lang w:eastAsia="cs-CZ"/>
        </w:rPr>
        <w:tab/>
      </w:r>
      <w:r w:rsidRPr="00AC14DC">
        <w:rPr>
          <w:rFonts w:ascii="Calibri" w:eastAsia="Times New Roman" w:hAnsi="Calibri" w:cs="Times New Roman"/>
          <w:lang w:eastAsia="cs-CZ"/>
        </w:rPr>
        <w:tab/>
      </w:r>
    </w:p>
    <w:p w:rsidR="00AC14DC" w:rsidRPr="00AC14DC" w:rsidRDefault="00AC14DC" w:rsidP="009F10F2">
      <w:pPr>
        <w:spacing w:after="0" w:line="240" w:lineRule="auto"/>
        <w:jc w:val="both"/>
        <w:rPr>
          <w:rFonts w:ascii="Calibri" w:eastAsia="Times New Roman" w:hAnsi="Calibri" w:cs="Times New Roman"/>
          <w:lang w:eastAsia="cs-CZ"/>
        </w:rPr>
      </w:pPr>
    </w:p>
    <w:p w:rsidR="00081067" w:rsidRPr="00AC14DC" w:rsidRDefault="00081067" w:rsidP="009F10F2">
      <w:pPr>
        <w:spacing w:after="0" w:line="240" w:lineRule="auto"/>
        <w:jc w:val="both"/>
        <w:rPr>
          <w:rFonts w:ascii="Calibri" w:eastAsia="Times New Roman" w:hAnsi="Calibri" w:cs="Times New Roman"/>
          <w:lang w:eastAsia="cs-CZ"/>
        </w:rPr>
      </w:pPr>
    </w:p>
    <w:p w:rsidR="00AC14DC" w:rsidRPr="00AC14DC" w:rsidRDefault="00AC14DC" w:rsidP="009F10F2">
      <w:pPr>
        <w:spacing w:after="0" w:line="240" w:lineRule="auto"/>
        <w:jc w:val="both"/>
        <w:rPr>
          <w:rFonts w:ascii="Calibri" w:eastAsia="Times New Roman" w:hAnsi="Calibri" w:cs="Times New Roman"/>
          <w:lang w:eastAsia="cs-CZ"/>
        </w:rPr>
      </w:pPr>
    </w:p>
    <w:p w:rsidR="00AC14DC" w:rsidRPr="00AC14DC" w:rsidRDefault="00AC14DC" w:rsidP="009F10F2">
      <w:pPr>
        <w:spacing w:after="0" w:line="240" w:lineRule="auto"/>
        <w:jc w:val="both"/>
        <w:rPr>
          <w:rFonts w:ascii="Calibri" w:eastAsia="Times New Roman" w:hAnsi="Calibri" w:cs="Times New Roman"/>
          <w:lang w:eastAsia="cs-CZ"/>
        </w:rPr>
      </w:pPr>
      <w:r w:rsidRPr="00AC14DC">
        <w:rPr>
          <w:rFonts w:ascii="Calibri" w:eastAsia="Times New Roman" w:hAnsi="Calibri" w:cs="Times New Roman"/>
          <w:lang w:eastAsia="cs-CZ"/>
        </w:rPr>
        <w:t>_____________________________</w:t>
      </w:r>
      <w:r w:rsidRPr="00AC14DC">
        <w:rPr>
          <w:rFonts w:ascii="Calibri" w:eastAsia="Times New Roman" w:hAnsi="Calibri" w:cs="Times New Roman"/>
          <w:lang w:eastAsia="cs-CZ"/>
        </w:rPr>
        <w:tab/>
      </w:r>
      <w:r w:rsidRPr="00AC14DC">
        <w:rPr>
          <w:rFonts w:ascii="Calibri" w:eastAsia="Times New Roman" w:hAnsi="Calibri" w:cs="Times New Roman"/>
          <w:lang w:eastAsia="cs-CZ"/>
        </w:rPr>
        <w:tab/>
      </w:r>
      <w:r w:rsidRPr="00AC14DC">
        <w:rPr>
          <w:rFonts w:ascii="Calibri" w:eastAsia="Times New Roman" w:hAnsi="Calibri" w:cs="Times New Roman"/>
          <w:lang w:eastAsia="cs-CZ"/>
        </w:rPr>
        <w:tab/>
      </w:r>
      <w:r w:rsidRPr="00AC14DC">
        <w:rPr>
          <w:rFonts w:ascii="Calibri" w:eastAsia="Times New Roman" w:hAnsi="Calibri" w:cs="Times New Roman"/>
          <w:lang w:eastAsia="cs-CZ"/>
        </w:rPr>
        <w:tab/>
        <w:t>__________________________</w:t>
      </w:r>
    </w:p>
    <w:p w:rsidR="00AC14DC" w:rsidRPr="00AC14DC" w:rsidRDefault="00AC14DC" w:rsidP="009F10F2">
      <w:pPr>
        <w:spacing w:after="0" w:line="240" w:lineRule="auto"/>
        <w:jc w:val="both"/>
        <w:rPr>
          <w:rFonts w:ascii="Calibri" w:eastAsia="Times New Roman" w:hAnsi="Calibri" w:cs="Times New Roman"/>
          <w:lang w:eastAsia="cs-CZ"/>
        </w:rPr>
      </w:pPr>
      <w:r w:rsidRPr="00AC14DC">
        <w:rPr>
          <w:rFonts w:ascii="Calibri" w:eastAsia="Times New Roman" w:hAnsi="Calibri" w:cs="Times New Roman"/>
          <w:lang w:eastAsia="cs-CZ"/>
        </w:rPr>
        <w:t xml:space="preserve">     </w:t>
      </w:r>
      <w:r w:rsidRPr="00AC14DC">
        <w:rPr>
          <w:rFonts w:ascii="Calibri" w:eastAsia="Times New Roman" w:hAnsi="Calibri" w:cs="Times New Roman"/>
          <w:b/>
          <w:lang w:eastAsia="cs-CZ"/>
        </w:rPr>
        <w:t>Doc. PhDr. Michal Stehlík, Ph.D.</w:t>
      </w:r>
      <w:r w:rsidR="0086499C">
        <w:rPr>
          <w:rFonts w:ascii="Calibri" w:eastAsia="Times New Roman" w:hAnsi="Calibri" w:cs="Times New Roman"/>
          <w:lang w:eastAsia="cs-CZ"/>
        </w:rPr>
        <w:tab/>
      </w:r>
      <w:r w:rsidR="0086499C">
        <w:rPr>
          <w:rFonts w:ascii="Calibri" w:eastAsia="Times New Roman" w:hAnsi="Calibri" w:cs="Times New Roman"/>
          <w:lang w:eastAsia="cs-CZ"/>
        </w:rPr>
        <w:tab/>
      </w:r>
      <w:r w:rsidR="0086499C">
        <w:rPr>
          <w:rFonts w:ascii="Calibri" w:eastAsia="Times New Roman" w:hAnsi="Calibri" w:cs="Times New Roman"/>
          <w:lang w:eastAsia="cs-CZ"/>
        </w:rPr>
        <w:tab/>
      </w:r>
      <w:r w:rsidR="0086499C">
        <w:rPr>
          <w:rFonts w:ascii="Calibri" w:eastAsia="Times New Roman" w:hAnsi="Calibri" w:cs="Times New Roman"/>
          <w:lang w:eastAsia="cs-CZ"/>
        </w:rPr>
        <w:tab/>
        <w:t xml:space="preserve">      </w:t>
      </w:r>
      <w:r w:rsidR="00B80F76">
        <w:rPr>
          <w:b/>
          <w:bCs/>
        </w:rPr>
        <w:t xml:space="preserve">Ing. arch. </w:t>
      </w:r>
      <w:r w:rsidR="001F176E">
        <w:rPr>
          <w:b/>
          <w:bCs/>
        </w:rPr>
        <w:t>Tomáš Bílek</w:t>
      </w:r>
    </w:p>
    <w:p w:rsidR="00AC14DC" w:rsidRPr="00AC14DC" w:rsidRDefault="00AC14DC" w:rsidP="009F10F2">
      <w:pPr>
        <w:spacing w:after="0" w:line="240" w:lineRule="auto"/>
        <w:jc w:val="both"/>
        <w:rPr>
          <w:rFonts w:ascii="Calibri" w:eastAsia="Times New Roman" w:hAnsi="Calibri" w:cs="Times New Roman"/>
          <w:lang w:eastAsia="cs-CZ"/>
        </w:rPr>
      </w:pPr>
      <w:r w:rsidRPr="00AC14DC">
        <w:rPr>
          <w:rFonts w:ascii="Calibri" w:eastAsia="Times New Roman" w:hAnsi="Calibri" w:cs="Times New Roman"/>
          <w:lang w:eastAsia="cs-CZ"/>
        </w:rPr>
        <w:t xml:space="preserve">náměstek pro centrální sbírkotvornou </w:t>
      </w:r>
      <w:r w:rsidRPr="00AC14DC">
        <w:rPr>
          <w:rFonts w:ascii="Calibri" w:eastAsia="Times New Roman" w:hAnsi="Calibri" w:cs="Times New Roman"/>
          <w:lang w:eastAsia="cs-CZ"/>
        </w:rPr>
        <w:tab/>
      </w:r>
      <w:r w:rsidRPr="00AC14DC">
        <w:rPr>
          <w:rFonts w:ascii="Calibri" w:eastAsia="Times New Roman" w:hAnsi="Calibri" w:cs="Times New Roman"/>
          <w:lang w:eastAsia="cs-CZ"/>
        </w:rPr>
        <w:tab/>
      </w:r>
      <w:r w:rsidRPr="00AC14DC">
        <w:rPr>
          <w:rFonts w:ascii="Calibri" w:eastAsia="Times New Roman" w:hAnsi="Calibri" w:cs="Times New Roman"/>
          <w:lang w:eastAsia="cs-CZ"/>
        </w:rPr>
        <w:tab/>
      </w:r>
      <w:r w:rsidRPr="00AC14DC">
        <w:rPr>
          <w:rFonts w:ascii="Calibri" w:eastAsia="Times New Roman" w:hAnsi="Calibri" w:cs="Times New Roman"/>
          <w:lang w:eastAsia="cs-CZ"/>
        </w:rPr>
        <w:tab/>
      </w:r>
      <w:r w:rsidRPr="00AC14DC">
        <w:rPr>
          <w:rFonts w:ascii="Calibri" w:eastAsia="Times New Roman" w:hAnsi="Calibri" w:cs="Times New Roman"/>
          <w:lang w:eastAsia="cs-CZ"/>
        </w:rPr>
        <w:tab/>
        <w:t xml:space="preserve">(zhotovitel) </w:t>
      </w:r>
    </w:p>
    <w:p w:rsidR="00AC14DC" w:rsidRPr="00AC14DC" w:rsidRDefault="00AC14DC" w:rsidP="009F10F2">
      <w:pPr>
        <w:spacing w:after="0" w:line="240" w:lineRule="auto"/>
        <w:jc w:val="both"/>
        <w:rPr>
          <w:rFonts w:ascii="Calibri" w:eastAsia="Times New Roman" w:hAnsi="Calibri" w:cs="Times New Roman"/>
          <w:lang w:eastAsia="cs-CZ"/>
        </w:rPr>
      </w:pPr>
      <w:r w:rsidRPr="00AC14DC">
        <w:rPr>
          <w:rFonts w:ascii="Calibri" w:eastAsia="Times New Roman" w:hAnsi="Calibri" w:cs="Times New Roman"/>
          <w:lang w:eastAsia="cs-CZ"/>
        </w:rPr>
        <w:t>a výstavní činnost Národní muzeum</w:t>
      </w:r>
    </w:p>
    <w:p w:rsidR="00AC14DC" w:rsidRPr="00CC4B33" w:rsidRDefault="00AC14DC" w:rsidP="00C757DE">
      <w:pPr>
        <w:spacing w:after="0" w:line="240" w:lineRule="auto"/>
        <w:jc w:val="both"/>
        <w:rPr>
          <w:sz w:val="24"/>
          <w:szCs w:val="24"/>
        </w:rPr>
      </w:pPr>
      <w:r w:rsidRPr="00AC14DC">
        <w:rPr>
          <w:rFonts w:ascii="Calibri" w:eastAsia="Times New Roman" w:hAnsi="Calibri" w:cs="Times New Roman"/>
          <w:lang w:eastAsia="cs-CZ"/>
        </w:rPr>
        <w:t xml:space="preserve">                   (objednatel)</w:t>
      </w:r>
    </w:p>
    <w:sectPr w:rsidR="00AC14DC" w:rsidRPr="00CC4B33" w:rsidSect="006B3370">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D37" w:rsidRDefault="00141D37" w:rsidP="00341EDF">
      <w:pPr>
        <w:spacing w:after="0" w:line="240" w:lineRule="auto"/>
      </w:pPr>
      <w:r>
        <w:separator/>
      </w:r>
    </w:p>
  </w:endnote>
  <w:endnote w:type="continuationSeparator" w:id="0">
    <w:p w:rsidR="00141D37" w:rsidRDefault="00141D37" w:rsidP="00341E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D37" w:rsidRDefault="00141D37" w:rsidP="00341EDF">
      <w:pPr>
        <w:spacing w:after="0" w:line="240" w:lineRule="auto"/>
      </w:pPr>
      <w:r>
        <w:separator/>
      </w:r>
    </w:p>
  </w:footnote>
  <w:footnote w:type="continuationSeparator" w:id="0">
    <w:p w:rsidR="00141D37" w:rsidRDefault="00141D37" w:rsidP="00341E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EDF" w:rsidRPr="00E703A1" w:rsidRDefault="00341EDF" w:rsidP="00753F3C">
    <w:pPr>
      <w:pStyle w:val="Zhlav"/>
      <w:rPr>
        <w:sz w:val="24"/>
        <w:szCs w:val="24"/>
      </w:rPr>
    </w:pPr>
    <w:proofErr w:type="gramStart"/>
    <w:r w:rsidRPr="00611D82">
      <w:rPr>
        <w:sz w:val="24"/>
        <w:szCs w:val="24"/>
      </w:rPr>
      <w:t>Č.j.</w:t>
    </w:r>
    <w:proofErr w:type="gramEnd"/>
    <w:r w:rsidRPr="00611D82">
      <w:rPr>
        <w:sz w:val="24"/>
        <w:szCs w:val="24"/>
      </w:rPr>
      <w:t>:</w:t>
    </w:r>
    <w:r w:rsidR="00242DF9">
      <w:rPr>
        <w:sz w:val="24"/>
        <w:szCs w:val="24"/>
      </w:rPr>
      <w:t>2019</w:t>
    </w:r>
    <w:r w:rsidR="00FB76FB">
      <w:rPr>
        <w:sz w:val="24"/>
        <w:szCs w:val="24"/>
      </w:rPr>
      <w:t>/</w:t>
    </w:r>
    <w:r w:rsidR="00242DF9">
      <w:rPr>
        <w:sz w:val="24"/>
        <w:szCs w:val="24"/>
      </w:rPr>
      <w:t>1823</w:t>
    </w:r>
    <w:r>
      <w:rPr>
        <w:sz w:val="24"/>
        <w:szCs w:val="24"/>
      </w:rPr>
      <w:t>/NM</w:t>
    </w:r>
    <w:r>
      <w:t xml:space="preserve"> </w:t>
    </w:r>
    <w:r w:rsidR="00753F3C">
      <w:tab/>
    </w:r>
    <w:r>
      <w:ptab w:relativeTo="margin" w:alignment="center" w:leader="none"/>
    </w:r>
    <w: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639BE"/>
    <w:multiLevelType w:val="hybridMultilevel"/>
    <w:tmpl w:val="96DAA7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3E56474"/>
    <w:multiLevelType w:val="hybridMultilevel"/>
    <w:tmpl w:val="BBEE3968"/>
    <w:lvl w:ilvl="0" w:tplc="37EA6E52">
      <w:start w:val="5"/>
      <w:numFmt w:val="decimal"/>
      <w:lvlText w:val="%1."/>
      <w:lvlJc w:val="left"/>
      <w:pPr>
        <w:ind w:left="720" w:hanging="360"/>
      </w:pPr>
      <w:rPr>
        <w:rFonts w:eastAsiaTheme="minorEastAsia"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4F82714"/>
    <w:multiLevelType w:val="hybridMultilevel"/>
    <w:tmpl w:val="54EE9A8A"/>
    <w:lvl w:ilvl="0" w:tplc="AB4646A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6EB7B7D"/>
    <w:multiLevelType w:val="hybridMultilevel"/>
    <w:tmpl w:val="A1884E28"/>
    <w:lvl w:ilvl="0" w:tplc="E032728E">
      <w:start w:val="6"/>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ADC12BA"/>
    <w:multiLevelType w:val="hybridMultilevel"/>
    <w:tmpl w:val="AAF4D7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F2B5916"/>
    <w:multiLevelType w:val="hybridMultilevel"/>
    <w:tmpl w:val="7542E9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6106B75"/>
    <w:multiLevelType w:val="hybridMultilevel"/>
    <w:tmpl w:val="EE7A4B14"/>
    <w:lvl w:ilvl="0" w:tplc="07B03EFE">
      <w:start w:val="1"/>
      <w:numFmt w:val="decimal"/>
      <w:lvlText w:val="%1."/>
      <w:lvlJc w:val="left"/>
      <w:pPr>
        <w:ind w:left="720" w:hanging="360"/>
      </w:pPr>
      <w:rPr>
        <w:rFonts w:eastAsiaTheme="minorEastAsia"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83F2307"/>
    <w:multiLevelType w:val="hybridMultilevel"/>
    <w:tmpl w:val="B226CF90"/>
    <w:lvl w:ilvl="0" w:tplc="C3563820">
      <w:start w:val="1"/>
      <w:numFmt w:val="decimal"/>
      <w:lvlText w:val="%1."/>
      <w:lvlJc w:val="left"/>
      <w:pPr>
        <w:ind w:left="720" w:hanging="360"/>
      </w:pPr>
      <w:rPr>
        <w:rFonts w:eastAsiaTheme="minorEastAsia"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C4F0F32"/>
    <w:multiLevelType w:val="hybridMultilevel"/>
    <w:tmpl w:val="CAA226EA"/>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2F7B3AC9"/>
    <w:multiLevelType w:val="hybridMultilevel"/>
    <w:tmpl w:val="23526BB8"/>
    <w:lvl w:ilvl="0" w:tplc="AAC28942">
      <w:start w:val="4"/>
      <w:numFmt w:val="decimal"/>
      <w:lvlText w:val="%1."/>
      <w:lvlJc w:val="left"/>
      <w:pPr>
        <w:ind w:left="720" w:hanging="360"/>
      </w:pPr>
      <w:rPr>
        <w:rFonts w:eastAsiaTheme="minorEastAsia"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FB5449C"/>
    <w:multiLevelType w:val="hybridMultilevel"/>
    <w:tmpl w:val="6ECE3172"/>
    <w:lvl w:ilvl="0" w:tplc="6EAAFBB2">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473E4BAC"/>
    <w:multiLevelType w:val="singleLevel"/>
    <w:tmpl w:val="0405000F"/>
    <w:lvl w:ilvl="0">
      <w:start w:val="1"/>
      <w:numFmt w:val="decimal"/>
      <w:lvlText w:val="%1."/>
      <w:lvlJc w:val="left"/>
      <w:pPr>
        <w:tabs>
          <w:tab w:val="num" w:pos="360"/>
        </w:tabs>
        <w:ind w:left="360" w:hanging="360"/>
      </w:pPr>
    </w:lvl>
  </w:abstractNum>
  <w:abstractNum w:abstractNumId="12">
    <w:nsid w:val="51AE483D"/>
    <w:multiLevelType w:val="hybridMultilevel"/>
    <w:tmpl w:val="ED322670"/>
    <w:lvl w:ilvl="0" w:tplc="002626F6">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52750718"/>
    <w:multiLevelType w:val="hybridMultilevel"/>
    <w:tmpl w:val="BBE6F968"/>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A496B50"/>
    <w:multiLevelType w:val="hybridMultilevel"/>
    <w:tmpl w:val="AA38A4B6"/>
    <w:lvl w:ilvl="0" w:tplc="04050001">
      <w:start w:val="1"/>
      <w:numFmt w:val="bullet"/>
      <w:lvlText w:val=""/>
      <w:lvlJc w:val="left"/>
      <w:pPr>
        <w:ind w:left="720" w:hanging="360"/>
      </w:pPr>
      <w:rPr>
        <w:rFonts w:ascii="Symbol" w:hAnsi="Symbol" w:hint="default"/>
      </w:rPr>
    </w:lvl>
    <w:lvl w:ilvl="1" w:tplc="3F0E49BC">
      <w:start w:val="1"/>
      <w:numFmt w:val="bullet"/>
      <w:lvlText w:val="-"/>
      <w:lvlJc w:val="left"/>
      <w:pPr>
        <w:ind w:left="1785" w:hanging="705"/>
      </w:pPr>
      <w:rPr>
        <w:rFonts w:ascii="Calibri" w:eastAsiaTheme="minorEastAsia"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BD65FC1"/>
    <w:multiLevelType w:val="hybridMultilevel"/>
    <w:tmpl w:val="B2F0235A"/>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5D8C1343"/>
    <w:multiLevelType w:val="hybridMultilevel"/>
    <w:tmpl w:val="4B02F70A"/>
    <w:lvl w:ilvl="0" w:tplc="0405001B">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7">
    <w:nsid w:val="5D8C7D69"/>
    <w:multiLevelType w:val="hybridMultilevel"/>
    <w:tmpl w:val="DDCEC2D0"/>
    <w:lvl w:ilvl="0" w:tplc="E7F8CF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54F4B81"/>
    <w:multiLevelType w:val="hybridMultilevel"/>
    <w:tmpl w:val="02ACC908"/>
    <w:lvl w:ilvl="0" w:tplc="9A866E76">
      <w:start w:val="5"/>
      <w:numFmt w:val="decimal"/>
      <w:lvlText w:val="%1."/>
      <w:lvlJc w:val="left"/>
      <w:pPr>
        <w:ind w:left="720" w:hanging="360"/>
      </w:pPr>
      <w:rPr>
        <w:rFonts w:eastAsiaTheme="minorEastAsia"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FED2EFB"/>
    <w:multiLevelType w:val="hybridMultilevel"/>
    <w:tmpl w:val="0BDEC338"/>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71B4521F"/>
    <w:multiLevelType w:val="hybridMultilevel"/>
    <w:tmpl w:val="37D2E476"/>
    <w:lvl w:ilvl="0" w:tplc="10FCE6F8">
      <w:start w:val="1"/>
      <w:numFmt w:val="lowerRoman"/>
      <w:lvlText w:val="%1."/>
      <w:lvlJc w:val="righ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B721D09"/>
    <w:multiLevelType w:val="hybridMultilevel"/>
    <w:tmpl w:val="93800A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7DE806A8"/>
    <w:multiLevelType w:val="hybridMultilevel"/>
    <w:tmpl w:val="8BF0D798"/>
    <w:lvl w:ilvl="0" w:tplc="5AB8AEE2">
      <w:start w:val="1"/>
      <w:numFmt w:val="decimal"/>
      <w:lvlText w:val="%1."/>
      <w:lvlJc w:val="left"/>
      <w:pPr>
        <w:ind w:left="360" w:hanging="360"/>
      </w:pPr>
      <w:rPr>
        <w:rFonts w:asciiTheme="minorHAnsi" w:eastAsiaTheme="minorEastAsia" w:hAnsiTheme="minorHAnsi"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11"/>
  </w:num>
  <w:num w:numId="4">
    <w:abstractNumId w:val="5"/>
  </w:num>
  <w:num w:numId="5">
    <w:abstractNumId w:val="21"/>
  </w:num>
  <w:num w:numId="6">
    <w:abstractNumId w:val="15"/>
  </w:num>
  <w:num w:numId="7">
    <w:abstractNumId w:val="10"/>
  </w:num>
  <w:num w:numId="8">
    <w:abstractNumId w:val="3"/>
  </w:num>
  <w:num w:numId="9">
    <w:abstractNumId w:val="8"/>
  </w:num>
  <w:num w:numId="10">
    <w:abstractNumId w:val="22"/>
  </w:num>
  <w:num w:numId="11">
    <w:abstractNumId w:val="14"/>
  </w:num>
  <w:num w:numId="12">
    <w:abstractNumId w:val="19"/>
  </w:num>
  <w:num w:numId="13">
    <w:abstractNumId w:val="4"/>
  </w:num>
  <w:num w:numId="14">
    <w:abstractNumId w:val="6"/>
  </w:num>
  <w:num w:numId="15">
    <w:abstractNumId w:val="12"/>
  </w:num>
  <w:num w:numId="16">
    <w:abstractNumId w:val="7"/>
  </w:num>
  <w:num w:numId="17">
    <w:abstractNumId w:val="1"/>
  </w:num>
  <w:num w:numId="18">
    <w:abstractNumId w:val="18"/>
  </w:num>
  <w:num w:numId="19">
    <w:abstractNumId w:val="13"/>
  </w:num>
  <w:num w:numId="20">
    <w:abstractNumId w:val="16"/>
  </w:num>
  <w:num w:numId="21">
    <w:abstractNumId w:val="20"/>
  </w:num>
  <w:num w:numId="22">
    <w:abstractNumId w:val="17"/>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3794"/>
  </w:hdrShapeDefaults>
  <w:footnotePr>
    <w:footnote w:id="-1"/>
    <w:footnote w:id="0"/>
  </w:footnotePr>
  <w:endnotePr>
    <w:endnote w:id="-1"/>
    <w:endnote w:id="0"/>
  </w:endnotePr>
  <w:compat/>
  <w:rsids>
    <w:rsidRoot w:val="0082594D"/>
    <w:rsid w:val="000272AB"/>
    <w:rsid w:val="00034F66"/>
    <w:rsid w:val="00073273"/>
    <w:rsid w:val="00081067"/>
    <w:rsid w:val="000842F1"/>
    <w:rsid w:val="000E7F65"/>
    <w:rsid w:val="000F72B4"/>
    <w:rsid w:val="00141D37"/>
    <w:rsid w:val="00181CC0"/>
    <w:rsid w:val="001B17AD"/>
    <w:rsid w:val="001B275F"/>
    <w:rsid w:val="001C0A19"/>
    <w:rsid w:val="001C713B"/>
    <w:rsid w:val="001F176E"/>
    <w:rsid w:val="00210A52"/>
    <w:rsid w:val="00213D0B"/>
    <w:rsid w:val="00226C2D"/>
    <w:rsid w:val="00240471"/>
    <w:rsid w:val="00242DF9"/>
    <w:rsid w:val="00281536"/>
    <w:rsid w:val="002A1AEF"/>
    <w:rsid w:val="002A34A6"/>
    <w:rsid w:val="00341EDF"/>
    <w:rsid w:val="00372717"/>
    <w:rsid w:val="003B0198"/>
    <w:rsid w:val="003D05CB"/>
    <w:rsid w:val="003F4F0D"/>
    <w:rsid w:val="0045496B"/>
    <w:rsid w:val="004660C4"/>
    <w:rsid w:val="004870CB"/>
    <w:rsid w:val="00497753"/>
    <w:rsid w:val="004E0A0E"/>
    <w:rsid w:val="004F7948"/>
    <w:rsid w:val="0051507A"/>
    <w:rsid w:val="00516545"/>
    <w:rsid w:val="00525ED6"/>
    <w:rsid w:val="00530A4F"/>
    <w:rsid w:val="00540C42"/>
    <w:rsid w:val="005612C7"/>
    <w:rsid w:val="00573475"/>
    <w:rsid w:val="00581700"/>
    <w:rsid w:val="005B274C"/>
    <w:rsid w:val="00611D82"/>
    <w:rsid w:val="00681E9F"/>
    <w:rsid w:val="0069083D"/>
    <w:rsid w:val="00696660"/>
    <w:rsid w:val="006B1ABE"/>
    <w:rsid w:val="006B3370"/>
    <w:rsid w:val="006B4FEE"/>
    <w:rsid w:val="006B590B"/>
    <w:rsid w:val="006C0AF6"/>
    <w:rsid w:val="0070759B"/>
    <w:rsid w:val="0071512F"/>
    <w:rsid w:val="00742E7B"/>
    <w:rsid w:val="00750626"/>
    <w:rsid w:val="00753F3C"/>
    <w:rsid w:val="007653D5"/>
    <w:rsid w:val="007A29A1"/>
    <w:rsid w:val="007A5946"/>
    <w:rsid w:val="007F3ABC"/>
    <w:rsid w:val="00806C47"/>
    <w:rsid w:val="0082594D"/>
    <w:rsid w:val="00855704"/>
    <w:rsid w:val="0086499C"/>
    <w:rsid w:val="008C25DE"/>
    <w:rsid w:val="008C2CBD"/>
    <w:rsid w:val="008E040B"/>
    <w:rsid w:val="00900FBB"/>
    <w:rsid w:val="009346D0"/>
    <w:rsid w:val="0095534E"/>
    <w:rsid w:val="00965980"/>
    <w:rsid w:val="009669BE"/>
    <w:rsid w:val="009748B8"/>
    <w:rsid w:val="009764D1"/>
    <w:rsid w:val="009A08F9"/>
    <w:rsid w:val="009F10F2"/>
    <w:rsid w:val="00A238D0"/>
    <w:rsid w:val="00A406C3"/>
    <w:rsid w:val="00A93988"/>
    <w:rsid w:val="00AC14DC"/>
    <w:rsid w:val="00AF09C2"/>
    <w:rsid w:val="00B10428"/>
    <w:rsid w:val="00B25755"/>
    <w:rsid w:val="00B33664"/>
    <w:rsid w:val="00B36B85"/>
    <w:rsid w:val="00B50B41"/>
    <w:rsid w:val="00B527EB"/>
    <w:rsid w:val="00B80F76"/>
    <w:rsid w:val="00B8523A"/>
    <w:rsid w:val="00BB603C"/>
    <w:rsid w:val="00C0130C"/>
    <w:rsid w:val="00C46E6B"/>
    <w:rsid w:val="00C66854"/>
    <w:rsid w:val="00C757DE"/>
    <w:rsid w:val="00C93BE4"/>
    <w:rsid w:val="00C96CD4"/>
    <w:rsid w:val="00C9798E"/>
    <w:rsid w:val="00CA62B1"/>
    <w:rsid w:val="00CC4B33"/>
    <w:rsid w:val="00CD23D6"/>
    <w:rsid w:val="00CE45A7"/>
    <w:rsid w:val="00D144E3"/>
    <w:rsid w:val="00D15B02"/>
    <w:rsid w:val="00D60463"/>
    <w:rsid w:val="00D96596"/>
    <w:rsid w:val="00DD762A"/>
    <w:rsid w:val="00DD7BCF"/>
    <w:rsid w:val="00E2070A"/>
    <w:rsid w:val="00E20791"/>
    <w:rsid w:val="00E57C89"/>
    <w:rsid w:val="00E703A1"/>
    <w:rsid w:val="00E95349"/>
    <w:rsid w:val="00EB0EA6"/>
    <w:rsid w:val="00EC3037"/>
    <w:rsid w:val="00EF242D"/>
    <w:rsid w:val="00F10A90"/>
    <w:rsid w:val="00F13227"/>
    <w:rsid w:val="00F17E28"/>
    <w:rsid w:val="00F35564"/>
    <w:rsid w:val="00F7419A"/>
    <w:rsid w:val="00F84D23"/>
    <w:rsid w:val="00F87473"/>
    <w:rsid w:val="00F936A6"/>
    <w:rsid w:val="00F95834"/>
    <w:rsid w:val="00FB76FB"/>
    <w:rsid w:val="00FC1858"/>
    <w:rsid w:val="00FD0B0F"/>
    <w:rsid w:val="00FF776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3370"/>
  </w:style>
  <w:style w:type="paragraph" w:styleId="Nadpis3">
    <w:name w:val="heading 3"/>
    <w:basedOn w:val="Normln"/>
    <w:next w:val="Normln"/>
    <w:link w:val="Nadpis3Char"/>
    <w:qFormat/>
    <w:rsid w:val="00742E7B"/>
    <w:pPr>
      <w:keepNext/>
      <w:spacing w:after="0" w:line="240" w:lineRule="atLeast"/>
      <w:jc w:val="center"/>
      <w:outlineLvl w:val="2"/>
    </w:pPr>
    <w:rPr>
      <w:rFonts w:ascii="Times New Roman" w:eastAsia="Times New Roman" w:hAnsi="Times New Roman" w:cs="Times New Roman"/>
      <w:b/>
      <w:color w:val="000000"/>
      <w:sz w:val="3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C4B33"/>
    <w:pPr>
      <w:ind w:left="720"/>
      <w:contextualSpacing/>
    </w:pPr>
  </w:style>
  <w:style w:type="character" w:customStyle="1" w:styleId="Nadpis3Char">
    <w:name w:val="Nadpis 3 Char"/>
    <w:basedOn w:val="Standardnpsmoodstavce"/>
    <w:link w:val="Nadpis3"/>
    <w:rsid w:val="00742E7B"/>
    <w:rPr>
      <w:rFonts w:ascii="Times New Roman" w:eastAsia="Times New Roman" w:hAnsi="Times New Roman" w:cs="Times New Roman"/>
      <w:b/>
      <w:color w:val="000000"/>
      <w:sz w:val="32"/>
      <w:szCs w:val="20"/>
      <w:lang w:eastAsia="cs-CZ"/>
    </w:rPr>
  </w:style>
  <w:style w:type="paragraph" w:styleId="Zkladntext">
    <w:name w:val="Body Text"/>
    <w:basedOn w:val="Normln"/>
    <w:link w:val="ZkladntextChar"/>
    <w:rsid w:val="00742E7B"/>
    <w:pPr>
      <w:spacing w:after="0" w:line="240" w:lineRule="auto"/>
      <w:jc w:val="center"/>
    </w:pPr>
    <w:rPr>
      <w:rFonts w:ascii="Times New Roman" w:eastAsia="Times New Roman" w:hAnsi="Times New Roman" w:cs="Times New Roman"/>
      <w:b/>
      <w:sz w:val="24"/>
      <w:szCs w:val="20"/>
      <w:lang w:eastAsia="cs-CZ"/>
    </w:rPr>
  </w:style>
  <w:style w:type="character" w:customStyle="1" w:styleId="ZkladntextChar">
    <w:name w:val="Základní text Char"/>
    <w:basedOn w:val="Standardnpsmoodstavce"/>
    <w:link w:val="Zkladntext"/>
    <w:rsid w:val="00742E7B"/>
    <w:rPr>
      <w:rFonts w:ascii="Times New Roman" w:eastAsia="Times New Roman" w:hAnsi="Times New Roman" w:cs="Times New Roman"/>
      <w:b/>
      <w:sz w:val="24"/>
      <w:szCs w:val="20"/>
      <w:lang w:eastAsia="cs-CZ"/>
    </w:rPr>
  </w:style>
  <w:style w:type="paragraph" w:styleId="Bezmezer">
    <w:name w:val="No Spacing"/>
    <w:uiPriority w:val="1"/>
    <w:qFormat/>
    <w:rsid w:val="00AC14DC"/>
    <w:pPr>
      <w:spacing w:after="0" w:line="240" w:lineRule="auto"/>
    </w:pPr>
  </w:style>
  <w:style w:type="character" w:styleId="slostrnky">
    <w:name w:val="page number"/>
    <w:basedOn w:val="Standardnpsmoodstavce"/>
    <w:rsid w:val="000F72B4"/>
  </w:style>
  <w:style w:type="table" w:customStyle="1" w:styleId="Mkatabulky2">
    <w:name w:val="Mřížka tabulky2"/>
    <w:basedOn w:val="Normlntabulka"/>
    <w:uiPriority w:val="59"/>
    <w:rsid w:val="00C97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6B1ABE"/>
    <w:rPr>
      <w:sz w:val="16"/>
      <w:szCs w:val="16"/>
    </w:rPr>
  </w:style>
  <w:style w:type="paragraph" w:styleId="Textkomente">
    <w:name w:val="annotation text"/>
    <w:basedOn w:val="Normln"/>
    <w:link w:val="TextkomenteChar"/>
    <w:uiPriority w:val="99"/>
    <w:semiHidden/>
    <w:unhideWhenUsed/>
    <w:rsid w:val="006B1ABE"/>
    <w:pPr>
      <w:spacing w:line="240" w:lineRule="auto"/>
    </w:pPr>
    <w:rPr>
      <w:sz w:val="20"/>
      <w:szCs w:val="20"/>
    </w:rPr>
  </w:style>
  <w:style w:type="character" w:customStyle="1" w:styleId="TextkomenteChar">
    <w:name w:val="Text komentáře Char"/>
    <w:basedOn w:val="Standardnpsmoodstavce"/>
    <w:link w:val="Textkomente"/>
    <w:uiPriority w:val="99"/>
    <w:semiHidden/>
    <w:rsid w:val="006B1ABE"/>
    <w:rPr>
      <w:sz w:val="20"/>
      <w:szCs w:val="20"/>
    </w:rPr>
  </w:style>
  <w:style w:type="paragraph" w:styleId="Pedmtkomente">
    <w:name w:val="annotation subject"/>
    <w:basedOn w:val="Textkomente"/>
    <w:next w:val="Textkomente"/>
    <w:link w:val="PedmtkomenteChar"/>
    <w:uiPriority w:val="99"/>
    <w:semiHidden/>
    <w:unhideWhenUsed/>
    <w:rsid w:val="006B1ABE"/>
    <w:rPr>
      <w:b/>
      <w:bCs/>
    </w:rPr>
  </w:style>
  <w:style w:type="character" w:customStyle="1" w:styleId="PedmtkomenteChar">
    <w:name w:val="Předmět komentáře Char"/>
    <w:basedOn w:val="TextkomenteChar"/>
    <w:link w:val="Pedmtkomente"/>
    <w:uiPriority w:val="99"/>
    <w:semiHidden/>
    <w:rsid w:val="006B1ABE"/>
    <w:rPr>
      <w:b/>
      <w:bCs/>
      <w:sz w:val="20"/>
      <w:szCs w:val="20"/>
    </w:rPr>
  </w:style>
  <w:style w:type="paragraph" w:styleId="Textbubliny">
    <w:name w:val="Balloon Text"/>
    <w:basedOn w:val="Normln"/>
    <w:link w:val="TextbublinyChar"/>
    <w:uiPriority w:val="99"/>
    <w:semiHidden/>
    <w:unhideWhenUsed/>
    <w:rsid w:val="006B1AB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1ABE"/>
    <w:rPr>
      <w:rFonts w:ascii="Segoe UI" w:hAnsi="Segoe UI" w:cs="Segoe UI"/>
      <w:sz w:val="18"/>
      <w:szCs w:val="18"/>
    </w:rPr>
  </w:style>
  <w:style w:type="paragraph" w:styleId="Zhlav">
    <w:name w:val="header"/>
    <w:basedOn w:val="Normln"/>
    <w:link w:val="ZhlavChar"/>
    <w:uiPriority w:val="99"/>
    <w:unhideWhenUsed/>
    <w:rsid w:val="00341ED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41EDF"/>
  </w:style>
  <w:style w:type="paragraph" w:styleId="Zpat">
    <w:name w:val="footer"/>
    <w:basedOn w:val="Normln"/>
    <w:link w:val="ZpatChar"/>
    <w:uiPriority w:val="99"/>
    <w:unhideWhenUsed/>
    <w:rsid w:val="00341EDF"/>
    <w:pPr>
      <w:tabs>
        <w:tab w:val="center" w:pos="4536"/>
        <w:tab w:val="right" w:pos="9072"/>
      </w:tabs>
      <w:spacing w:after="0" w:line="240" w:lineRule="auto"/>
    </w:pPr>
  </w:style>
  <w:style w:type="character" w:customStyle="1" w:styleId="ZpatChar">
    <w:name w:val="Zápatí Char"/>
    <w:basedOn w:val="Standardnpsmoodstavce"/>
    <w:link w:val="Zpat"/>
    <w:uiPriority w:val="99"/>
    <w:rsid w:val="00341EDF"/>
  </w:style>
  <w:style w:type="table" w:styleId="Mkatabulky">
    <w:name w:val="Table Grid"/>
    <w:basedOn w:val="Normlntabulka"/>
    <w:uiPriority w:val="59"/>
    <w:rsid w:val="00F87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58943060">
      <w:bodyDiv w:val="1"/>
      <w:marLeft w:val="0"/>
      <w:marRight w:val="0"/>
      <w:marTop w:val="0"/>
      <w:marBottom w:val="0"/>
      <w:divBdr>
        <w:top w:val="none" w:sz="0" w:space="0" w:color="auto"/>
        <w:left w:val="none" w:sz="0" w:space="0" w:color="auto"/>
        <w:bottom w:val="none" w:sz="0" w:space="0" w:color="auto"/>
        <w:right w:val="none" w:sz="0" w:space="0" w:color="auto"/>
      </w:divBdr>
    </w:div>
    <w:div w:id="200149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20AC1-860A-4B7A-8173-3FF456475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3</Pages>
  <Words>995</Words>
  <Characters>5875</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nejedlahe</dc:creator>
  <cp:lastModifiedBy>drapalovape</cp:lastModifiedBy>
  <cp:revision>32</cp:revision>
  <cp:lastPrinted>2018-06-19T09:42:00Z</cp:lastPrinted>
  <dcterms:created xsi:type="dcterms:W3CDTF">2017-06-02T07:38:00Z</dcterms:created>
  <dcterms:modified xsi:type="dcterms:W3CDTF">2019-05-07T09:34:00Z</dcterms:modified>
</cp:coreProperties>
</file>